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5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15" w:type="dxa"/>
        </w:tblCellMar>
        <w:tblLook w:noHBand="0" w:noVBand="0" w:firstColumn="0" w:lastRow="0" w:lastColumn="0" w:firstRow="0" w:val="0000"/>
      </w:tblPr>
      <w:tblGrid>
        <w:gridCol w:w="2599"/>
        <w:gridCol w:w="3166"/>
        <w:gridCol w:w="3591"/>
      </w:tblGrid>
      <w:tr>
        <w:trPr>
          <w:trHeight w:val="184" w:hRule="atLeast"/>
          <w:cantSplit/>
        </w:trPr>
        <w:tc>
          <w:tcPr>
            <w:tcW w:w="2599" w:type="dxa"/>
            <w:tcBorders/>
          </w:tcPr>
          <w:p>
            <w:pPr>
              <w:pStyle w:val="Normal"/>
              <w:spacing w:lineRule="atLeast" w:line="240"/>
              <w:jc w:val="center"/>
              <w:rPr>
                <w:b/>
                <w:bCs/>
                <w:sz w:val="24"/>
                <w:szCs w:val="24"/>
                <w:highlight w:val="none"/>
                <w:shd w:fill="FFFFFF" w:val="clear"/>
              </w:rPr>
            </w:pPr>
            <w:r>
              <w:rPr>
                <w:b/>
                <w:bCs/>
                <w:sz w:val="24"/>
                <w:szCs w:val="24"/>
                <w:shd w:fill="FFFFFF" w:val="clear"/>
              </w:rPr>
            </w:r>
          </w:p>
        </w:tc>
        <w:tc>
          <w:tcPr>
            <w:tcW w:w="3166" w:type="dxa"/>
            <w:tcBorders/>
          </w:tcPr>
          <w:p>
            <w:pPr>
              <w:pStyle w:val="NoSpacing"/>
              <w:ind w:left="-2595" w:right="-3454"/>
              <w:jc w:val="center"/>
              <w:rPr>
                <w:highlight w:val="none"/>
                <w:shd w:fill="FFFFFF" w:val="clear"/>
              </w:rPr>
            </w:pPr>
            <w:r>
              <w:rPr/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grayscl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tcBorders/>
          </w:tcPr>
          <w:p>
            <w:pPr>
              <w:pStyle w:val="Normal"/>
              <w:spacing w:lineRule="atLeast" w:line="240"/>
              <w:jc w:val="center"/>
              <w:rPr>
                <w:caps/>
                <w:sz w:val="24"/>
                <w:highlight w:val="none"/>
                <w:shd w:fill="FFFFFF" w:val="clear"/>
              </w:rPr>
            </w:pPr>
            <w:r>
              <w:rPr>
                <w:caps/>
                <w:sz w:val="24"/>
                <w:shd w:fill="FFFFFF" w:val="clear"/>
              </w:rPr>
            </w:r>
          </w:p>
        </w:tc>
      </w:tr>
      <w:tr>
        <w:trPr>
          <w:trHeight w:val="554" w:hRule="atLeast"/>
          <w:cantSplit/>
        </w:trPr>
        <w:tc>
          <w:tcPr>
            <w:tcW w:w="9356" w:type="dxa"/>
            <w:gridSpan w:val="3"/>
            <w:tcBorders/>
            <w:vAlign w:val="center"/>
          </w:tcPr>
          <w:p>
            <w:pPr>
              <w:pStyle w:val="Normal"/>
              <w:spacing w:lineRule="atLeast" w:line="240"/>
              <w:jc w:val="center"/>
              <w:rPr>
                <w:highlight w:val="none"/>
                <w:shd w:fill="FFFFFF" w:val="clear"/>
              </w:rPr>
            </w:pPr>
            <w:r>
              <w:rPr>
                <w:caps/>
                <w:sz w:val="24"/>
                <w:szCs w:val="24"/>
                <w:shd w:fill="FFFFFF" w:val="clear"/>
              </w:rPr>
              <w:t>МИНОБРНАУКИ РОССИИ</w:t>
            </w:r>
          </w:p>
        </w:tc>
      </w:tr>
      <w:tr>
        <w:trPr>
          <w:trHeight w:val="18" w:hRule="atLeast"/>
          <w:cantSplit/>
        </w:trPr>
        <w:tc>
          <w:tcPr>
            <w:tcW w:w="9356" w:type="dxa"/>
            <w:gridSpan w:val="3"/>
            <w:tcBorders>
              <w:bottom w:val="double" w:sz="4" w:space="0" w:color="000000"/>
            </w:tcBorders>
          </w:tcPr>
          <w:p>
            <w:pPr>
              <w:pStyle w:val="Normal"/>
              <w:spacing w:lineRule="exact" w:line="240"/>
              <w:jc w:val="center"/>
              <w:rPr>
                <w:highlight w:val="none"/>
                <w:shd w:fill="FFFFFF" w:val="clear"/>
              </w:rPr>
            </w:pPr>
            <w:r>
              <w:rPr>
                <w:sz w:val="24"/>
                <w:shd w:fill="FFFFFF" w:val="clear"/>
              </w:rPr>
              <w:t>Федеральное государственное бюджетное образовательное учреждение</w:t>
            </w:r>
          </w:p>
          <w:p>
            <w:pPr>
              <w:pStyle w:val="Normal"/>
              <w:spacing w:lineRule="exact" w:line="240"/>
              <w:jc w:val="center"/>
              <w:rPr>
                <w:highlight w:val="none"/>
                <w:shd w:fill="FFFFFF" w:val="clear"/>
              </w:rPr>
            </w:pPr>
            <w:r>
              <w:rPr>
                <w:sz w:val="24"/>
                <w:shd w:fill="FFFFFF" w:val="clear"/>
              </w:rPr>
              <w:t xml:space="preserve"> </w:t>
            </w:r>
            <w:r>
              <w:rPr>
                <w:sz w:val="24"/>
                <w:shd w:fill="FFFFFF" w:val="clear"/>
              </w:rPr>
              <w:t>высшего образования</w:t>
            </w:r>
          </w:p>
          <w:p>
            <w:pPr>
              <w:pStyle w:val="Normal"/>
              <w:spacing w:lineRule="exact" w:line="240"/>
              <w:jc w:val="center"/>
              <w:rPr>
                <w:highlight w:val="none"/>
                <w:shd w:fill="FFFFFF" w:val="clear"/>
              </w:rPr>
            </w:pPr>
            <w:r>
              <w:rPr>
                <w:b/>
                <w:sz w:val="24"/>
                <w:shd w:fill="FFFFFF" w:val="clear"/>
              </w:rPr>
              <w:t>«</w:t>
            </w:r>
            <w:r>
              <w:rPr>
                <w:b/>
                <w:sz w:val="24"/>
                <w:szCs w:val="24"/>
                <w:shd w:fill="FFFFFF" w:val="clear"/>
              </w:rPr>
              <w:t>МИРЭА</w:t>
            </w:r>
            <w:r>
              <w:rPr>
                <w:b/>
                <w:sz w:val="24"/>
                <w:shd w:fill="FFFFFF" w:val="clear"/>
              </w:rPr>
              <w:t xml:space="preserve"> – Российский технологический университет»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ind w:hanging="0" w:left="0"/>
              <w:jc w:val="center"/>
              <w:outlineLvl w:val="0"/>
              <w:rPr>
                <w:highlight w:val="none"/>
                <w:shd w:fill="FFFFFF" w:val="clear"/>
              </w:rPr>
            </w:pPr>
            <w:r>
              <w:rPr>
                <w:b/>
                <w:sz w:val="32"/>
                <w:szCs w:val="32"/>
                <w:shd w:fill="FFFFFF" w:val="clear"/>
              </w:rPr>
              <w:t>РТУ МИРЭА</w:t>
            </w:r>
          </w:p>
        </w:tc>
      </w:tr>
    </w:tbl>
    <w:p>
      <w:pPr>
        <w:pStyle w:val="Normal"/>
        <w:shd w:val="clear" w:color="auto" w:fill="FFFFFF"/>
        <w:overflowPunct w:val="true"/>
        <w:snapToGrid w:val="false"/>
        <w:jc w:val="center"/>
        <w:textAlignment w:val="center"/>
        <w:rPr>
          <w:sz w:val="24"/>
          <w:szCs w:val="24"/>
          <w:highlight w:val="none"/>
          <w:shd w:fill="FFFFFF" w:val="clear"/>
        </w:rPr>
      </w:pPr>
      <w:r>
        <w:rPr>
          <w:sz w:val="24"/>
          <w:szCs w:val="24"/>
          <w:shd w:fill="FFFFFF" w:val="clear"/>
        </w:rPr>
      </w:r>
    </w:p>
    <w:p>
      <w:pPr>
        <w:pStyle w:val="Normal"/>
        <w:shd w:val="clear" w:color="auto" w:fill="FFFFFF"/>
        <w:overflowPunct w:val="true"/>
        <w:snapToGrid w:val="false"/>
        <w:jc w:val="center"/>
        <w:textAlignment w:val="center"/>
        <w:rPr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  <w:t>Институт искусственного интеллекта</w:t>
      </w:r>
    </w:p>
    <w:p>
      <w:pPr>
        <w:pStyle w:val="Normal"/>
        <w:shd w:val="clear" w:color="auto" w:fill="FFFFFF"/>
        <w:overflowPunct w:val="true"/>
        <w:snapToGrid w:val="false"/>
        <w:jc w:val="center"/>
        <w:textAlignment w:val="center"/>
        <w:rPr>
          <w:sz w:val="28"/>
          <w:szCs w:val="28"/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</w:r>
    </w:p>
    <w:p>
      <w:pPr>
        <w:pStyle w:val="Normal"/>
        <w:shd w:val="clear" w:color="auto" w:fill="FFFFFF"/>
        <w:overflowPunct w:val="true"/>
        <w:snapToGrid w:val="false"/>
        <w:jc w:val="center"/>
        <w:textAlignment w:val="center"/>
        <w:rPr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  <w:t>Кафедра автоматических систем</w:t>
      </w:r>
    </w:p>
    <w:p>
      <w:pPr>
        <w:pStyle w:val="Normal"/>
        <w:jc w:val="center"/>
        <w:rPr>
          <w:sz w:val="28"/>
          <w:szCs w:val="28"/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</w:r>
    </w:p>
    <w:p>
      <w:pPr>
        <w:pStyle w:val="Normal"/>
        <w:rPr>
          <w:highlight w:val="none"/>
          <w:shd w:fill="FFFFFF" w:val="clear"/>
        </w:rPr>
      </w:pPr>
      <w:r>
        <w:rPr>
          <w:shd w:fill="FFFFFF" w:val="clear"/>
        </w:rPr>
      </w:r>
    </w:p>
    <w:p>
      <w:pPr>
        <w:pStyle w:val="Normal"/>
        <w:rPr>
          <w:highlight w:val="none"/>
          <w:shd w:fill="FFFFFF" w:val="clear"/>
        </w:rPr>
      </w:pPr>
      <w:r>
        <w:rPr>
          <w:shd w:fill="FFFFFF" w:val="clear"/>
        </w:rPr>
      </w:r>
    </w:p>
    <w:p>
      <w:pPr>
        <w:pStyle w:val="Normal"/>
        <w:rPr>
          <w:highlight w:val="none"/>
          <w:shd w:fill="FFFFFF" w:val="clear"/>
        </w:rPr>
      </w:pPr>
      <w:r>
        <w:rPr>
          <w:shd w:fill="FFFFFF" w:val="clear"/>
        </w:rPr>
      </w:r>
    </w:p>
    <w:p>
      <w:pPr>
        <w:pStyle w:val="Normal"/>
        <w:spacing w:before="0" w:after="60"/>
        <w:jc w:val="center"/>
        <w:rPr>
          <w:highlight w:val="none"/>
          <w:shd w:fill="FFFFFF" w:val="clear"/>
        </w:rPr>
      </w:pPr>
      <w:r>
        <w:rPr>
          <w:b/>
          <w:caps/>
          <w:sz w:val="32"/>
          <w:szCs w:val="32"/>
          <w:shd w:fill="FFFFFF" w:val="clear"/>
        </w:rPr>
        <w:t xml:space="preserve">Отчёт по </w:t>
      </w:r>
      <w:r>
        <w:rPr>
          <w:b/>
          <w:sz w:val="32"/>
          <w:szCs w:val="32"/>
          <w:shd w:fill="FFFFFF" w:val="clear"/>
        </w:rPr>
        <w:t>ОЗНАКОМИТЕЛЬНОЙ</w:t>
      </w:r>
      <w:r>
        <w:rPr>
          <w:b/>
          <w:caps/>
          <w:sz w:val="32"/>
          <w:szCs w:val="32"/>
          <w:shd w:fill="FFFFFF" w:val="clear"/>
        </w:rPr>
        <w:t xml:space="preserve"> практике</w:t>
      </w:r>
    </w:p>
    <w:p>
      <w:pPr>
        <w:pStyle w:val="Normal"/>
        <w:spacing w:before="0" w:after="60"/>
        <w:jc w:val="center"/>
        <w:rPr>
          <w:b/>
          <w:caps/>
          <w:sz w:val="32"/>
          <w:szCs w:val="32"/>
          <w:highlight w:val="none"/>
          <w:shd w:fill="FFFFFF" w:val="clear"/>
        </w:rPr>
      </w:pPr>
      <w:r>
        <w:rPr>
          <w:b/>
          <w:caps/>
          <w:sz w:val="32"/>
          <w:szCs w:val="32"/>
          <w:shd w:fill="FFFFFF" w:val="clear"/>
        </w:rPr>
      </w:r>
    </w:p>
    <w:p>
      <w:pPr>
        <w:pStyle w:val="Normal"/>
        <w:spacing w:before="0" w:after="60"/>
        <w:jc w:val="center"/>
        <w:rPr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  <w:t>Ознакомительная практика</w:t>
      </w:r>
    </w:p>
    <w:p>
      <w:pPr>
        <w:pStyle w:val="Normal"/>
        <w:spacing w:before="0" w:after="60"/>
        <w:jc w:val="center"/>
        <w:rPr>
          <w:sz w:val="28"/>
          <w:szCs w:val="28"/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</w:r>
    </w:p>
    <w:p>
      <w:pPr>
        <w:pStyle w:val="Normal"/>
        <w:spacing w:before="0" w:after="60"/>
        <w:jc w:val="center"/>
        <w:rPr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  <w:t xml:space="preserve">приказ Университета о направлении на практику </w:t>
        <w:br/>
        <w:t>от «0</w:t>
      </w:r>
      <w:r>
        <w:rPr>
          <w:sz w:val="28"/>
          <w:szCs w:val="28"/>
          <w:shd w:fill="FFFFFF" w:val="clear"/>
          <w:lang w:val="ru-RU"/>
        </w:rPr>
        <w:t>9</w:t>
      </w:r>
      <w:r>
        <w:rPr>
          <w:sz w:val="28"/>
          <w:szCs w:val="28"/>
          <w:shd w:fill="FFFFFF" w:val="clear"/>
        </w:rPr>
        <w:t>» февраля 2026 г. № 979-С</w:t>
      </w:r>
    </w:p>
    <w:p>
      <w:pPr>
        <w:pStyle w:val="Normal"/>
        <w:spacing w:before="0" w:after="60"/>
        <w:rPr>
          <w:b/>
          <w:sz w:val="28"/>
          <w:szCs w:val="28"/>
          <w:highlight w:val="none"/>
          <w:shd w:fill="FFFFFF" w:val="clear"/>
        </w:rPr>
      </w:pPr>
      <w:r>
        <w:rPr>
          <w:b/>
          <w:sz w:val="28"/>
          <w:szCs w:val="28"/>
          <w:shd w:fill="FFFFFF" w:val="clear"/>
        </w:rPr>
      </w:r>
    </w:p>
    <w:p>
      <w:pPr>
        <w:pStyle w:val="Normal"/>
        <w:spacing w:before="0" w:after="60"/>
        <w:rPr>
          <w:b/>
          <w:sz w:val="28"/>
          <w:szCs w:val="28"/>
          <w:highlight w:val="none"/>
          <w:shd w:fill="FFFFFF" w:val="clear"/>
        </w:rPr>
      </w:pPr>
      <w:r>
        <w:rPr>
          <w:b/>
          <w:sz w:val="28"/>
          <w:szCs w:val="28"/>
          <w:shd w:fill="FFFFFF" w:val="clear"/>
        </w:rPr>
      </w:r>
    </w:p>
    <w:p>
      <w:pPr>
        <w:pStyle w:val="Normal"/>
        <w:spacing w:before="0" w:after="60"/>
        <w:rPr>
          <w:b/>
          <w:sz w:val="28"/>
          <w:szCs w:val="28"/>
          <w:highlight w:val="none"/>
          <w:shd w:fill="FFFFFF" w:val="clear"/>
        </w:rPr>
      </w:pPr>
      <w:r>
        <w:rPr>
          <w:b/>
          <w:sz w:val="28"/>
          <w:szCs w:val="28"/>
          <w:shd w:fill="FFFFFF" w:val="clear"/>
        </w:rPr>
      </w:r>
    </w:p>
    <w:p>
      <w:pPr>
        <w:pStyle w:val="Normal"/>
        <w:spacing w:before="0" w:after="60"/>
        <w:rPr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  <w:t xml:space="preserve">Отчёт представлен к </w:t>
      </w:r>
    </w:p>
    <w:p>
      <w:pPr>
        <w:pStyle w:val="Normal"/>
        <w:spacing w:before="0" w:after="60"/>
        <w:rPr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  <w:t>рассмотрению:</w:t>
      </w:r>
    </w:p>
    <w:p>
      <w:pPr>
        <w:pStyle w:val="Normal"/>
        <w:spacing w:before="0" w:after="60"/>
        <w:rPr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  <w:t>Студент группы КВБО-11-2</w:t>
      </w:r>
      <w:r>
        <w:rPr>
          <w:sz w:val="28"/>
          <w:szCs w:val="28"/>
          <w:shd w:fill="FFFFFF" w:val="clear"/>
          <w:lang w:val="en-US"/>
        </w:rPr>
        <w:t>5</w:t>
      </w:r>
      <w:r>
        <w:rPr>
          <w:sz w:val="28"/>
          <w:szCs w:val="28"/>
          <w:shd w:fill="FFFFFF" w:val="clear"/>
        </w:rPr>
        <w:tab/>
        <w:t>«____» ________202</w:t>
      </w:r>
      <w:r>
        <w:rPr>
          <w:sz w:val="28"/>
          <w:szCs w:val="28"/>
          <w:shd w:fill="FFFFFF" w:val="clear"/>
          <w:lang w:val="en-US"/>
        </w:rPr>
        <w:t>6</w:t>
      </w:r>
      <w:r>
        <w:rPr>
          <w:sz w:val="28"/>
          <w:szCs w:val="28"/>
          <w:shd w:fill="FFFFFF" w:val="clear"/>
        </w:rPr>
        <w:t>г.</w:t>
        <w:tab/>
        <w:t xml:space="preserve">   </w:t>
      </w:r>
      <w:r>
        <w:rPr>
          <w:sz w:val="28"/>
          <w:szCs w:val="28"/>
          <w:u w:val="single"/>
          <w:shd w:fill="FFFFFF" w:val="clear"/>
        </w:rPr>
        <w:t xml:space="preserve">          Шапаренко Ф.А.</w:t>
      </w:r>
    </w:p>
    <w:p>
      <w:pPr>
        <w:pStyle w:val="Normal"/>
        <w:spacing w:before="100" w:after="60"/>
        <w:ind w:left="6946"/>
        <w:jc w:val="center"/>
        <w:rPr>
          <w:highlight w:val="none"/>
          <w:shd w:fill="FFFFFF" w:val="clear"/>
        </w:rPr>
      </w:pPr>
      <w:r>
        <w:rPr>
          <w:color w:themeColor="text1" w:val="000000"/>
          <w:shd w:fill="FFFFFF" w:val="clear"/>
        </w:rPr>
        <w:t>(подпись и расшифровка</w:t>
        <w:br/>
        <w:t xml:space="preserve"> подписи)</w:t>
      </w:r>
    </w:p>
    <w:p>
      <w:pPr>
        <w:pStyle w:val="Normal"/>
        <w:spacing w:before="0" w:after="60"/>
        <w:rPr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  <w:t xml:space="preserve">Отчёт </w:t>
      </w:r>
    </w:p>
    <w:p>
      <w:pPr>
        <w:pStyle w:val="Normal"/>
        <w:spacing w:before="0" w:after="60"/>
        <w:rPr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  <w:t>допущен к защите:</w:t>
      </w:r>
    </w:p>
    <w:p>
      <w:pPr>
        <w:pStyle w:val="Normal"/>
        <w:rPr>
          <w:sz w:val="28"/>
          <w:szCs w:val="28"/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</w:r>
    </w:p>
    <w:p>
      <w:pPr>
        <w:pStyle w:val="Normal"/>
        <w:rPr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  <w:t xml:space="preserve">Руководитель практики </w:t>
      </w:r>
    </w:p>
    <w:p>
      <w:pPr>
        <w:pStyle w:val="Normal"/>
        <w:spacing w:before="0" w:after="60"/>
        <w:rPr>
          <w:highlight w:val="none"/>
          <w:shd w:fill="FFFFFF" w:val="clear"/>
        </w:rPr>
      </w:pPr>
      <w:r>
        <w:rPr>
          <w:sz w:val="28"/>
          <w:szCs w:val="28"/>
          <w:shd w:fill="FFFFFF" w:val="clear"/>
        </w:rPr>
        <w:t xml:space="preserve">от кафедры </w:t>
        <w:tab/>
        <w:tab/>
        <w:tab/>
        <w:t>«____» ________202</w:t>
      </w:r>
      <w:r>
        <w:rPr>
          <w:sz w:val="28"/>
          <w:szCs w:val="28"/>
          <w:shd w:fill="FFFFFF" w:val="clear"/>
          <w:lang w:val="en-US"/>
        </w:rPr>
        <w:t>6</w:t>
      </w:r>
      <w:r>
        <w:rPr>
          <w:sz w:val="28"/>
          <w:szCs w:val="28"/>
          <w:shd w:fill="FFFFFF" w:val="clear"/>
        </w:rPr>
        <w:t>г.</w:t>
        <w:tab/>
      </w:r>
      <w:r>
        <w:rPr>
          <w:sz w:val="28"/>
          <w:szCs w:val="28"/>
          <w:u w:val="single"/>
          <w:shd w:fill="FFFFFF" w:val="clear"/>
        </w:rPr>
        <w:tab/>
        <w:t>Новоженин.М.Б.</w:t>
      </w:r>
    </w:p>
    <w:p>
      <w:pPr>
        <w:pStyle w:val="Normal"/>
        <w:spacing w:before="100" w:after="60"/>
        <w:ind w:left="6946"/>
        <w:jc w:val="center"/>
        <w:rPr>
          <w:highlight w:val="none"/>
          <w:shd w:fill="FFFFFF" w:val="clear"/>
        </w:rPr>
      </w:pPr>
      <w:r>
        <w:rPr>
          <w:color w:themeColor="text1" w:val="000000"/>
          <w:shd w:fill="FFFFFF" w:val="clear"/>
        </w:rPr>
        <w:t>(подпись и расшифровка</w:t>
        <w:br/>
        <w:t xml:space="preserve"> подписи)</w:t>
      </w:r>
    </w:p>
    <w:p>
      <w:pPr>
        <w:pStyle w:val="Normal"/>
        <w:spacing w:before="100" w:after="60"/>
        <w:jc w:val="right"/>
        <w:rPr>
          <w:sz w:val="24"/>
          <w:highlight w:val="none"/>
          <w:shd w:fill="FFFFFF" w:val="clear"/>
        </w:rPr>
      </w:pPr>
      <w:r>
        <w:rPr>
          <w:sz w:val="24"/>
          <w:shd w:fill="FFFFFF" w:val="clear"/>
        </w:rPr>
      </w:r>
    </w:p>
    <w:p>
      <w:pPr>
        <w:pStyle w:val="Normal"/>
        <w:spacing w:before="100" w:after="60"/>
        <w:jc w:val="right"/>
        <w:rPr>
          <w:sz w:val="24"/>
          <w:highlight w:val="none"/>
          <w:shd w:fill="FFFFFF" w:val="clear"/>
        </w:rPr>
      </w:pPr>
      <w:r>
        <w:rPr>
          <w:sz w:val="24"/>
          <w:shd w:fill="FFFFFF" w:val="clear"/>
        </w:rPr>
      </w:r>
    </w:p>
    <w:p>
      <w:pPr>
        <w:pStyle w:val="Normal"/>
        <w:spacing w:before="100" w:after="60"/>
        <w:jc w:val="right"/>
        <w:rPr>
          <w:sz w:val="24"/>
          <w:highlight w:val="none"/>
          <w:shd w:fill="FFFFFF" w:val="clear"/>
        </w:rPr>
      </w:pPr>
      <w:r>
        <w:rPr>
          <w:sz w:val="24"/>
          <w:shd w:fill="FFFFFF" w:val="clear"/>
        </w:rPr>
      </w:r>
    </w:p>
    <w:p>
      <w:pPr>
        <w:pStyle w:val="Normal"/>
        <w:spacing w:before="0" w:after="60"/>
        <w:rPr>
          <w:sz w:val="24"/>
          <w:highlight w:val="none"/>
          <w:shd w:fill="FFFFFF" w:val="clear"/>
        </w:rPr>
      </w:pPr>
      <w:r>
        <w:rPr>
          <w:sz w:val="24"/>
          <w:shd w:fill="FFFFFF" w:val="clear"/>
        </w:rPr>
      </w:r>
    </w:p>
    <w:p>
      <w:pPr>
        <w:pStyle w:val="Normal"/>
        <w:spacing w:before="0" w:after="60"/>
        <w:jc w:val="center"/>
        <w:rPr>
          <w:color w:themeColor="text1" w:val="000000"/>
          <w:sz w:val="24"/>
          <w:highlight w:val="none"/>
          <w:shd w:fill="FFFFFF" w:val="clear"/>
        </w:rPr>
      </w:pPr>
      <w:r>
        <w:rPr>
          <w:color w:themeColor="text1" w:val="000000"/>
          <w:sz w:val="24"/>
          <w:shd w:fill="FFFFFF" w:val="clear"/>
        </w:rPr>
      </w:r>
    </w:p>
    <w:p>
      <w:pPr>
        <w:pStyle w:val="Normal"/>
        <w:spacing w:before="0" w:after="60"/>
        <w:jc w:val="center"/>
        <w:rPr>
          <w:highlight w:val="none"/>
          <w:shd w:fill="FFFFFF" w:val="clear"/>
        </w:rPr>
      </w:pPr>
      <w:r>
        <w:rPr>
          <w:color w:themeColor="text1" w:val="000000"/>
          <w:sz w:val="28"/>
          <w:szCs w:val="28"/>
          <w:shd w:fill="FFFFFF" w:val="clear"/>
        </w:rPr>
        <w:t>Москва 202</w:t>
      </w:r>
      <w:r>
        <w:rPr>
          <w:color w:themeColor="text1" w:val="000000"/>
          <w:sz w:val="28"/>
          <w:szCs w:val="28"/>
          <w:shd w:fill="FFFFFF" w:val="clear"/>
          <w:lang w:val="en-US"/>
        </w:rPr>
        <w:t>6</w:t>
      </w:r>
    </w:p>
    <w:tbl>
      <w:tblPr>
        <w:tblW w:w="935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noVBand="0" w:firstColumn="0" w:lastRow="0" w:lastColumn="0" w:firstRow="0" w:val="0000"/>
      </w:tblPr>
      <w:tblGrid>
        <w:gridCol w:w="2599"/>
        <w:gridCol w:w="3166"/>
        <w:gridCol w:w="3591"/>
      </w:tblGrid>
      <w:tr>
        <w:trPr>
          <w:trHeight w:val="184" w:hRule="atLeast"/>
          <w:cantSplit/>
        </w:trPr>
        <w:tc>
          <w:tcPr>
            <w:tcW w:w="2599" w:type="dxa"/>
            <w:tcBorders/>
          </w:tcPr>
          <w:p>
            <w:pPr>
              <w:pStyle w:val="Normal"/>
              <w:widowControl w:val="false"/>
              <w:spacing w:lineRule="atLeast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166" w:type="dxa"/>
            <w:tcBorders/>
          </w:tcPr>
          <w:p>
            <w:pPr>
              <w:pStyle w:val="NoSpacing"/>
              <w:widowControl w:val="false"/>
              <w:ind w:hanging="0" w:left="-2595" w:right="-3454"/>
              <w:jc w:val="center"/>
              <w:rPr/>
            </w:pPr>
            <w:r>
              <w:rPr/>
              <w:drawing>
                <wp:inline distT="0" distB="0" distL="0" distR="0">
                  <wp:extent cx="890905" cy="1009015"/>
                  <wp:effectExtent l="0" t="0" r="0" b="0"/>
                  <wp:docPr id="2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>
                            <a:grayscl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 w:val="false"/>
              <w:spacing w:lineRule="atLeast" w:line="240"/>
              <w:jc w:val="center"/>
              <w:rPr>
                <w:caps/>
                <w:sz w:val="24"/>
              </w:rPr>
            </w:pPr>
            <w:r>
              <w:rPr>
                <w:caps/>
                <w:sz w:val="24"/>
              </w:rPr>
            </w:r>
          </w:p>
        </w:tc>
      </w:tr>
      <w:tr>
        <w:trPr>
          <w:trHeight w:val="554" w:hRule="atLeast"/>
          <w:cantSplit/>
        </w:trPr>
        <w:tc>
          <w:tcPr>
            <w:tcW w:w="9356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tLeast" w:line="240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>
        <w:trPr>
          <w:trHeight w:val="18" w:hRule="atLeast"/>
          <w:cantSplit/>
        </w:trPr>
        <w:tc>
          <w:tcPr>
            <w:tcW w:w="9356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center"/>
              <w:rPr>
                <w:sz w:val="24"/>
              </w:rPr>
            </w:pPr>
            <w:r>
              <w:rPr>
                <w:sz w:val="24"/>
              </w:rPr>
              <w:t>Федеральное государственное бюджетное образовательное учреждение</w:t>
            </w:r>
          </w:p>
          <w:p>
            <w:pPr>
              <w:pStyle w:val="Normal"/>
              <w:widowControl w:val="false"/>
              <w:spacing w:lineRule="exact" w:line="24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высшего образования</w:t>
            </w:r>
          </w:p>
          <w:p>
            <w:pPr>
              <w:pStyle w:val="Normal"/>
              <w:widowControl w:val="false"/>
              <w:spacing w:lineRule="exact" w:line="240"/>
              <w:jc w:val="center"/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– Российский технологический университет»</w:t>
            </w:r>
          </w:p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ind w:hanging="0" w:left="0"/>
              <w:jc w:val="center"/>
              <w:outlineLvl w:val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pStyle w:val="Normal"/>
        <w:shd w:val="clear" w:color="auto" w:fill="FFFFFF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Институт искусственного интеллекта </w:t>
      </w:r>
    </w:p>
    <w:p>
      <w:pPr>
        <w:pStyle w:val="Normal"/>
        <w:shd w:val="clear" w:color="auto" w:fill="FFFFFF"/>
        <w:jc w:val="center"/>
        <w:rPr>
          <w:sz w:val="28"/>
          <w:szCs w:val="28"/>
        </w:rPr>
      </w:pPr>
      <w:r>
        <w:rPr>
          <w:sz w:val="28"/>
          <w:szCs w:val="28"/>
        </w:rPr>
        <w:t>Кафедра автоматических систем</w:t>
      </w:r>
    </w:p>
    <w:p>
      <w:pPr>
        <w:pStyle w:val="Normal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индивидуальное задание </w:t>
        <w:br/>
        <w:t>на ОЗНАКОМИТЕЛЬную практику</w:t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</w:r>
    </w:p>
    <w:p>
      <w:pPr>
        <w:pStyle w:val="Normal"/>
        <w:spacing w:before="0" w:after="60"/>
        <w:jc w:val="center"/>
        <w:rPr>
          <w:sz w:val="28"/>
          <w:szCs w:val="28"/>
        </w:rPr>
      </w:pPr>
      <w:r>
        <w:rPr>
          <w:sz w:val="28"/>
          <w:szCs w:val="28"/>
        </w:rPr>
        <w:t>Ознакомительная практика</w:t>
      </w:r>
    </w:p>
    <w:p>
      <w:pPr>
        <w:pStyle w:val="Normal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tbl>
      <w:tblPr>
        <w:tblStyle w:val="632"/>
        <w:tblW w:w="93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9325"/>
      </w:tblGrid>
      <w:tr>
        <w:trPr/>
        <w:tc>
          <w:tcPr>
            <w:tcW w:w="93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студенту </w:t>
            </w:r>
            <w:r>
              <w:rPr>
                <w:sz w:val="28"/>
                <w:szCs w:val="28"/>
                <w:lang w:val="en-US" w:bidi="ar-SA"/>
              </w:rPr>
              <w:t>I</w:t>
            </w:r>
            <w:r>
              <w:rPr>
                <w:sz w:val="28"/>
                <w:szCs w:val="28"/>
                <w:lang w:val="ru-RU" w:bidi="ar-SA"/>
              </w:rPr>
              <w:t xml:space="preserve"> курса группы КВБО-11-25 Шапаренко Фёдору Александровичу</w:t>
            </w:r>
          </w:p>
        </w:tc>
      </w:tr>
      <w:tr>
        <w:trPr/>
        <w:tc>
          <w:tcPr>
            <w:tcW w:w="93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lang w:val="ru-RU" w:bidi="ar-SA"/>
              </w:rPr>
            </w:pPr>
            <w:r>
              <w:rPr>
                <w:lang w:val="ru-RU" w:bidi="ar-SA"/>
              </w:rPr>
            </w:r>
          </w:p>
        </w:tc>
      </w:tr>
      <w:tr>
        <w:trPr/>
        <w:tc>
          <w:tcPr>
            <w:tcW w:w="93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 w:bidi="ar-SA"/>
              </w:rPr>
              <w:t xml:space="preserve">Место и время практики: </w:t>
            </w:r>
            <w:r>
              <w:rPr>
                <w:sz w:val="28"/>
                <w:szCs w:val="28"/>
                <w:lang w:val="ru-RU" w:bidi="ar-SA"/>
              </w:rPr>
              <w:t>кафедра автоматических систем, учебные лаборатории, второй учебный семестр.</w:t>
            </w:r>
          </w:p>
        </w:tc>
      </w:tr>
      <w:tr>
        <w:trPr/>
        <w:tc>
          <w:tcPr>
            <w:tcW w:w="93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 w:bidi="ar-SA"/>
              </w:rPr>
              <w:t xml:space="preserve">Должность на практике: </w:t>
            </w:r>
            <w:r>
              <w:rPr>
                <w:sz w:val="28"/>
                <w:szCs w:val="28"/>
                <w:lang w:val="ru-RU" w:bidi="ar-SA"/>
              </w:rPr>
              <w:t>практикант.</w:t>
            </w:r>
          </w:p>
        </w:tc>
      </w:tr>
      <w:tr>
        <w:trPr/>
        <w:tc>
          <w:tcPr>
            <w:tcW w:w="93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caps/>
                <w:sz w:val="28"/>
                <w:szCs w:val="22"/>
                <w:lang w:val="ru-RU" w:bidi="ar-SA"/>
              </w:rPr>
              <w:t>1. Целевая установка:</w:t>
            </w:r>
          </w:p>
        </w:tc>
      </w:tr>
      <w:tr>
        <w:trPr/>
        <w:tc>
          <w:tcPr>
            <w:tcW w:w="93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b/>
                <w:sz w:val="28"/>
                <w:szCs w:val="28"/>
              </w:rPr>
            </w:pPr>
            <w:r>
              <w:rPr>
                <w:sz w:val="28"/>
                <w:szCs w:val="22"/>
                <w:lang w:val="ru-RU" w:bidi="ar-SA"/>
              </w:rPr>
              <w:t>Закрепление, расширение и систематизация теоретических знаний, полученных при изучении специальных дисциплин, а также и приобретение практических навыков на основе изучения деятельности конкретной организации.</w:t>
            </w:r>
          </w:p>
        </w:tc>
      </w:tr>
      <w:tr>
        <w:trPr/>
        <w:tc>
          <w:tcPr>
            <w:tcW w:w="93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caps/>
                <w:sz w:val="28"/>
                <w:szCs w:val="28"/>
              </w:rPr>
            </w:pPr>
            <w:r>
              <w:rPr>
                <w:b/>
                <w:caps/>
                <w:sz w:val="28"/>
                <w:szCs w:val="28"/>
                <w:lang w:val="ru-RU" w:bidi="ar-SA"/>
              </w:rPr>
              <w:t>2. Содержание практики:</w:t>
            </w:r>
          </w:p>
        </w:tc>
      </w:tr>
      <w:tr>
        <w:trPr/>
        <w:tc>
          <w:tcPr>
            <w:tcW w:w="93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2.1 Ознакомиться со спецификой функционирования университета, его структурой, работой различных подразделений.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2.2 Изучить предложенный теоретический материал.</w:t>
            </w:r>
          </w:p>
        </w:tc>
      </w:tr>
      <w:tr>
        <w:trPr/>
        <w:tc>
          <w:tcPr>
            <w:tcW w:w="93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2.3 Практически выполнить дополнительное индивидуальное задание.</w:t>
            </w:r>
          </w:p>
        </w:tc>
      </w:tr>
      <w:tr>
        <w:trPr>
          <w:trHeight w:val="289" w:hRule="atLeast"/>
        </w:trPr>
        <w:tc>
          <w:tcPr>
            <w:tcW w:w="93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b/>
                <w:caps/>
                <w:sz w:val="28"/>
                <w:szCs w:val="28"/>
                <w:lang w:val="ru-RU" w:bidi="ar-SA"/>
              </w:rPr>
              <w:t>3. Дополнительное задание:</w:t>
            </w:r>
          </w:p>
        </w:tc>
      </w:tr>
      <w:tr>
        <w:trPr>
          <w:trHeight w:val="127" w:hRule="atLeast"/>
        </w:trPr>
        <w:tc>
          <w:tcPr>
            <w:tcW w:w="93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b/>
                <w:caps/>
                <w:sz w:val="28"/>
                <w:szCs w:val="28"/>
              </w:rPr>
            </w:pPr>
            <w:r>
              <w:rPr>
                <w:caps/>
                <w:sz w:val="28"/>
                <w:szCs w:val="28"/>
                <w:lang w:val="ru-RU" w:bidi="ar-SA"/>
              </w:rPr>
              <w:t xml:space="preserve">3.1 </w:t>
            </w:r>
            <w:r>
              <w:rPr>
                <w:sz w:val="28"/>
                <w:szCs w:val="28"/>
                <w:lang w:val="ru-RU" w:bidi="ar-SA"/>
              </w:rPr>
              <w:t>Изучить цифровые технологии, применяющиеся для разработки систем интеллектуального управления и обработки информации.</w:t>
            </w:r>
          </w:p>
        </w:tc>
      </w:tr>
      <w:tr>
        <w:trPr>
          <w:trHeight w:val="127" w:hRule="atLeast"/>
        </w:trPr>
        <w:tc>
          <w:tcPr>
            <w:tcW w:w="93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3.2 Практически освоить технологии интеллектуального управления и обработки информации, применяющиеся </w:t>
            </w:r>
            <w:r>
              <w:rPr>
                <w:rFonts w:eastAsia="Times New Roman" w:cs="Times New Roman"/>
                <w:sz w:val="28"/>
                <w:szCs w:val="28"/>
              </w:rPr>
              <w:t>для анализа и семантического представления текстовых данных на основе линейных (LSA) и нелинейных (BERT) моделей</w:t>
            </w:r>
            <w:r>
              <w:rPr>
                <w:rFonts w:eastAsia="Times New Roman" w:cs="Times New Roman"/>
                <w:sz w:val="28"/>
                <w:szCs w:val="28"/>
                <w:lang w:val="ru-RU" w:bidi="ar-SA"/>
              </w:rPr>
              <w:t>.</w:t>
            </w:r>
          </w:p>
        </w:tc>
      </w:tr>
      <w:tr>
        <w:trPr/>
        <w:tc>
          <w:tcPr>
            <w:tcW w:w="93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caps/>
                <w:sz w:val="28"/>
                <w:szCs w:val="28"/>
              </w:rPr>
            </w:pPr>
            <w:r>
              <w:rPr>
                <w:b/>
                <w:caps/>
                <w:sz w:val="28"/>
                <w:szCs w:val="28"/>
                <w:lang w:val="ru-RU" w:bidi="ar-SA"/>
              </w:rPr>
              <w:t>3. Организационно-методические указания: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b/>
                <w:caps/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Своевременно прибыть на место практики, соблюдать внутренний распорядок, выполнять требования охраны труда, пожарной безопасности  и режима рабочего дня, действующие в учреждении.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Style w:val="632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2954"/>
        <w:gridCol w:w="6406"/>
      </w:tblGrid>
      <w:tr>
        <w:trPr/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ageBreakBefore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Руководитель практики от кафедры</w:t>
            </w:r>
          </w:p>
        </w:tc>
      </w:tr>
      <w:tr>
        <w:trPr/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«1</w:t>
            </w:r>
            <w:r>
              <w:rPr>
                <w:sz w:val="28"/>
                <w:szCs w:val="28"/>
                <w:lang w:val="en-GB" w:bidi="ar-SA"/>
              </w:rPr>
              <w:t>2</w:t>
            </w:r>
            <w:r>
              <w:rPr>
                <w:sz w:val="28"/>
                <w:szCs w:val="28"/>
                <w:lang w:val="ru-RU" w:bidi="ar-SA"/>
              </w:rPr>
              <w:t>» февраля 202</w:t>
            </w:r>
            <w:r>
              <w:rPr>
                <w:sz w:val="28"/>
                <w:szCs w:val="28"/>
                <w:lang w:val="en-GB" w:bidi="ar-SA"/>
              </w:rPr>
              <w:t>6</w:t>
            </w:r>
            <w:r>
              <w:rPr>
                <w:sz w:val="28"/>
                <w:szCs w:val="28"/>
                <w:lang w:val="ru-RU" w:bidi="ar-SA"/>
              </w:rPr>
              <w:t xml:space="preserve"> г. __________Новоженин М.Б.</w:t>
            </w:r>
          </w:p>
        </w:tc>
      </w:tr>
      <w:tr>
        <w:trPr/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393" w:hRule="atLeast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Задание получил:</w:t>
            </w:r>
          </w:p>
        </w:tc>
      </w:tr>
      <w:tr>
        <w:trPr>
          <w:trHeight w:val="456" w:hRule="atLeast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«1</w:t>
            </w:r>
            <w:r>
              <w:rPr>
                <w:sz w:val="28"/>
                <w:szCs w:val="28"/>
                <w:lang w:val="en-GB" w:bidi="ar-SA"/>
              </w:rPr>
              <w:t>2</w:t>
            </w:r>
            <w:r>
              <w:rPr>
                <w:sz w:val="28"/>
                <w:szCs w:val="28"/>
                <w:lang w:val="ru-RU" w:bidi="ar-SA"/>
              </w:rPr>
              <w:t>» февраля 202</w:t>
            </w:r>
            <w:r>
              <w:rPr>
                <w:sz w:val="28"/>
                <w:szCs w:val="28"/>
                <w:lang w:val="en-GB" w:bidi="ar-SA"/>
              </w:rPr>
              <w:t>6</w:t>
            </w:r>
            <w:r>
              <w:rPr>
                <w:sz w:val="28"/>
                <w:szCs w:val="28"/>
                <w:lang w:val="ru-RU" w:bidi="ar-SA"/>
              </w:rPr>
              <w:t xml:space="preserve"> г. __________ Шапаренко Ф.А.</w:t>
            </w:r>
          </w:p>
        </w:tc>
      </w:tr>
      <w:tr>
        <w:trPr/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caps/>
                <w:sz w:val="28"/>
                <w:szCs w:val="28"/>
              </w:rPr>
            </w:pPr>
            <w:r>
              <w:rPr>
                <w:caps/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before="0" w:after="60"/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 w:bidi="ar-SA"/>
              </w:rPr>
              <w:t>СОГЛАСОВАНО:</w:t>
            </w:r>
          </w:p>
          <w:p>
            <w:pPr>
              <w:pStyle w:val="Normal"/>
              <w:widowControl w:val="false"/>
              <w:spacing w:before="0" w:after="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Заведующий кафедрой</w:t>
            </w:r>
          </w:p>
          <w:p>
            <w:pPr>
              <w:pStyle w:val="Normal"/>
              <w:widowControl w:val="false"/>
              <w:spacing w:before="0" w:after="6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«1</w:t>
            </w:r>
            <w:r>
              <w:rPr>
                <w:sz w:val="28"/>
                <w:szCs w:val="28"/>
                <w:lang w:val="en-GB" w:bidi="ar-SA"/>
              </w:rPr>
              <w:t>2</w:t>
            </w:r>
            <w:r>
              <w:rPr>
                <w:sz w:val="28"/>
                <w:szCs w:val="28"/>
                <w:lang w:val="ru-RU" w:bidi="ar-SA"/>
              </w:rPr>
              <w:t>» февраля 202</w:t>
            </w:r>
            <w:r>
              <w:rPr>
                <w:sz w:val="28"/>
                <w:szCs w:val="28"/>
                <w:lang w:val="en-GB" w:bidi="ar-SA"/>
              </w:rPr>
              <w:t>6</w:t>
            </w:r>
            <w:r>
              <w:rPr>
                <w:sz w:val="28"/>
                <w:szCs w:val="28"/>
                <w:lang w:val="ru-RU" w:bidi="ar-SA"/>
              </w:rPr>
              <w:t xml:space="preserve"> г. __________ Лютов А.Г.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b/>
                <w:caps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ru-RU" w:bidi="ar-SA"/>
              </w:rPr>
              <w:t>Проведенные инструктажи:</w:t>
            </w:r>
          </w:p>
        </w:tc>
      </w:tr>
      <w:tr>
        <w:trPr>
          <w:trHeight w:val="677" w:hRule="atLeast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416" w:hRule="atLeast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Охрана труда:                                               «12» февраля 202</w:t>
            </w:r>
            <w:r>
              <w:rPr>
                <w:sz w:val="28"/>
                <w:szCs w:val="28"/>
                <w:lang w:val="en-GB" w:bidi="ar-SA"/>
              </w:rPr>
              <w:t>6</w:t>
            </w:r>
            <w:r>
              <w:rPr>
                <w:sz w:val="28"/>
                <w:szCs w:val="28"/>
                <w:lang w:val="ru-RU" w:bidi="ar-SA"/>
              </w:rPr>
              <w:t xml:space="preserve"> г.</w:t>
            </w:r>
          </w:p>
        </w:tc>
      </w:tr>
      <w:tr>
        <w:trPr/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Инструктирующий</w:t>
            </w:r>
          </w:p>
        </w:tc>
        <w:tc>
          <w:tcPr>
            <w:tcW w:w="64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_____________  </w:t>
            </w:r>
            <w:r>
              <w:rPr>
                <w:sz w:val="28"/>
                <w:szCs w:val="28"/>
                <w:u w:val="single"/>
                <w:lang w:val="ru-RU" w:bidi="ar-SA"/>
              </w:rPr>
              <w:t>Новоженин М.Б. к.т.н, доцент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lang w:val="ru-RU" w:bidi="ar-SA"/>
              </w:rPr>
            </w:pPr>
            <w:r>
              <w:rPr>
                <w:sz w:val="28"/>
                <w:szCs w:val="28"/>
                <w:lang w:val="ru-RU" w:bidi="ar-SA"/>
              </w:rPr>
              <w:t xml:space="preserve">       </w:t>
            </w:r>
            <w:r>
              <w:rPr>
                <w:lang w:val="ru-RU" w:bidi="ar-SA"/>
              </w:rPr>
              <w:t>(подпись)                                    (расшифровка, должность)</w:t>
            </w:r>
          </w:p>
        </w:tc>
      </w:tr>
      <w:tr>
        <w:trPr/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Инструктируемый</w:t>
            </w:r>
          </w:p>
        </w:tc>
        <w:tc>
          <w:tcPr>
            <w:tcW w:w="64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_____________      </w:t>
            </w:r>
            <w:r>
              <w:rPr>
                <w:sz w:val="28"/>
                <w:szCs w:val="28"/>
                <w:u w:val="single"/>
                <w:lang w:val="ru-RU" w:bidi="ar-SA"/>
              </w:rPr>
              <w:t>Шапаренко Ф.А.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       </w:t>
            </w:r>
            <w:r>
              <w:rPr>
                <w:lang w:val="ru-RU" w:bidi="ar-SA"/>
              </w:rPr>
              <w:t>(подпись)                                    (расшифровка)</w:t>
            </w:r>
          </w:p>
        </w:tc>
      </w:tr>
      <w:tr>
        <w:trPr/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4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376" w:hRule="atLeast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425" w:hRule="atLeast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Техника безопасности:                                 «12» февраля 202</w:t>
            </w:r>
            <w:r>
              <w:rPr>
                <w:sz w:val="28"/>
                <w:szCs w:val="28"/>
                <w:lang w:val="en-GB" w:bidi="ar-SA"/>
              </w:rPr>
              <w:t>6</w:t>
            </w:r>
            <w:r>
              <w:rPr>
                <w:sz w:val="28"/>
                <w:szCs w:val="28"/>
                <w:lang w:val="ru-RU" w:bidi="ar-SA"/>
              </w:rPr>
              <w:t xml:space="preserve"> г.</w:t>
            </w:r>
          </w:p>
        </w:tc>
      </w:tr>
      <w:tr>
        <w:trPr/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4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Инструктирующий</w:t>
            </w:r>
          </w:p>
        </w:tc>
        <w:tc>
          <w:tcPr>
            <w:tcW w:w="64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_____________      </w:t>
            </w:r>
            <w:r>
              <w:rPr>
                <w:sz w:val="28"/>
                <w:szCs w:val="28"/>
                <w:u w:val="single"/>
                <w:lang w:val="ru-RU" w:bidi="ar-SA"/>
              </w:rPr>
              <w:t>Новоженин М.Б</w:t>
            </w:r>
            <w:r>
              <w:rPr>
                <w:sz w:val="28"/>
                <w:szCs w:val="28"/>
                <w:lang w:val="ru-RU" w:bidi="ar-SA"/>
              </w:rPr>
              <w:t xml:space="preserve">. </w:t>
            </w:r>
            <w:r>
              <w:rPr>
                <w:sz w:val="28"/>
                <w:szCs w:val="28"/>
                <w:u w:val="single"/>
                <w:lang w:val="ru-RU" w:bidi="ar-SA"/>
              </w:rPr>
              <w:t>, к.т.н, доцент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lang w:val="ru-RU" w:bidi="ar-SA"/>
              </w:rPr>
            </w:pPr>
            <w:r>
              <w:rPr>
                <w:sz w:val="28"/>
                <w:szCs w:val="28"/>
                <w:lang w:val="ru-RU" w:bidi="ar-SA"/>
              </w:rPr>
              <w:t xml:space="preserve">       </w:t>
            </w:r>
            <w:r>
              <w:rPr>
                <w:lang w:val="ru-RU" w:bidi="ar-SA"/>
              </w:rPr>
              <w:t>(подпись)                                    (расшифровка, должность)</w:t>
            </w:r>
          </w:p>
        </w:tc>
      </w:tr>
      <w:tr>
        <w:trPr/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Инструктируемый</w:t>
            </w:r>
          </w:p>
        </w:tc>
        <w:tc>
          <w:tcPr>
            <w:tcW w:w="64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_____________     </w:t>
            </w:r>
            <w:r>
              <w:rPr>
                <w:sz w:val="28"/>
                <w:szCs w:val="28"/>
                <w:u w:val="single"/>
                <w:lang w:val="ru-RU" w:bidi="ar-SA"/>
              </w:rPr>
              <w:t>Шапаренко Ф.А.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       </w:t>
            </w:r>
            <w:r>
              <w:rPr>
                <w:lang w:val="ru-RU" w:bidi="ar-SA"/>
              </w:rPr>
              <w:t>(подпись)                                    (расшифровка)</w:t>
            </w:r>
          </w:p>
        </w:tc>
      </w:tr>
      <w:tr>
        <w:trPr>
          <w:trHeight w:val="740" w:hRule="atLeast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390" w:hRule="atLeast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Пожарная безопасность:                              «12» февраля 202</w:t>
            </w:r>
            <w:r>
              <w:rPr>
                <w:sz w:val="28"/>
                <w:szCs w:val="28"/>
                <w:lang w:val="en-GB" w:bidi="ar-SA"/>
              </w:rPr>
              <w:t>6</w:t>
            </w:r>
            <w:r>
              <w:rPr>
                <w:sz w:val="28"/>
                <w:szCs w:val="28"/>
                <w:lang w:val="ru-RU" w:bidi="ar-SA"/>
              </w:rPr>
              <w:t xml:space="preserve"> г.</w:t>
            </w:r>
          </w:p>
        </w:tc>
      </w:tr>
      <w:tr>
        <w:trPr/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4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Инструктирующий</w:t>
            </w:r>
          </w:p>
        </w:tc>
        <w:tc>
          <w:tcPr>
            <w:tcW w:w="64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_____________      </w:t>
            </w:r>
            <w:r>
              <w:rPr>
                <w:sz w:val="28"/>
                <w:szCs w:val="28"/>
                <w:u w:val="single"/>
                <w:lang w:val="ru-RU" w:bidi="ar-SA"/>
              </w:rPr>
              <w:t>Новоженин М.Б</w:t>
            </w:r>
            <w:r>
              <w:rPr>
                <w:sz w:val="28"/>
                <w:szCs w:val="28"/>
                <w:lang w:val="ru-RU" w:bidi="ar-SA"/>
              </w:rPr>
              <w:t xml:space="preserve">. </w:t>
            </w:r>
            <w:r>
              <w:rPr>
                <w:sz w:val="28"/>
                <w:szCs w:val="28"/>
                <w:u w:val="single"/>
                <w:lang w:val="ru-RU" w:bidi="ar-SA"/>
              </w:rPr>
              <w:t>,  к.т.н, доцент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lang w:val="ru-RU" w:bidi="ar-SA"/>
              </w:rPr>
            </w:pPr>
            <w:r>
              <w:rPr>
                <w:sz w:val="28"/>
                <w:szCs w:val="28"/>
                <w:lang w:val="ru-RU" w:bidi="ar-SA"/>
              </w:rPr>
              <w:t xml:space="preserve">       </w:t>
            </w:r>
            <w:r>
              <w:rPr>
                <w:lang w:val="ru-RU" w:bidi="ar-SA"/>
              </w:rPr>
              <w:t>(подпись)                                    (расшифровка, должность)</w:t>
            </w:r>
          </w:p>
        </w:tc>
      </w:tr>
      <w:tr>
        <w:trPr/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Инструктируемый</w:t>
            </w:r>
          </w:p>
        </w:tc>
        <w:tc>
          <w:tcPr>
            <w:tcW w:w="64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_____________     </w:t>
            </w:r>
            <w:r>
              <w:rPr>
                <w:sz w:val="28"/>
                <w:szCs w:val="28"/>
                <w:u w:val="single"/>
                <w:lang w:val="ru-RU" w:bidi="ar-SA"/>
              </w:rPr>
              <w:t>Шапаренко Ф.А.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       </w:t>
            </w:r>
            <w:r>
              <w:rPr>
                <w:lang w:val="ru-RU" w:bidi="ar-SA"/>
              </w:rPr>
              <w:t>(подпись)                                    (расшифровка)</w:t>
            </w:r>
          </w:p>
        </w:tc>
      </w:tr>
      <w:tr>
        <w:trPr>
          <w:trHeight w:val="559" w:hRule="atLeast"/>
        </w:trPr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4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_____________________:                              «____»______________20_____г.</w:t>
            </w:r>
          </w:p>
        </w:tc>
      </w:tr>
      <w:tr>
        <w:trPr/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64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Инструктирующий</w:t>
            </w:r>
          </w:p>
        </w:tc>
        <w:tc>
          <w:tcPr>
            <w:tcW w:w="64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_____________      ___________________________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lang w:val="ru-RU" w:bidi="ar-SA"/>
              </w:rPr>
            </w:pPr>
            <w:r>
              <w:rPr>
                <w:sz w:val="28"/>
                <w:szCs w:val="28"/>
                <w:lang w:val="ru-RU" w:bidi="ar-SA"/>
              </w:rPr>
              <w:t xml:space="preserve">       </w:t>
            </w:r>
            <w:r>
              <w:rPr>
                <w:lang w:val="ru-RU" w:bidi="ar-SA"/>
              </w:rPr>
              <w:t>(подпись)                                    (расшифровка, должность)</w:t>
            </w:r>
          </w:p>
        </w:tc>
      </w:tr>
      <w:tr>
        <w:trPr/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Инструктируемый</w:t>
            </w:r>
          </w:p>
        </w:tc>
        <w:tc>
          <w:tcPr>
            <w:tcW w:w="64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_____________      ___________________________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 xml:space="preserve">       </w:t>
            </w:r>
            <w:r>
              <w:rPr>
                <w:lang w:val="ru-RU" w:bidi="ar-SA"/>
              </w:rPr>
              <w:t>(подпись)                                    (расшифровка)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С правилами внутреннего распорядка ознакомлен «1</w:t>
      </w:r>
      <w:r>
        <w:rPr>
          <w:sz w:val="24"/>
          <w:szCs w:val="24"/>
          <w:lang w:val="ru-RU"/>
        </w:rPr>
        <w:t>2</w:t>
      </w:r>
      <w:r>
        <w:rPr>
          <w:sz w:val="24"/>
          <w:szCs w:val="24"/>
        </w:rPr>
        <w:t>» февраля 202</w:t>
      </w:r>
      <w:r>
        <w:rPr>
          <w:sz w:val="24"/>
          <w:szCs w:val="24"/>
          <w:lang w:val="en-GB"/>
        </w:rPr>
        <w:t>6</w:t>
      </w:r>
      <w:r>
        <w:rPr>
          <w:sz w:val="24"/>
          <w:szCs w:val="24"/>
        </w:rPr>
        <w:t xml:space="preserve"> г.</w:t>
      </w:r>
    </w:p>
    <w:p>
      <w:pPr>
        <w:pStyle w:val="Normal"/>
        <w:ind w:hanging="0" w:left="3119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hanging="0" w:left="4536"/>
        <w:rPr>
          <w:sz w:val="28"/>
          <w:szCs w:val="28"/>
        </w:rPr>
      </w:pPr>
      <w:r>
        <w:rPr>
          <w:sz w:val="24"/>
          <w:szCs w:val="24"/>
        </w:rPr>
        <w:t>_____________              Шапаренко Ф.А.</w:t>
      </w:r>
    </w:p>
    <w:p>
      <w:pPr>
        <w:pStyle w:val="Normal"/>
        <w:ind w:hanging="0" w:left="4536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/>
        <w:t>(подпись)                                    (расшифровка)</w:t>
      </w:r>
    </w:p>
    <w:p>
      <w:pPr>
        <w:pStyle w:val="Normal"/>
        <w:rPr>
          <w:sz w:val="8"/>
          <w:szCs w:val="28"/>
        </w:rPr>
      </w:pPr>
      <w:r>
        <w:rPr>
          <w:sz w:val="8"/>
          <w:szCs w:val="28"/>
        </w:rPr>
      </w:r>
    </w:p>
    <w:tbl>
      <w:tblPr>
        <w:tblW w:w="935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noVBand="0" w:firstColumn="0" w:lastRow="0" w:lastColumn="0" w:firstRow="0" w:val="0000"/>
      </w:tblPr>
      <w:tblGrid>
        <w:gridCol w:w="2599"/>
        <w:gridCol w:w="3166"/>
        <w:gridCol w:w="3591"/>
      </w:tblGrid>
      <w:tr>
        <w:trPr>
          <w:trHeight w:val="184" w:hRule="atLeast"/>
          <w:cantSplit/>
        </w:trPr>
        <w:tc>
          <w:tcPr>
            <w:tcW w:w="2599" w:type="dxa"/>
            <w:tcBorders/>
          </w:tcPr>
          <w:p>
            <w:pPr>
              <w:pStyle w:val="Normal"/>
              <w:widowControl w:val="false"/>
              <w:spacing w:lineRule="atLeast" w:line="240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b/>
                <w:bCs/>
                <w:sz w:val="22"/>
                <w:szCs w:val="24"/>
              </w:rPr>
            </w:r>
          </w:p>
        </w:tc>
        <w:tc>
          <w:tcPr>
            <w:tcW w:w="3166" w:type="dxa"/>
            <w:tcBorders/>
          </w:tcPr>
          <w:p>
            <w:pPr>
              <w:pStyle w:val="NoSpacing"/>
              <w:widowControl w:val="false"/>
              <w:ind w:hanging="0" w:left="-2595" w:right="-3454"/>
              <w:jc w:val="center"/>
              <w:rPr>
                <w:sz w:val="18"/>
              </w:rPr>
            </w:pPr>
            <w:r>
              <w:rPr/>
              <w:drawing>
                <wp:inline distT="0" distB="0" distL="0" distR="0">
                  <wp:extent cx="890905" cy="1009015"/>
                  <wp:effectExtent l="0" t="0" r="0" b="0"/>
                  <wp:docPr id="3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grayscl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 w:val="false"/>
              <w:spacing w:lineRule="atLeast" w:line="240"/>
              <w:jc w:val="center"/>
              <w:rPr>
                <w:caps/>
                <w:sz w:val="22"/>
              </w:rPr>
            </w:pPr>
            <w:r>
              <w:rPr>
                <w:caps/>
                <w:sz w:val="22"/>
              </w:rPr>
            </w:r>
          </w:p>
        </w:tc>
      </w:tr>
      <w:tr>
        <w:trPr>
          <w:trHeight w:val="554" w:hRule="atLeast"/>
          <w:cantSplit/>
        </w:trPr>
        <w:tc>
          <w:tcPr>
            <w:tcW w:w="9356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tLeast" w:line="240"/>
              <w:jc w:val="center"/>
              <w:rPr>
                <w:caps/>
                <w:sz w:val="18"/>
              </w:rPr>
            </w:pPr>
            <w:r>
              <w:rPr>
                <w:caps/>
                <w:sz w:val="22"/>
                <w:szCs w:val="24"/>
              </w:rPr>
              <w:t>МИНОБРНАУКИ РОССИИ</w:t>
            </w:r>
          </w:p>
        </w:tc>
      </w:tr>
      <w:tr>
        <w:trPr>
          <w:trHeight w:val="18" w:hRule="atLeast"/>
          <w:cantSplit/>
        </w:trPr>
        <w:tc>
          <w:tcPr>
            <w:tcW w:w="9356" w:type="dxa"/>
            <w:gridSpan w:val="3"/>
            <w:tcBorders/>
          </w:tcPr>
          <w:p>
            <w:pPr>
              <w:pStyle w:val="Normal"/>
              <w:widowControl w:val="false"/>
              <w:spacing w:lineRule="exact" w:line="240"/>
              <w:jc w:val="center"/>
              <w:rPr>
                <w:sz w:val="22"/>
              </w:rPr>
            </w:pPr>
            <w:r>
              <w:rPr>
                <w:sz w:val="22"/>
              </w:rPr>
              <w:t>Федеральное государственное бюджетное образовательное учреждение</w:t>
            </w:r>
          </w:p>
          <w:p>
            <w:pPr>
              <w:pStyle w:val="Normal"/>
              <w:widowControl w:val="false"/>
              <w:spacing w:lineRule="exact" w:line="24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высшего образования</w:t>
            </w:r>
          </w:p>
          <w:p>
            <w:pPr>
              <w:pStyle w:val="Normal"/>
              <w:widowControl w:val="false"/>
              <w:spacing w:lineRule="exact" w:line="240"/>
              <w:jc w:val="center"/>
              <w:rPr>
                <w:b/>
                <w:sz w:val="18"/>
              </w:rPr>
            </w:pPr>
            <w:r>
              <w:rPr>
                <w:b/>
                <w:sz w:val="22"/>
              </w:rPr>
              <w:t>«</w:t>
            </w:r>
            <w:r>
              <w:rPr>
                <w:b/>
                <w:sz w:val="22"/>
                <w:szCs w:val="24"/>
              </w:rPr>
              <w:t>МИРЭА</w:t>
            </w:r>
            <w:r>
              <w:rPr>
                <w:b/>
                <w:sz w:val="22"/>
              </w:rPr>
              <w:t xml:space="preserve"> – Российский технологический университет»</w:t>
            </w:r>
          </w:p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ind w:hanging="0" w:left="0"/>
              <w:jc w:val="center"/>
              <w:outlineLvl w:val="0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РТУ МИРЭА</w:t>
            </w:r>
          </w:p>
        </w:tc>
      </w:tr>
    </w:tbl>
    <w:p>
      <w:pPr>
        <w:pStyle w:val="Normal"/>
        <w:jc w:val="center"/>
        <w:rPr>
          <w:sz w:val="18"/>
        </w:rPr>
      </w:pPr>
      <w:r>
        <w:rPr>
          <w:sz w:val="18"/>
        </w:rPr>
      </w:r>
    </w:p>
    <w:p>
      <w:pPr>
        <w:pStyle w:val="Normal"/>
        <w:shd w:val="clear" w:color="auto" w:fill="FFFFFF"/>
        <w:jc w:val="center"/>
        <w:rPr>
          <w:sz w:val="22"/>
          <w:szCs w:val="28"/>
        </w:rPr>
      </w:pPr>
      <w:r>
        <w:rPr>
          <w:sz w:val="22"/>
          <w:szCs w:val="28"/>
        </w:rPr>
        <w:t xml:space="preserve">Институт искусственного интеллекта </w:t>
      </w:r>
    </w:p>
    <w:p>
      <w:pPr>
        <w:pStyle w:val="Normal"/>
        <w:shd w:val="clear" w:color="auto" w:fill="FFFFFF"/>
        <w:jc w:val="center"/>
        <w:rPr>
          <w:sz w:val="22"/>
          <w:szCs w:val="28"/>
        </w:rPr>
      </w:pPr>
      <w:r>
        <w:rPr>
          <w:sz w:val="22"/>
          <w:szCs w:val="28"/>
        </w:rPr>
        <w:t>Кафедра автоматических систем</w:t>
      </w:r>
    </w:p>
    <w:p>
      <w:pPr>
        <w:pStyle w:val="Normal"/>
        <w:rPr>
          <w:sz w:val="18"/>
        </w:rPr>
      </w:pPr>
      <w:r>
        <w:rPr>
          <w:sz w:val="18"/>
        </w:rPr>
      </w:r>
    </w:p>
    <w:p>
      <w:pPr>
        <w:pStyle w:val="Normal"/>
        <w:spacing w:before="0" w:after="60"/>
        <w:jc w:val="center"/>
        <w:rPr>
          <w:b/>
          <w:caps/>
          <w:sz w:val="24"/>
          <w:szCs w:val="28"/>
        </w:rPr>
      </w:pPr>
      <w:r>
        <w:rPr>
          <w:b/>
          <w:caps/>
          <w:sz w:val="24"/>
          <w:szCs w:val="28"/>
        </w:rPr>
        <w:t xml:space="preserve">Рабочий график проведения </w:t>
      </w:r>
    </w:p>
    <w:p>
      <w:pPr>
        <w:pStyle w:val="Normal"/>
        <w:spacing w:before="0" w:after="60"/>
        <w:jc w:val="center"/>
        <w:rPr>
          <w:b/>
          <w:caps/>
          <w:sz w:val="24"/>
          <w:szCs w:val="28"/>
        </w:rPr>
      </w:pPr>
      <w:r>
        <w:rPr>
          <w:b/>
          <w:caps/>
          <w:sz w:val="24"/>
          <w:szCs w:val="28"/>
        </w:rPr>
        <w:t>ОЗНАКОМИТЕЛЬной практики</w:t>
      </w:r>
    </w:p>
    <w:p>
      <w:pPr>
        <w:pStyle w:val="Normal"/>
        <w:spacing w:before="0" w:after="60"/>
        <w:ind w:hanging="0" w:right="-1"/>
        <w:jc w:val="both"/>
        <w:rPr>
          <w:sz w:val="22"/>
        </w:rPr>
      </w:pPr>
      <w:r>
        <w:rPr>
          <w:sz w:val="22"/>
        </w:rPr>
        <w:t xml:space="preserve">студента Шапаренко Фёдора Александровича </w:t>
      </w:r>
      <w:r>
        <w:rPr>
          <w:sz w:val="22"/>
          <w:lang w:val="en-US"/>
        </w:rPr>
        <w:t xml:space="preserve">I </w:t>
      </w:r>
      <w:r>
        <w:rPr>
          <w:sz w:val="22"/>
        </w:rPr>
        <w:t>курса группы КВБО-11-2</w:t>
      </w:r>
      <w:r>
        <w:rPr>
          <w:sz w:val="22"/>
          <w:lang w:val="en-GB"/>
        </w:rPr>
        <w:t>5</w:t>
      </w:r>
      <w:r>
        <w:rPr>
          <w:sz w:val="22"/>
        </w:rPr>
        <w:t xml:space="preserve"> очной формы обучения, обучающегося по направлению подготовки 09.03.01 «Информатика и вычислительная техника», профиль «Интеллектуальные системы управления и обработки информации».</w:t>
      </w:r>
    </w:p>
    <w:p>
      <w:pPr>
        <w:pStyle w:val="Normal"/>
        <w:spacing w:before="0" w:after="60"/>
        <w:ind w:hanging="0" w:left="567"/>
        <w:jc w:val="both"/>
        <w:rPr>
          <w:sz w:val="24"/>
        </w:rPr>
      </w:pPr>
      <w:r>
        <w:rPr>
          <w:sz w:val="24"/>
        </w:rPr>
      </w:r>
    </w:p>
    <w:tbl>
      <w:tblPr>
        <w:tblStyle w:val="632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998"/>
        <w:gridCol w:w="1582"/>
        <w:gridCol w:w="5181"/>
        <w:gridCol w:w="1584"/>
      </w:tblGrid>
      <w:tr>
        <w:trPr/>
        <w:tc>
          <w:tcPr>
            <w:tcW w:w="99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ru-RU" w:bidi="ar-SA"/>
              </w:rPr>
              <w:t>Неделя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ru-RU" w:bidi="ar-SA"/>
              </w:rPr>
              <w:t>Сроки выполнения</w:t>
            </w:r>
          </w:p>
        </w:tc>
        <w:tc>
          <w:tcPr>
            <w:tcW w:w="5181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ru-RU" w:bidi="ar-SA"/>
              </w:rPr>
              <w:t>Этап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ru-RU" w:bidi="ar-SA"/>
              </w:rPr>
              <w:t>Отметка о выполнении</w:t>
            </w:r>
          </w:p>
        </w:tc>
      </w:tr>
      <w:tr>
        <w:trPr>
          <w:trHeight w:val="338" w:hRule="atLeast"/>
        </w:trPr>
        <w:tc>
          <w:tcPr>
            <w:tcW w:w="99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1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ru-RU" w:bidi="ar-SA"/>
              </w:rPr>
              <w:t>15.02.2026</w:t>
            </w:r>
          </w:p>
        </w:tc>
        <w:tc>
          <w:tcPr>
            <w:tcW w:w="5181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Получение индивидуального задания</w:t>
            </w:r>
          </w:p>
        </w:tc>
        <w:tc>
          <w:tcPr>
            <w:tcW w:w="1584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99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ru-RU" w:bidi="ar-SA"/>
              </w:rPr>
              <w:t>15.02.2026</w:t>
            </w:r>
          </w:p>
        </w:tc>
        <w:tc>
          <w:tcPr>
            <w:tcW w:w="5181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Инструктаж по охране труда, технике безопасности, пожарной безопасности, а также ознакомление с правилами внутреннего распорядка РТУ-МИРЭА</w:t>
            </w:r>
          </w:p>
        </w:tc>
        <w:tc>
          <w:tcPr>
            <w:tcW w:w="1584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99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2-3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ru-RU" w:bidi="ar-SA"/>
              </w:rPr>
              <w:t>1</w:t>
            </w:r>
            <w:r>
              <w:rPr>
                <w:sz w:val="22"/>
                <w:szCs w:val="22"/>
                <w:lang w:val="en-GB" w:bidi="ar-SA"/>
              </w:rPr>
              <w:t>7</w:t>
            </w:r>
            <w:r>
              <w:rPr>
                <w:sz w:val="22"/>
                <w:szCs w:val="22"/>
                <w:lang w:val="ru-RU" w:bidi="ar-SA"/>
              </w:rPr>
              <w:t>.02.202</w:t>
            </w:r>
            <w:r>
              <w:rPr>
                <w:sz w:val="22"/>
                <w:szCs w:val="22"/>
                <w:lang w:val="en-GB" w:bidi="ar-SA"/>
              </w:rPr>
              <w:t>6</w:t>
            </w:r>
            <w:r>
              <w:rPr>
                <w:sz w:val="22"/>
                <w:szCs w:val="22"/>
                <w:lang w:val="ru-RU" w:bidi="ar-SA"/>
              </w:rPr>
              <w:t>-26.02.202</w:t>
            </w:r>
            <w:r>
              <w:rPr>
                <w:sz w:val="22"/>
                <w:szCs w:val="22"/>
                <w:lang w:val="en-GB" w:bidi="ar-SA"/>
              </w:rPr>
              <w:t>6</w:t>
            </w:r>
          </w:p>
        </w:tc>
        <w:tc>
          <w:tcPr>
            <w:tcW w:w="5181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Ознакомление с общей структурой РТУ-МИРЭА и Института искусственного интеллекта</w:t>
            </w:r>
          </w:p>
        </w:tc>
        <w:tc>
          <w:tcPr>
            <w:tcW w:w="1584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99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4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27.02.202</w:t>
            </w:r>
            <w:r>
              <w:rPr>
                <w:sz w:val="22"/>
                <w:szCs w:val="22"/>
                <w:lang w:val="en-GB" w:bidi="ar-SA"/>
              </w:rPr>
              <w:t>6</w:t>
            </w:r>
            <w:r>
              <w:rPr>
                <w:sz w:val="22"/>
                <w:szCs w:val="22"/>
                <w:lang w:val="ru-RU" w:bidi="ar-SA"/>
              </w:rPr>
              <w:t>-05.03.202</w:t>
            </w:r>
            <w:r>
              <w:rPr>
                <w:sz w:val="22"/>
                <w:szCs w:val="22"/>
                <w:lang w:val="en-GB" w:bidi="ar-SA"/>
              </w:rPr>
              <w:t>6</w:t>
            </w:r>
          </w:p>
        </w:tc>
        <w:tc>
          <w:tcPr>
            <w:tcW w:w="5181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Изучение опыта работы кафедры «Автоматических систем» РТУ-МИРЭА</w:t>
            </w:r>
          </w:p>
        </w:tc>
        <w:tc>
          <w:tcPr>
            <w:tcW w:w="1584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99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5-7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ru-RU" w:bidi="ar-SA"/>
              </w:rPr>
              <w:t>06.03.202</w:t>
            </w:r>
            <w:r>
              <w:rPr>
                <w:sz w:val="22"/>
                <w:szCs w:val="22"/>
                <w:lang w:val="en-GB" w:bidi="ar-SA"/>
              </w:rPr>
              <w:t>6</w:t>
            </w:r>
            <w:r>
              <w:rPr>
                <w:sz w:val="22"/>
                <w:szCs w:val="22"/>
                <w:lang w:val="ru-RU" w:bidi="ar-SA"/>
              </w:rPr>
              <w:t>-26.03.202</w:t>
            </w:r>
            <w:r>
              <w:rPr>
                <w:sz w:val="22"/>
                <w:szCs w:val="22"/>
                <w:lang w:val="en-GB" w:bidi="ar-SA"/>
              </w:rPr>
              <w:t>6</w:t>
            </w:r>
          </w:p>
        </w:tc>
        <w:tc>
          <w:tcPr>
            <w:tcW w:w="5181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Изучение цифровых технологий, применяющихся для разработки систем интеллектуального управления и обработки информации</w:t>
            </w:r>
          </w:p>
        </w:tc>
        <w:tc>
          <w:tcPr>
            <w:tcW w:w="1584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99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8-14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27.03.202</w:t>
            </w:r>
            <w:r>
              <w:rPr>
                <w:sz w:val="22"/>
                <w:szCs w:val="22"/>
                <w:lang w:val="en-GB" w:bidi="ar-SA"/>
              </w:rPr>
              <w:t>6</w:t>
            </w:r>
            <w:r>
              <w:rPr>
                <w:sz w:val="22"/>
                <w:szCs w:val="22"/>
                <w:lang w:val="ru-RU" w:bidi="ar-SA"/>
              </w:rPr>
              <w:t>-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ru-RU" w:bidi="ar-SA"/>
              </w:rPr>
              <w:t>14.05.202</w:t>
            </w:r>
            <w:r>
              <w:rPr>
                <w:sz w:val="22"/>
                <w:szCs w:val="22"/>
                <w:lang w:val="en-GB" w:bidi="ar-SA"/>
              </w:rPr>
              <w:t>6</w:t>
            </w:r>
          </w:p>
        </w:tc>
        <w:tc>
          <w:tcPr>
            <w:tcW w:w="5181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 xml:space="preserve">Практическое освоение технологий интеллектуального управления и обработки информации, применяющихся </w:t>
            </w:r>
            <w:r>
              <w:rPr>
                <w:sz w:val="22"/>
                <w:szCs w:val="22"/>
              </w:rPr>
              <w:t>для анализа и семантического представления текстовых данных на основе линейных (LSA) и нелинейных (BERT) моделей</w:t>
            </w:r>
            <w:r>
              <w:rPr>
                <w:sz w:val="22"/>
                <w:szCs w:val="22"/>
                <w:lang w:val="ru-RU" w:bidi="ar-SA"/>
              </w:rPr>
              <w:t>.</w:t>
            </w:r>
          </w:p>
        </w:tc>
        <w:tc>
          <w:tcPr>
            <w:tcW w:w="1584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99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15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ru-RU" w:bidi="ar-SA"/>
              </w:rPr>
              <w:t>15.05.202</w:t>
            </w:r>
            <w:r>
              <w:rPr>
                <w:sz w:val="22"/>
                <w:szCs w:val="22"/>
                <w:lang w:val="en-GB" w:bidi="ar-SA"/>
              </w:rPr>
              <w:t>6</w:t>
            </w:r>
            <w:r>
              <w:rPr>
                <w:sz w:val="22"/>
                <w:szCs w:val="22"/>
                <w:lang w:val="ru-RU" w:bidi="ar-SA"/>
              </w:rPr>
              <w:t>-21.05.202</w:t>
            </w:r>
            <w:r>
              <w:rPr>
                <w:sz w:val="22"/>
                <w:szCs w:val="22"/>
                <w:lang w:val="en-GB" w:bidi="ar-SA"/>
              </w:rPr>
              <w:t>6</w:t>
            </w:r>
          </w:p>
        </w:tc>
        <w:tc>
          <w:tcPr>
            <w:tcW w:w="5181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Оформление отчёта по практике</w:t>
            </w:r>
          </w:p>
        </w:tc>
        <w:tc>
          <w:tcPr>
            <w:tcW w:w="1584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99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16</w:t>
            </w:r>
          </w:p>
        </w:tc>
        <w:tc>
          <w:tcPr>
            <w:tcW w:w="158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22.05.202</w:t>
            </w:r>
            <w:r>
              <w:rPr>
                <w:sz w:val="22"/>
                <w:szCs w:val="22"/>
                <w:lang w:val="en-GB" w:bidi="ar-SA"/>
              </w:rPr>
              <w:t>6</w:t>
            </w:r>
            <w:r>
              <w:rPr>
                <w:sz w:val="22"/>
                <w:szCs w:val="22"/>
                <w:lang w:val="ru-RU" w:bidi="ar-SA"/>
              </w:rPr>
              <w:t>-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ru-RU" w:bidi="ar-SA"/>
              </w:rPr>
              <w:t>3</w:t>
            </w:r>
            <w:r>
              <w:rPr>
                <w:sz w:val="22"/>
                <w:szCs w:val="22"/>
                <w:lang w:val="en-GB" w:bidi="ar-SA"/>
              </w:rPr>
              <w:t>1</w:t>
            </w:r>
            <w:r>
              <w:rPr>
                <w:sz w:val="22"/>
                <w:szCs w:val="22"/>
                <w:lang w:val="ru-RU" w:bidi="ar-SA"/>
              </w:rPr>
              <w:t>.05.202</w:t>
            </w:r>
            <w:r>
              <w:rPr>
                <w:sz w:val="22"/>
                <w:szCs w:val="22"/>
                <w:lang w:val="en-GB" w:bidi="ar-SA"/>
              </w:rPr>
              <w:t>6</w:t>
            </w:r>
          </w:p>
        </w:tc>
        <w:tc>
          <w:tcPr>
            <w:tcW w:w="5181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Защита отчёта по практике</w:t>
            </w:r>
          </w:p>
        </w:tc>
        <w:tc>
          <w:tcPr>
            <w:tcW w:w="1584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pacing w:before="0" w:after="60"/>
        <w:rPr>
          <w:b/>
          <w:sz w:val="24"/>
        </w:rPr>
      </w:pPr>
      <w:r>
        <w:rPr>
          <w:b/>
          <w:sz w:val="24"/>
        </w:rPr>
      </w:r>
    </w:p>
    <w:tbl>
      <w:tblPr>
        <w:tblStyle w:val="632"/>
        <w:tblW w:w="962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3207"/>
        <w:gridCol w:w="2740"/>
        <w:gridCol w:w="3676"/>
      </w:tblGrid>
      <w:tr>
        <w:trPr>
          <w:trHeight w:val="689" w:hRule="atLeast"/>
        </w:trPr>
        <w:tc>
          <w:tcPr>
            <w:tcW w:w="320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60"/>
              <w:jc w:val="left"/>
              <w:rPr>
                <w:sz w:val="24"/>
              </w:rPr>
            </w:pPr>
            <w:r>
              <w:rPr>
                <w:sz w:val="24"/>
                <w:lang w:val="ru-RU" w:bidi="ar-SA"/>
              </w:rPr>
              <w:t>Руководитель практики от</w:t>
            </w:r>
          </w:p>
          <w:p>
            <w:pPr>
              <w:pStyle w:val="Normal"/>
              <w:widowControl w:val="false"/>
              <w:spacing w:before="0" w:after="60"/>
              <w:jc w:val="left"/>
              <w:rPr>
                <w:b/>
                <w:sz w:val="24"/>
              </w:rPr>
            </w:pPr>
            <w:r>
              <w:rPr>
                <w:sz w:val="24"/>
                <w:lang w:val="ru-RU" w:bidi="ar-SA"/>
              </w:rPr>
              <w:t>кафедры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widowControl w:val="false"/>
              <w:spacing w:before="0" w:after="60"/>
              <w:jc w:val="left"/>
              <w:rPr>
                <w:b/>
                <w:sz w:val="24"/>
              </w:rPr>
            </w:pPr>
            <w:r>
              <w:rPr>
                <w:b/>
                <w:sz w:val="24"/>
                <w:lang w:val="ru-RU" w:bidi="ar-SA"/>
              </w:rPr>
              <w:t>____________________</w:t>
            </w:r>
          </w:p>
        </w:tc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6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widowControl w:val="false"/>
              <w:spacing w:before="0" w:after="60"/>
              <w:jc w:val="left"/>
              <w:rPr>
                <w:sz w:val="24"/>
              </w:rPr>
            </w:pPr>
            <w:r>
              <w:rPr>
                <w:sz w:val="24"/>
                <w:lang w:val="ru-RU" w:bidi="ar-SA"/>
              </w:rPr>
              <w:t>Новоженин М. Б.</w:t>
            </w:r>
          </w:p>
        </w:tc>
      </w:tr>
      <w:tr>
        <w:trPr>
          <w:trHeight w:val="689" w:hRule="atLeast"/>
        </w:trPr>
        <w:tc>
          <w:tcPr>
            <w:tcW w:w="320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6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widowControl w:val="false"/>
              <w:spacing w:before="0" w:after="60"/>
              <w:jc w:val="left"/>
              <w:rPr>
                <w:sz w:val="24"/>
              </w:rPr>
            </w:pPr>
            <w:r>
              <w:rPr>
                <w:sz w:val="24"/>
                <w:lang w:val="ru-RU" w:bidi="ar-SA"/>
              </w:rPr>
              <w:t>Обучающийся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widowControl w:val="false"/>
              <w:spacing w:before="0" w:after="60"/>
              <w:jc w:val="left"/>
              <w:rPr>
                <w:b/>
                <w:sz w:val="24"/>
              </w:rPr>
            </w:pPr>
            <w:r>
              <w:rPr>
                <w:b/>
                <w:sz w:val="24"/>
                <w:lang w:val="ru-RU" w:bidi="ar-SA"/>
              </w:rPr>
              <w:t>____________________</w:t>
            </w:r>
          </w:p>
        </w:tc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6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widowControl w:val="false"/>
              <w:spacing w:before="0" w:after="60"/>
              <w:jc w:val="left"/>
              <w:rPr>
                <w:sz w:val="24"/>
              </w:rPr>
            </w:pPr>
            <w:r>
              <w:rPr>
                <w:color w:val="000000"/>
                <w:sz w:val="24"/>
                <w:szCs w:val="24"/>
                <w:lang w:val="ru-RU" w:bidi="ar-SA"/>
              </w:rPr>
              <w:t>Шапаренко Ф.А.</w:t>
            </w:r>
          </w:p>
        </w:tc>
      </w:tr>
    </w:tbl>
    <w:p>
      <w:pPr>
        <w:pStyle w:val="Normal"/>
        <w:spacing w:before="0" w:after="60"/>
        <w:rPr>
          <w:b w:val="false"/>
          <w:bCs w:val="false"/>
          <w:sz w:val="24"/>
        </w:rPr>
      </w:pPr>
      <w:r>
        <w:rPr>
          <w:b w:val="false"/>
          <w:bCs w:val="false"/>
          <w:sz w:val="24"/>
        </w:rPr>
      </w:r>
    </w:p>
    <w:p>
      <w:pPr>
        <w:pStyle w:val="Normal"/>
        <w:spacing w:before="0" w:after="60"/>
        <w:rPr>
          <w:b/>
          <w:sz w:val="24"/>
        </w:rPr>
      </w:pPr>
      <w:r>
        <w:rPr>
          <w:b/>
          <w:sz w:val="24"/>
        </w:rPr>
        <w:t>Согласовано:</w:t>
      </w:r>
    </w:p>
    <w:tbl>
      <w:tblPr>
        <w:tblStyle w:val="632"/>
        <w:tblW w:w="962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3207"/>
        <w:gridCol w:w="2740"/>
        <w:gridCol w:w="3676"/>
      </w:tblGrid>
      <w:tr>
        <w:trPr>
          <w:trHeight w:val="689" w:hRule="atLeast"/>
        </w:trPr>
        <w:tc>
          <w:tcPr>
            <w:tcW w:w="320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60"/>
              <w:jc w:val="left"/>
              <w:rPr>
                <w:sz w:val="24"/>
              </w:rPr>
            </w:pPr>
            <w:r>
              <w:rPr>
                <w:sz w:val="24"/>
                <w:lang w:val="ru-RU" w:bidi="ar-SA"/>
              </w:rPr>
              <w:t>Заведующий кафедрой</w:t>
            </w:r>
          </w:p>
          <w:p>
            <w:pPr>
              <w:pStyle w:val="Normal"/>
              <w:widowControl w:val="false"/>
              <w:spacing w:before="0" w:after="60"/>
              <w:jc w:val="left"/>
              <w:rPr>
                <w:b/>
                <w:sz w:val="24"/>
              </w:rPr>
            </w:pPr>
            <w:r>
              <w:rPr>
                <w:sz w:val="24"/>
                <w:lang w:val="ru-RU" w:bidi="ar-SA"/>
              </w:rPr>
              <w:t>автоматических систем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6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widowControl w:val="false"/>
              <w:spacing w:before="0" w:after="60"/>
              <w:jc w:val="left"/>
              <w:rPr>
                <w:b/>
                <w:sz w:val="24"/>
              </w:rPr>
            </w:pPr>
            <w:r>
              <w:rPr>
                <w:sz w:val="24"/>
                <w:lang w:val="ru-RU" w:bidi="ar-SA"/>
              </w:rPr>
              <w:t>____________________</w:t>
            </w:r>
          </w:p>
        </w:tc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6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widowControl w:val="false"/>
              <w:spacing w:before="0" w:after="60"/>
              <w:jc w:val="left"/>
              <w:rPr>
                <w:b/>
                <w:sz w:val="24"/>
              </w:rPr>
            </w:pPr>
            <w:r>
              <w:rPr>
                <w:sz w:val="24"/>
                <w:lang w:val="ru-RU" w:bidi="ar-SA"/>
              </w:rPr>
              <w:t>Лютов А.Г.</w:t>
            </w:r>
          </w:p>
        </w:tc>
      </w:tr>
    </w:tbl>
    <w:p>
      <w:pPr>
        <w:pStyle w:val="Normal"/>
        <w:spacing w:lineRule="auto" w:line="360" w:before="0" w:after="0"/>
        <w:ind w:left="0" w:right="0"/>
        <w:jc w:val="center"/>
        <w:rPr/>
      </w:pPr>
      <w:r>
        <w:rPr>
          <w:rFonts w:cs="Times New Roman"/>
          <w:b/>
          <w:i w:val="false"/>
          <w:color w:val="000000"/>
          <w:sz w:val="28"/>
        </w:rPr>
        <w:t>СОДЕРЖАНИЕ</w:t>
      </w:r>
    </w:p>
    <w:p>
      <w:pPr>
        <w:pStyle w:val="Normal"/>
        <w:tabs>
          <w:tab w:val="clear" w:pos="708"/>
          <w:tab w:val="right" w:pos="9354" w:leader="dot"/>
        </w:tabs>
        <w:spacing w:lineRule="auto" w:line="360" w:before="0" w:after="0"/>
        <w:ind w:left="0"/>
        <w:jc w:val="left"/>
        <w:rPr/>
      </w:pPr>
      <w:r>
        <w:rPr>
          <w:rFonts w:cs="Times New Roman"/>
          <w:b w:val="false"/>
          <w:color w:val="000000"/>
          <w:sz w:val="28"/>
        </w:rPr>
        <w:t>ВВЕДЕНИЕ</w:t>
        <w:tab/>
      </w:r>
      <w:r>
        <w:rPr>
          <w:rFonts w:cs="Times New Roman"/>
          <w:sz w:val="28"/>
        </w:rPr>
        <w:t>3</w:t>
      </w:r>
    </w:p>
    <w:p>
      <w:pPr>
        <w:pStyle w:val="Normal"/>
        <w:tabs>
          <w:tab w:val="clear" w:pos="708"/>
          <w:tab w:val="right" w:pos="9354" w:leader="dot"/>
        </w:tabs>
        <w:spacing w:lineRule="auto" w:line="360" w:before="0" w:after="0"/>
        <w:ind w:left="0"/>
        <w:jc w:val="left"/>
        <w:rPr/>
      </w:pPr>
      <w:r>
        <w:rPr>
          <w:rFonts w:cs="Times New Roman"/>
          <w:b w:val="false"/>
          <w:color w:val="000000"/>
          <w:sz w:val="28"/>
        </w:rPr>
        <w:t>1 РТУ МИРЭА</w:t>
        <w:tab/>
      </w:r>
      <w:r>
        <w:rPr>
          <w:rFonts w:cs="Times New Roman"/>
          <w:sz w:val="28"/>
        </w:rPr>
        <w:t>5</w:t>
      </w:r>
    </w:p>
    <w:p>
      <w:pPr>
        <w:pStyle w:val="Normal"/>
        <w:tabs>
          <w:tab w:val="clear" w:pos="708"/>
          <w:tab w:val="right" w:pos="9354" w:leader="dot"/>
        </w:tabs>
        <w:spacing w:lineRule="auto" w:line="360" w:before="0" w:after="0"/>
        <w:ind w:left="283"/>
        <w:jc w:val="left"/>
        <w:rPr/>
      </w:pPr>
      <w:r>
        <w:rPr>
          <w:rFonts w:cs="Times New Roman"/>
          <w:b w:val="false"/>
          <w:color w:val="000000"/>
          <w:sz w:val="28"/>
        </w:rPr>
        <w:t>1.1 Характеристика РТУ МИРЭА и кафедры автоматических систем</w:t>
        <w:tab/>
      </w:r>
      <w:r>
        <w:rPr>
          <w:rFonts w:cs="Times New Roman"/>
          <w:sz w:val="28"/>
        </w:rPr>
        <w:t>5</w:t>
      </w:r>
    </w:p>
    <w:p>
      <w:pPr>
        <w:pStyle w:val="Normal"/>
        <w:tabs>
          <w:tab w:val="clear" w:pos="708"/>
          <w:tab w:val="right" w:pos="9354" w:leader="dot"/>
        </w:tabs>
        <w:spacing w:lineRule="auto" w:line="360" w:before="0" w:after="0"/>
        <w:ind w:left="0"/>
        <w:jc w:val="left"/>
        <w:rPr/>
      </w:pPr>
      <w:r>
        <w:rPr>
          <w:rFonts w:cs="Times New Roman"/>
          <w:b w:val="false"/>
          <w:color w:val="000000"/>
          <w:sz w:val="28"/>
        </w:rPr>
        <w:t>2 Теоретическое введение</w:t>
        <w:tab/>
      </w:r>
      <w:r>
        <w:rPr>
          <w:rFonts w:cs="Times New Roman"/>
          <w:sz w:val="28"/>
        </w:rPr>
        <w:t>7</w:t>
      </w:r>
    </w:p>
    <w:p>
      <w:pPr>
        <w:pStyle w:val="Normal"/>
        <w:tabs>
          <w:tab w:val="clear" w:pos="708"/>
          <w:tab w:val="right" w:pos="9354" w:leader="dot"/>
        </w:tabs>
        <w:spacing w:lineRule="auto" w:line="360" w:before="0" w:after="0"/>
        <w:ind w:left="283"/>
        <w:jc w:val="left"/>
        <w:rPr/>
      </w:pPr>
      <w:r>
        <w:rPr>
          <w:rFonts w:cs="Times New Roman"/>
          <w:b w:val="false"/>
          <w:color w:val="000000"/>
          <w:sz w:val="28"/>
        </w:rPr>
        <w:t>2.1 Векторное представление текста как задача</w:t>
        <w:tab/>
      </w:r>
      <w:r>
        <w:rPr>
          <w:rFonts w:cs="Times New Roman"/>
          <w:sz w:val="28"/>
        </w:rPr>
        <w:t>7</w:t>
      </w:r>
    </w:p>
    <w:p>
      <w:pPr>
        <w:pStyle w:val="Normal"/>
        <w:tabs>
          <w:tab w:val="clear" w:pos="708"/>
          <w:tab w:val="right" w:pos="9354" w:leader="dot"/>
        </w:tabs>
        <w:spacing w:lineRule="auto" w:line="360" w:before="0" w:after="0"/>
        <w:ind w:left="283"/>
        <w:jc w:val="left"/>
        <w:rPr/>
      </w:pPr>
      <w:r>
        <w:rPr>
          <w:rFonts w:cs="Times New Roman"/>
          <w:b w:val="false"/>
          <w:color w:val="000000"/>
          <w:sz w:val="28"/>
        </w:rPr>
        <w:t>2.2 Латентно-семантический анализ (LSA)</w:t>
        <w:tab/>
      </w:r>
      <w:r>
        <w:rPr>
          <w:rFonts w:cs="Times New Roman"/>
          <w:sz w:val="28"/>
        </w:rPr>
        <w:t>7</w:t>
      </w:r>
    </w:p>
    <w:p>
      <w:pPr>
        <w:pStyle w:val="Normal"/>
        <w:tabs>
          <w:tab w:val="clear" w:pos="708"/>
          <w:tab w:val="right" w:pos="9354" w:leader="dot"/>
        </w:tabs>
        <w:spacing w:lineRule="auto" w:line="360" w:before="0" w:after="0"/>
        <w:ind w:left="283"/>
        <w:jc w:val="left"/>
        <w:rPr/>
      </w:pPr>
      <w:r>
        <w:rPr>
          <w:rFonts w:cs="Times New Roman"/>
          <w:b w:val="false"/>
          <w:color w:val="000000"/>
          <w:sz w:val="28"/>
        </w:rPr>
        <w:t>2.3 Модели на основе архитектуры Transformer</w:t>
        <w:tab/>
      </w:r>
      <w:r>
        <w:rPr>
          <w:rFonts w:cs="Times New Roman"/>
          <w:sz w:val="28"/>
        </w:rPr>
        <w:t>8</w:t>
      </w:r>
    </w:p>
    <w:p>
      <w:pPr>
        <w:pStyle w:val="Normal"/>
        <w:tabs>
          <w:tab w:val="clear" w:pos="708"/>
          <w:tab w:val="right" w:pos="9354" w:leader="dot"/>
        </w:tabs>
        <w:spacing w:lineRule="auto" w:line="360" w:before="0" w:after="0"/>
        <w:ind w:left="0"/>
        <w:jc w:val="left"/>
        <w:rPr/>
      </w:pPr>
      <w:r>
        <w:rPr>
          <w:rFonts w:cs="Times New Roman"/>
          <w:b w:val="false"/>
          <w:color w:val="000000"/>
          <w:sz w:val="28"/>
        </w:rPr>
        <w:t>3 Обзор источников</w:t>
        <w:tab/>
      </w:r>
      <w:r>
        <w:rPr>
          <w:rFonts w:cs="Times New Roman"/>
          <w:sz w:val="28"/>
        </w:rPr>
        <w:t>9</w:t>
      </w:r>
    </w:p>
    <w:p>
      <w:pPr>
        <w:pStyle w:val="Normal"/>
        <w:tabs>
          <w:tab w:val="clear" w:pos="708"/>
          <w:tab w:val="right" w:pos="9354" w:leader="dot"/>
        </w:tabs>
        <w:spacing w:lineRule="auto" w:line="360" w:before="0" w:after="0"/>
        <w:ind w:left="0"/>
        <w:jc w:val="left"/>
        <w:rPr/>
      </w:pPr>
      <w:r>
        <w:rPr>
          <w:rFonts w:cs="Times New Roman"/>
          <w:b w:val="false"/>
          <w:color w:val="000000"/>
          <w:sz w:val="28"/>
        </w:rPr>
        <w:t>4 Математическое описание моделей</w:t>
        <w:tab/>
      </w:r>
      <w:r>
        <w:rPr>
          <w:rFonts w:cs="Times New Roman"/>
          <w:sz w:val="28"/>
        </w:rPr>
        <w:t>10</w:t>
      </w:r>
    </w:p>
    <w:p>
      <w:pPr>
        <w:pStyle w:val="Normal"/>
        <w:tabs>
          <w:tab w:val="clear" w:pos="708"/>
          <w:tab w:val="right" w:pos="9354" w:leader="dot"/>
        </w:tabs>
        <w:spacing w:lineRule="auto" w:line="360" w:before="0" w:after="0"/>
        <w:ind w:left="283"/>
        <w:jc w:val="left"/>
        <w:rPr/>
      </w:pPr>
      <w:r>
        <w:rPr>
          <w:rFonts w:cs="Times New Roman"/>
          <w:b w:val="false"/>
          <w:color w:val="000000"/>
          <w:sz w:val="28"/>
        </w:rPr>
        <w:t>4.1 Латентно-семантический анализ (LSA)</w:t>
        <w:tab/>
      </w:r>
      <w:r>
        <w:rPr>
          <w:rFonts w:cs="Times New Roman"/>
          <w:sz w:val="28"/>
        </w:rPr>
        <w:t>10</w:t>
      </w:r>
    </w:p>
    <w:p>
      <w:pPr>
        <w:pStyle w:val="Normal"/>
        <w:tabs>
          <w:tab w:val="clear" w:pos="708"/>
          <w:tab w:val="right" w:pos="9354" w:leader="dot"/>
        </w:tabs>
        <w:spacing w:lineRule="auto" w:line="360" w:before="0" w:after="0"/>
        <w:ind w:left="283"/>
        <w:jc w:val="left"/>
        <w:rPr/>
      </w:pPr>
      <w:r>
        <w:rPr>
          <w:rFonts w:cs="Times New Roman"/>
          <w:b w:val="false"/>
          <w:color w:val="000000"/>
          <w:sz w:val="28"/>
        </w:rPr>
        <w:t>4.2 Модель all-MiniLM-L6-v2</w:t>
        <w:tab/>
      </w:r>
      <w:r>
        <w:rPr>
          <w:rFonts w:cs="Times New Roman"/>
          <w:sz w:val="28"/>
        </w:rPr>
        <w:t>11</w:t>
      </w:r>
    </w:p>
    <w:p>
      <w:pPr>
        <w:pStyle w:val="Normal"/>
        <w:tabs>
          <w:tab w:val="clear" w:pos="708"/>
          <w:tab w:val="right" w:pos="9354" w:leader="dot"/>
        </w:tabs>
        <w:spacing w:lineRule="auto" w:line="360" w:before="0" w:after="0"/>
        <w:ind w:left="0"/>
        <w:jc w:val="left"/>
        <w:rPr/>
      </w:pPr>
      <w:r>
        <w:rPr>
          <w:rFonts w:cs="Times New Roman"/>
          <w:b w:val="false"/>
          <w:color w:val="000000"/>
          <w:sz w:val="28"/>
        </w:rPr>
        <w:t>5 Методология численного эксперимента</w:t>
        <w:tab/>
      </w:r>
      <w:r>
        <w:rPr>
          <w:rFonts w:cs="Times New Roman"/>
          <w:sz w:val="28"/>
        </w:rPr>
        <w:t>13</w:t>
      </w:r>
    </w:p>
    <w:p>
      <w:pPr>
        <w:pStyle w:val="Normal"/>
        <w:tabs>
          <w:tab w:val="clear" w:pos="708"/>
          <w:tab w:val="right" w:pos="9354" w:leader="dot"/>
        </w:tabs>
        <w:spacing w:lineRule="auto" w:line="360" w:before="0" w:after="0"/>
        <w:ind w:left="283"/>
        <w:jc w:val="left"/>
        <w:rPr/>
      </w:pPr>
      <w:r>
        <w:rPr>
          <w:rFonts w:cs="Times New Roman"/>
          <w:b w:val="false"/>
          <w:color w:val="000000"/>
          <w:sz w:val="28"/>
        </w:rPr>
        <w:t>5.1 Цель эксперимента</w:t>
        <w:tab/>
      </w:r>
      <w:r>
        <w:rPr>
          <w:rFonts w:cs="Times New Roman"/>
          <w:sz w:val="28"/>
        </w:rPr>
        <w:t>13</w:t>
      </w:r>
    </w:p>
    <w:p>
      <w:pPr>
        <w:pStyle w:val="Normal"/>
        <w:tabs>
          <w:tab w:val="clear" w:pos="708"/>
          <w:tab w:val="right" w:pos="9354" w:leader="dot"/>
        </w:tabs>
        <w:spacing w:lineRule="auto" w:line="360" w:before="0" w:after="0"/>
        <w:ind w:left="283"/>
        <w:jc w:val="left"/>
        <w:rPr/>
      </w:pPr>
      <w:r>
        <w:rPr>
          <w:rFonts w:cs="Times New Roman"/>
          <w:b w:val="false"/>
          <w:color w:val="000000"/>
          <w:sz w:val="28"/>
        </w:rPr>
        <w:t>5.2 Спецификация моделей</w:t>
        <w:tab/>
      </w:r>
      <w:r>
        <w:rPr>
          <w:rFonts w:cs="Times New Roman"/>
          <w:sz w:val="28"/>
        </w:rPr>
        <w:t>13</w:t>
      </w:r>
    </w:p>
    <w:p>
      <w:pPr>
        <w:pStyle w:val="Normal"/>
        <w:tabs>
          <w:tab w:val="clear" w:pos="708"/>
          <w:tab w:val="right" w:pos="9354" w:leader="dot"/>
        </w:tabs>
        <w:spacing w:lineRule="auto" w:line="360" w:before="0" w:after="0"/>
        <w:ind w:left="283"/>
        <w:jc w:val="left"/>
        <w:rPr/>
      </w:pPr>
      <w:r>
        <w:rPr>
          <w:rFonts w:cs="Times New Roman"/>
          <w:b w:val="false"/>
          <w:color w:val="000000"/>
          <w:sz w:val="28"/>
        </w:rPr>
        <w:t>5.3 Датасеты</w:t>
        <w:tab/>
      </w:r>
      <w:r>
        <w:rPr>
          <w:rFonts w:cs="Times New Roman"/>
          <w:sz w:val="28"/>
        </w:rPr>
        <w:t>13</w:t>
      </w:r>
    </w:p>
    <w:p>
      <w:pPr>
        <w:pStyle w:val="Normal"/>
        <w:tabs>
          <w:tab w:val="clear" w:pos="708"/>
          <w:tab w:val="right" w:pos="9354" w:leader="dot"/>
        </w:tabs>
        <w:spacing w:lineRule="auto" w:line="360" w:before="0" w:after="0"/>
        <w:ind w:left="283"/>
        <w:jc w:val="left"/>
        <w:rPr/>
      </w:pPr>
      <w:r>
        <w:rPr>
          <w:rFonts w:cs="Times New Roman"/>
          <w:b w:val="false"/>
          <w:color w:val="000000"/>
          <w:sz w:val="28"/>
        </w:rPr>
        <w:t>5.4 Интринсивные метрики</w:t>
        <w:tab/>
      </w:r>
      <w:r>
        <w:rPr>
          <w:rFonts w:cs="Times New Roman"/>
          <w:sz w:val="28"/>
        </w:rPr>
        <w:t>14</w:t>
      </w:r>
    </w:p>
    <w:p>
      <w:pPr>
        <w:pStyle w:val="Normal"/>
        <w:tabs>
          <w:tab w:val="clear" w:pos="708"/>
          <w:tab w:val="right" w:pos="9354" w:leader="dot"/>
        </w:tabs>
        <w:spacing w:lineRule="auto" w:line="360" w:before="0" w:after="0"/>
        <w:ind w:left="283"/>
        <w:jc w:val="left"/>
        <w:rPr/>
      </w:pPr>
      <w:r>
        <w:rPr>
          <w:rFonts w:cs="Times New Roman"/>
          <w:b w:val="false"/>
          <w:color w:val="000000"/>
          <w:sz w:val="28"/>
        </w:rPr>
        <w:t>5.5 Экстринсивные метрики</w:t>
        <w:tab/>
      </w:r>
      <w:r>
        <w:rPr>
          <w:rFonts w:cs="Times New Roman"/>
          <w:sz w:val="28"/>
        </w:rPr>
        <w:t>15</w:t>
      </w:r>
    </w:p>
    <w:p>
      <w:pPr>
        <w:pStyle w:val="Normal"/>
        <w:tabs>
          <w:tab w:val="clear" w:pos="708"/>
          <w:tab w:val="right" w:pos="9354" w:leader="dot"/>
        </w:tabs>
        <w:spacing w:lineRule="auto" w:line="360" w:before="0" w:after="0"/>
        <w:ind w:left="0"/>
        <w:jc w:val="left"/>
        <w:rPr/>
      </w:pPr>
      <w:r>
        <w:rPr>
          <w:rFonts w:cs="Times New Roman"/>
          <w:b w:val="false"/>
          <w:color w:val="000000"/>
          <w:sz w:val="28"/>
        </w:rPr>
        <w:t>6 Обсуждение результатов</w:t>
        <w:tab/>
      </w:r>
      <w:r>
        <w:rPr>
          <w:rFonts w:cs="Times New Roman"/>
          <w:sz w:val="28"/>
        </w:rPr>
        <w:t>17</w:t>
      </w:r>
    </w:p>
    <w:p>
      <w:pPr>
        <w:pStyle w:val="Normal"/>
        <w:tabs>
          <w:tab w:val="clear" w:pos="708"/>
          <w:tab w:val="right" w:pos="9354" w:leader="dot"/>
        </w:tabs>
        <w:spacing w:lineRule="auto" w:line="360" w:before="0" w:after="0"/>
        <w:ind w:left="0"/>
        <w:jc w:val="left"/>
        <w:rPr/>
      </w:pPr>
      <w:r>
        <w:rPr>
          <w:rFonts w:cs="Times New Roman"/>
          <w:b w:val="false"/>
          <w:color w:val="000000"/>
          <w:sz w:val="28"/>
        </w:rPr>
        <w:t>ЗАКЛЮЧЕНИЕ</w:t>
        <w:tab/>
      </w:r>
      <w:r>
        <w:rPr>
          <w:rFonts w:cs="Times New Roman"/>
          <w:sz w:val="28"/>
        </w:rPr>
        <w:t>20</w:t>
      </w:r>
    </w:p>
    <w:p>
      <w:pPr>
        <w:pStyle w:val="Normal"/>
        <w:tabs>
          <w:tab w:val="clear" w:pos="708"/>
          <w:tab w:val="right" w:pos="9354" w:leader="dot"/>
        </w:tabs>
        <w:spacing w:lineRule="auto" w:line="360" w:before="0" w:after="0"/>
        <w:ind w:left="0"/>
        <w:jc w:val="left"/>
        <w:rPr/>
      </w:pPr>
      <w:r>
        <w:rPr>
          <w:rFonts w:cs="Times New Roman"/>
          <w:b w:val="false"/>
          <w:color w:val="000000"/>
          <w:sz w:val="28"/>
        </w:rPr>
        <w:t>СПИСОК ИСПОЛЬЗОВАННЫХ ИСТОЧНИКОВ</w:t>
        <w:tab/>
      </w:r>
      <w:r>
        <w:rPr>
          <w:rFonts w:cs="Times New Roman"/>
          <w:sz w:val="28"/>
        </w:rPr>
        <w:t>21</w:t>
      </w:r>
      <w:r>
        <w:br w:type="page"/>
      </w:r>
    </w:p>
    <w:p>
      <w:pPr>
        <w:pStyle w:val="Normal"/>
        <w:spacing w:lineRule="auto" w:line="360" w:before="0" w:after="0"/>
        <w:ind w:left="0" w:right="0"/>
        <w:jc w:val="center"/>
        <w:rPr>
          <w:sz w:val="20"/>
          <w:szCs w:val="20"/>
        </w:rPr>
      </w:pPr>
      <w:r>
        <w:rPr>
          <w:rFonts w:cs="Times New Roman"/>
          <w:b/>
          <w:color w:val="000000"/>
          <w:sz w:val="28"/>
        </w:rPr>
        <w:t>ВВЕДЕНИЕ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В задачах обработки естественного языка существуют два принципиально разных подхода к представлению смысла текста. Первый — латентно-семантический анализ (LSA), основанный на сингулярном разложении (SVD) терм-документной матрицы. Второй — модель на основе архитектуры трансформера (sentence-transformer all-MiniLM-L6-v2, далее — MiniLM), использующая механизм самовнимания. Переход между ними — это не просто смена инструмента, а переход от линейных матричных преобразований к нелинейным, что принципиально меняет алгебраические свойства получаемых векторных пространств.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Главным ограничением LSA является то, что вектор текста в этой модели вычисляется как линейная сумма векторов входящих в него слов. Такой подход игнорирует контекст, что приводит к проблеме полисемии: многозначные слова получают один фиксированный вектор независимо от окружения. Таким образом, LSA эффективно справляется с задачами тематического поиска, но не позволяет точно передать семантику там, где контекст принципиален.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Отличие MiniLM от LSA заключается в динамическом вычислении векторов слов: модель учитывает левый и правый контекст каждого слова, что позволяет корректно обрабатывать контекстно-зависимые явления — полисемию, отрицание и синтаксические зависимости. Это достигается за счёт механизма самовнимания, итеративно применяемого в 6 слоях MiniLM: на каждом слое вектор слова обновляется с учётом окружения. В результате векторное пространство MiniLM строится через последовательные нелинейные преобразования — что принципиально отличает его от линейного пространства LSA.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Цель настоящей работы — выявить математические основы семантической обработки текста путём сравнения алгебраических свойств векторных пространств линейной (LSA) и нелинейной (MiniLM) моделей. Сравнение проводится на основе численного эксперимента; основными метриками служат STS ρ, ARI, isotropy score (IS), effective rank (ER) и participation ratio (PR). Предполагается, что полученные результаты позволят показать связь между алгебраическими свойствами и качеством моделей: LSA будет конкурентоспособным при ограниченных вычислительных ресурсах, тогда как MiniLM будет демонстрировать преимущество в задачах, требующих учёта контекста.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  <w:r>
        <w:br w:type="page"/>
      </w:r>
    </w:p>
    <w:p>
      <w:pPr>
        <w:pStyle w:val="Normal"/>
        <w:keepNext w:val="true"/>
        <w:spacing w:lineRule="auto" w:line="360" w:before="0" w:after="0"/>
        <w:ind w:firstLine="709" w:left="0" w:right="0"/>
        <w:jc w:val="both"/>
        <w:rPr/>
      </w:pPr>
      <w:r>
        <w:rPr>
          <w:rFonts w:eastAsia="Times New Roman" w:cs="Times New Roman"/>
          <w:b/>
          <w:bCs/>
          <w:i w:val="false"/>
          <w:color w:val="000000"/>
          <w:sz w:val="28"/>
          <w:szCs w:val="28"/>
        </w:rPr>
        <w:t>1 РТУ МИРЭА</w:t>
      </w:r>
    </w:p>
    <w:p>
      <w:pPr>
        <w:pStyle w:val="Normal"/>
        <w:keepNext w:val="true"/>
        <w:spacing w:lineRule="auto" w:line="360" w:before="0" w:after="0"/>
        <w:ind w:firstLine="709" w:left="0" w:right="0"/>
        <w:jc w:val="both"/>
        <w:rPr/>
      </w:pPr>
      <w:r>
        <w:rPr>
          <w:rFonts w:eastAsia="Times New Roman" w:cs="Times New Roman"/>
          <w:b/>
          <w:bCs/>
          <w:i w:val="false"/>
          <w:color w:val="000000"/>
          <w:sz w:val="28"/>
          <w:szCs w:val="28"/>
        </w:rPr>
        <w:t>1.1 Характеристика РТУ МИРЭА и кафедры автоматических систем</w:t>
      </w:r>
    </w:p>
    <w:p>
      <w:pPr>
        <w:pStyle w:val="Normal"/>
        <w:spacing w:lineRule="auto" w:line="360" w:before="0" w:after="0"/>
        <w:ind w:firstLine="709" w:left="0" w:right="0"/>
        <w:jc w:val="both"/>
        <w:rPr/>
      </w:pPr>
      <w:r>
        <w:rPr>
          <w:rFonts w:eastAsia="Times New Roman" w:cs="Times New Roman"/>
          <w:b w:val="false"/>
          <w:color w:val="000000"/>
          <w:sz w:val="28"/>
          <w:szCs w:val="28"/>
        </w:rPr>
        <w:t>РТУ МИРЭА (Российский технологический университет) — технический университет, осуществляющий подготовку кадров для наукоёмких отраслей в области информационных технологий, автоматизации, робототехники, искусственного интеллекта, кибербезопасности и электроники. Университет ведёт историю от Московского института радиотехники, электроники и автоматики (МИРЭА), основанного в 1947 году; в 2015 году в результате реорганизации был образован Российский технологический университет. Образовательная модель строится на системе «вуз — базовая кафедра — базовое предприятие»: более 50 базовых кафедр при научно-исследовательских институтах РАН и высокотехнологичных корпорациях обеспечивают практическую составляющую подготовки и быструю адаптацию выпускников к производственным условиям.</w:t>
      </w:r>
    </w:p>
    <w:p>
      <w:pPr>
        <w:pStyle w:val="Normal"/>
        <w:spacing w:lineRule="auto" w:line="360" w:before="0" w:after="0"/>
        <w:ind w:firstLine="709" w:left="0" w:right="0"/>
        <w:jc w:val="both"/>
        <w:rPr/>
      </w:pPr>
      <w:r>
        <w:rPr>
          <w:rFonts w:eastAsia="Times New Roman" w:cs="Times New Roman"/>
          <w:b w:val="false"/>
          <w:color w:val="000000"/>
          <w:sz w:val="28"/>
          <w:szCs w:val="28"/>
        </w:rPr>
        <w:t>Университет включает специализированные институты — Институт информационных технологий, Институт искусственного интеллекта, Институт кибербезопасности и цифровых технологий, Институт радиоэлектроники и информатики, Институт тонких химических технологий им. М.В. Ломоносова и другие, — а также мегалаборатории, технопарки и центры компетенций. Образовательная деятельность охватывает все уровни подготовки: от довузовского обучения до аспирантуры.</w:t>
      </w:r>
    </w:p>
    <w:p>
      <w:pPr>
        <w:pStyle w:val="Normal"/>
        <w:spacing w:lineRule="auto" w:line="360" w:before="0" w:after="0"/>
        <w:ind w:firstLine="709" w:left="0" w:right="0"/>
        <w:jc w:val="both"/>
        <w:rPr/>
      </w:pPr>
      <w:r>
        <w:rPr>
          <w:rFonts w:eastAsia="Times New Roman" w:cs="Times New Roman"/>
          <w:b w:val="false"/>
          <w:color w:val="000000"/>
          <w:sz w:val="28"/>
          <w:szCs w:val="28"/>
        </w:rPr>
        <w:t>Институт искусственного интеллекта — одно из ключевых подразделений РТУ МИРЭА, преемник факультета кибернетики (переименован в 1983 году), преобразованного в Институт кибернетики в 2014 году и получившего современное название в 2021 году. В составе Института действует кафедра автоматических систем, обеспечивающая подготовку в области теории управления, систем реального времени и методов искусственного интеллекта. Кафедра также ведёт исследования по управлению сложными динамическими объектами, адаптивным системам и интеллектуальной диагностике.</w:t>
      </w:r>
    </w:p>
    <w:p>
      <w:pPr>
        <w:pStyle w:val="Normal"/>
        <w:spacing w:lineRule="auto" w:line="360" w:before="0" w:after="0"/>
        <w:ind w:firstLine="709" w:left="0" w:right="0"/>
        <w:jc w:val="both"/>
        <w:rPr/>
      </w:pPr>
      <w:r>
        <w:rPr>
          <w:rFonts w:eastAsia="Times New Roman" w:cs="Times New Roman"/>
          <w:b w:val="false"/>
          <w:color w:val="000000"/>
          <w:sz w:val="28"/>
          <w:szCs w:val="28"/>
        </w:rPr>
        <w:t>Таким образом, РТУ МИРЭА и кафедра автоматических систем представляют собой развитую научно-образовательную среду, объединяющую классическую инженерную подготовку, фундаментальную науку и современные интеллектуальные технологии.</w:t>
      </w:r>
      <w:r>
        <w:br w:type="page"/>
      </w:r>
    </w:p>
    <w:p>
      <w:pPr>
        <w:pStyle w:val="Normal"/>
        <w:keepNext w:val="true"/>
        <w:spacing w:lineRule="auto" w:line="360" w:before="0" w:after="0"/>
        <w:ind w:firstLine="709" w:left="0" w:right="0"/>
        <w:jc w:val="both"/>
        <w:rPr/>
      </w:pPr>
      <w:r>
        <w:rPr>
          <w:rFonts w:cs="Times New Roman"/>
          <w:b/>
          <w:i w:val="false"/>
          <w:color w:val="000000"/>
          <w:sz w:val="28"/>
        </w:rPr>
        <w:t>2 Теоретическое введение</w:t>
      </w:r>
    </w:p>
    <w:p>
      <w:pPr>
        <w:pStyle w:val="Normal"/>
        <w:keepNext w:val="true"/>
        <w:spacing w:lineRule="auto" w:line="360" w:before="0" w:after="0"/>
        <w:ind w:firstLine="709" w:left="0" w:right="0"/>
        <w:jc w:val="both"/>
        <w:rPr/>
      </w:pPr>
      <w:r>
        <w:rPr>
          <w:rFonts w:cs="Times New Roman"/>
          <w:b/>
          <w:i w:val="false"/>
          <w:color w:val="000000"/>
          <w:sz w:val="28"/>
        </w:rPr>
        <w:t>2.1 Векторное представление текста как задача</w:t>
      </w:r>
    </w:p>
    <w:p>
      <w:pPr>
        <w:pStyle w:val="Normal"/>
        <w:spacing w:lineRule="auto" w:line="360" w:before="0" w:after="0"/>
        <w:ind w:firstLine="709" w:left="0" w:right="0"/>
        <w:jc w:val="both"/>
        <w:rPr/>
      </w:pPr>
      <w:r>
        <w:rPr>
          <w:rFonts w:cs="Times New Roman"/>
          <w:b w:val="false"/>
          <w:color w:val="000000"/>
          <w:sz w:val="28"/>
        </w:rPr>
        <w:t>Обработка естественного языка опирается на перевод текста в числовую форму, пригодную для вычислений. Базовым способом такого перевода служит векторное представление: каждому слову, предложению или документу ставится в соответствие вектор в пространстве признаков, а близость текстов по смыслу выражается через геометрическую близость соответствующих векторов. От того, как именно строится это пространство, зависит, какие свойства языка модель способна уловить — тематику, синтаксис, контекст или многозначность слов. В настоящей работе рассматриваются два принципиально разных подхода к построению такого пространства: линейная модель латентно-семантического анализа (LSA) и нелинейная модель-трансформер all-MiniLM-L6-v2.</w:t>
      </w:r>
    </w:p>
    <w:p>
      <w:pPr>
        <w:pStyle w:val="Normal"/>
        <w:keepNext w:val="true"/>
        <w:spacing w:lineRule="auto" w:line="360" w:before="0" w:after="0"/>
        <w:ind w:firstLine="709" w:left="0" w:right="0"/>
        <w:jc w:val="both"/>
        <w:rPr/>
      </w:pPr>
      <w:r>
        <w:rPr>
          <w:rFonts w:cs="Times New Roman"/>
          <w:b/>
          <w:i w:val="false"/>
          <w:color w:val="000000"/>
          <w:sz w:val="28"/>
        </w:rPr>
        <w:t>2.2 Латентно-семантический анализ (LSA)</w:t>
      </w:r>
    </w:p>
    <w:p>
      <w:pPr>
        <w:pStyle w:val="Normal"/>
        <w:spacing w:lineRule="auto" w:line="360" w:before="0" w:after="0"/>
        <w:ind w:firstLine="709" w:left="0" w:right="0"/>
        <w:jc w:val="both"/>
        <w:rPr/>
      </w:pPr>
      <w:r>
        <w:rPr>
          <w:rFonts w:cs="Times New Roman"/>
          <w:b w:val="false"/>
          <w:color w:val="000000"/>
          <w:sz w:val="28"/>
        </w:rPr>
        <w:t>Латентно-семантический анализ был предложен в работе Деервестера и соавторов [1] как метод индексирования и поиска текстов, устойчивый к синонимии и многозначности. В основе метода лежит построение терм-документной матрицы, в которой строкам соответствуют слова, а столбцам — документы, а к значениям частот применяется взвешивание TF-IDF. К этой матрице применяется сингулярное разложение (SVD), выделяющее ограниченное число латентных тем; сохранение только наибольших сингулярных значений даёт приближение матрицы пониженного ранга, в котором подавляется шум и обобщаются скрытые семантические связи между словами. Дальнейшее развитие метода показало его применимость к анализу и визуализации смысловой структуры текстов [2], а вероятностное обобщение идеи латентных тем было предложено в виде вероятностного латентно-семантического анализа (pLSA) [5], где скрытые темы трактуются как латентные переменные статистической модели.</w:t>
      </w:r>
    </w:p>
    <w:p>
      <w:pPr>
        <w:pStyle w:val="Normal"/>
        <w:spacing w:lineRule="auto" w:line="360" w:before="0" w:after="0"/>
        <w:ind w:firstLine="709" w:left="0" w:right="0"/>
        <w:jc w:val="both"/>
        <w:rPr/>
      </w:pPr>
      <w:r>
        <w:rPr>
          <w:rFonts w:cs="Times New Roman"/>
          <w:b w:val="false"/>
          <w:color w:val="000000"/>
          <w:sz w:val="28"/>
        </w:rPr>
        <w:t>Ключевая особенность LSA состоит в том, что итоговый вектор текста является результатом цепочки линейных преобразований и фактически представляет собой взвешенную сумму векторов входящих в него слов. Модель работает по принципу «мешка слов»: порядок слов и синтаксические связи игнорируются. Как следствие, многозначное слово получает единственный фиксированный вектор независимо от контекста, что ограничивает точность модели в задачах, где смысл определяется окружением слова.</w:t>
      </w:r>
    </w:p>
    <w:p>
      <w:pPr>
        <w:pStyle w:val="Normal"/>
        <w:keepNext w:val="true"/>
        <w:spacing w:lineRule="auto" w:line="360" w:before="0" w:after="0"/>
        <w:ind w:firstLine="709" w:left="0" w:right="0"/>
        <w:jc w:val="both"/>
        <w:rPr/>
      </w:pPr>
      <w:r>
        <w:rPr>
          <w:rFonts w:cs="Times New Roman"/>
          <w:b/>
          <w:i w:val="false"/>
          <w:color w:val="000000"/>
          <w:sz w:val="28"/>
        </w:rPr>
        <w:t>2.3 Модели на основе архитектуры Transformer</w:t>
      </w:r>
    </w:p>
    <w:p>
      <w:pPr>
        <w:pStyle w:val="Normal"/>
        <w:spacing w:lineRule="auto" w:line="360" w:before="0" w:after="0"/>
        <w:ind w:firstLine="709" w:left="0" w:right="0"/>
        <w:jc w:val="both"/>
        <w:rPr/>
      </w:pPr>
      <w:r>
        <w:rPr>
          <w:rFonts w:cs="Times New Roman"/>
          <w:b w:val="false"/>
          <w:color w:val="000000"/>
          <w:sz w:val="28"/>
        </w:rPr>
        <w:t>Альтернативный подход возник с появлением архитектуры Transformer, предложенной в работе «Attention Is All You Need» [3]. Её центральным элементом является механизм самовнимания (self-attention), который позволяет при вычислении вектора каждого слова учитывать все остальные слова последовательности с разными весами. В отличие от LSA, представление слова здесь вычисляется динамически и зависит от контекста, а нелинейные функции активации внутри слоёв дают модели возможность улавливать сложные зависимости, недоступные линейным методам. На этой архитектуре построена модель BERT [4], которая за счёт двунаправленного предобучения формирует контекстно-зависимые представления слов: одно и то же слово в разных предложениях получает разные векторы. Роль двунаправленности при предобучении языковых моделей и её влияние на качество представлений исследуются, в частности, в работе [6].</w:t>
      </w:r>
    </w:p>
    <w:p>
      <w:pPr>
        <w:pStyle w:val="Normal"/>
        <w:spacing w:lineRule="auto" w:line="360" w:before="0" w:after="0"/>
        <w:ind w:firstLine="709" w:left="0" w:right="0"/>
        <w:jc w:val="both"/>
        <w:rPr/>
      </w:pPr>
      <w:r>
        <w:rPr>
          <w:rFonts w:cs="Times New Roman"/>
          <w:b w:val="false"/>
          <w:color w:val="000000"/>
          <w:sz w:val="28"/>
        </w:rPr>
        <w:t>Используемая в настоящей работе модель all-MiniLM-L6-v2 относится к семейству sentence-transformer и представляет собой компактный шестислойный трансформер, выдающий векторы предложений фиксированной размерности. Она наследует свойство контекстной зависимости представлений, что и обусловливает интерес к сравнению её векторного пространства с линейным пространством LSA.</w:t>
      </w:r>
      <w:r>
        <w:br w:type="page"/>
      </w:r>
    </w:p>
    <w:p>
      <w:pPr>
        <w:pStyle w:val="Normal"/>
        <w:keepNext w:val="true"/>
        <w:spacing w:lineRule="auto" w:line="360" w:before="0" w:after="0"/>
        <w:ind w:firstLine="709" w:left="0" w:right="0"/>
        <w:jc w:val="both"/>
        <w:rPr/>
      </w:pPr>
      <w:r>
        <w:rPr>
          <w:rFonts w:cs="Times New Roman"/>
          <w:b/>
          <w:i w:val="false"/>
          <w:color w:val="000000"/>
          <w:sz w:val="28"/>
        </w:rPr>
        <w:t>3 Обзор источников</w:t>
      </w:r>
    </w:p>
    <w:p>
      <w:pPr>
        <w:pStyle w:val="Normal"/>
        <w:spacing w:lineRule="auto" w:line="360" w:before="0" w:after="0"/>
        <w:ind w:firstLine="709" w:left="0" w:right="0"/>
        <w:jc w:val="both"/>
        <w:rPr/>
      </w:pPr>
      <w:r>
        <w:rPr>
          <w:rFonts w:cs="Times New Roman"/>
          <w:b w:val="false"/>
          <w:color w:val="000000"/>
          <w:sz w:val="28"/>
        </w:rPr>
        <w:t>Привлечённые источники можно разделить на две группы, соответствующие двум сравниваемым подходам: работы по латентно-семантическому анализу и работы по архитектуре Transformer и контекстным представлениям.</w:t>
      </w:r>
    </w:p>
    <w:p>
      <w:pPr>
        <w:pStyle w:val="Normal"/>
        <w:spacing w:lineRule="auto" w:line="360" w:before="0" w:after="0"/>
        <w:ind w:firstLine="709" w:left="0" w:right="0"/>
        <w:jc w:val="both"/>
        <w:rPr/>
      </w:pPr>
      <w:r>
        <w:rPr>
          <w:rFonts w:cs="Times New Roman"/>
          <w:b w:val="false"/>
          <w:color w:val="000000"/>
          <w:sz w:val="28"/>
        </w:rPr>
        <w:t>Первую группу образуют основополагающие работы по LSA. В статье Деервестера и соавторов [1] метод латентно-семантического индексирования был впервые описан как способ преодоления синонимии и многозначности при информационном поиске; эта работа задаёт математическую основу LSA, используемую в настоящем исследовании. Работа Ландауэра и соавторов [2] демонстрирует применение LSA к анализу и визуализации смысловой структуры текста и подтверждает применимость метода за пределами задачи поиска. Работа Хофмана [5] предлагает вероятностное обобщение латентно-семантического анализа (pLSA), что показывает направление развития линейного подхода в сторону статистических моделей скрытых тем.</w:t>
      </w:r>
    </w:p>
    <w:p>
      <w:pPr>
        <w:pStyle w:val="Normal"/>
        <w:spacing w:lineRule="auto" w:line="360" w:before="0" w:after="0"/>
        <w:ind w:firstLine="709" w:left="0" w:right="0"/>
        <w:jc w:val="both"/>
        <w:rPr/>
      </w:pPr>
      <w:r>
        <w:rPr>
          <w:rFonts w:cs="Times New Roman"/>
          <w:b w:val="false"/>
          <w:color w:val="000000"/>
          <w:sz w:val="28"/>
        </w:rPr>
        <w:t>Вторую группу образуют работы по трансформерам и контекстным эмбеддингам. Статья Васвани и соавторов [3] вводит архитектуру Transformer и механизм масштабированного скалярного внимания, лежащий в основе модели MiniLM. Работа Девлина и соавторов [4] описывает модель BERT и принцип формирования контекстно-зависимых представлений за счёт двунаправленного предобучения. Работа Артеце и соавторов [6] анализирует роль двунаправленности в предобучении языковых моделей, что важно для понимания того, какие свойства данных и обучения обеспечивают качество нелинейных представлений.</w:t>
      </w:r>
    </w:p>
    <w:p>
      <w:pPr>
        <w:pStyle w:val="Normal"/>
        <w:spacing w:lineRule="auto" w:line="360" w:before="0" w:after="0"/>
        <w:ind w:firstLine="709" w:left="0" w:right="0"/>
        <w:jc w:val="both"/>
        <w:rPr/>
        <w:sectPr>
          <w:type w:val="nextPage"/>
          <w:pgSz w:w="11906" w:h="16838"/>
          <w:pgMar w:left="1701" w:right="850" w:gutter="0" w:header="0" w:top="709" w:footer="0" w:bottom="851"/>
          <w:pgNumType w:start="1" w:fmt="decimal"/>
          <w:formProt w:val="false"/>
          <w:textDirection w:val="lrTb"/>
          <w:docGrid w:type="default" w:linePitch="360" w:charSpace="0"/>
        </w:sectPr>
      </w:pPr>
      <w:r>
        <w:rPr>
          <w:rFonts w:cs="Times New Roman"/>
          <w:b w:val="false"/>
          <w:color w:val="000000"/>
          <w:sz w:val="28"/>
        </w:rPr>
        <w:t>Таким образом, рассмотренные источники в совокупности охватывают оба полюса сравнения — от линейной алгебраической модели LSA [1, 2, 5] до нелинейных контекстных моделей на основе Transformer [3, 4, 6] — и формируют теоретическую базу для проводимого далее сравнительного анализа. Полные библиографические описания источников приведены в списке источников научной статьи.</w:t>
      </w:r>
      <w:r>
        <w:br w:type="page"/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4 Математическое описание моделей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4.1 Латентно-семантический анализ (LSA)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Математический фундамент LSA строится на принципах линейной алгебры и статистического анализа частот слов. Процесс начинается с построения терм-документной матрицы X [1], где строки — уникальные слова, а столбцы — фрагменты текста (документы или параграфы). Каждая ячейка матрицы содержит частоту вхождения слова, которая для повышения точности подвергается TF-IDF (Term Frequency–Inverse Document Frequency):</w:t>
      </w:r>
    </w:p>
    <w:p>
      <w:pPr>
        <w:pStyle w:val="Normal"/>
        <w:spacing w:lineRule="auto" w:line="360" w:before="120" w:after="120"/>
        <w:ind w:left="0" w:right="0"/>
        <w:jc w:val="center"/>
        <w:rPr>
          <w:sz w:val="20"/>
          <w:szCs w:val="2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TF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,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 xml:space="preserve">d</m:t>
                  </m:r>
                </m:sub>
              </m:sSub>
            </m:num>
            <m:den>
              <m:nary>
                <m:naryPr>
                  <m:chr m:val="∑"/>
                  <m:supHide m:val="1"/>
                </m:naryPr>
                <m:sub>
                  <m:r>
                    <w:rPr>
                      <w:rFonts w:ascii="Cambria Math" w:hAnsi="Cambria Math"/>
                    </w:rPr>
                    <m:t xml:space="preserve">k</m:t>
                  </m:r>
                </m:sub>
                <m:sup/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  <m:r>
                        <w:rPr>
                          <w:rFonts w:ascii="Cambria Math" w:hAnsi="Cambria Math"/>
                        </w:rPr>
                        <m:t xml:space="preserve">,</m:t>
                      </m:r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</w:rPr>
                        <m:t xml:space="preserve">d</m:t>
                      </m:r>
                    </m:sub>
                  </m:sSub>
                </m:e>
              </m:nary>
            </m:den>
          </m:f>
        </m:oMath>
      </m:oMathPara>
    </w:p>
    <w:p>
      <w:pPr>
        <w:pStyle w:val="Normal"/>
        <w:spacing w:lineRule="auto" w:line="360" w:before="120" w:after="120"/>
        <w:ind w:left="0" w:right="0"/>
        <w:jc w:val="center"/>
        <w:rPr>
          <w:sz w:val="20"/>
          <w:szCs w:val="2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IDF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,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log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f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|</m:t>
              </m:r>
              <m:r>
                <w:rPr>
                  <w:rFonts w:ascii="Cambria Math" w:hAnsi="Cambria Math"/>
                </w:rPr>
                <m:t xml:space="preserve">D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|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|</m:t>
              </m:r>
              <m:r>
                <w:rPr>
                  <w:rFonts w:ascii="Cambria Math" w:hAnsi="Cambria Math"/>
                </w:rPr>
                <m:t xml:space="preserve">{</m:t>
              </m:r>
              <m:r>
                <w:rPr>
                  <w:rFonts w:ascii="Cambria Math" w:hAnsi="Cambria Math"/>
                </w:rPr>
                <m:t xml:space="preserve">d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∈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D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: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∈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}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|</m:t>
              </m:r>
            </m:den>
          </m:f>
        </m:oMath>
      </m:oMathPara>
    </w:p>
    <w:p>
      <w:pPr>
        <w:pStyle w:val="Normal"/>
        <w:spacing w:lineRule="auto" w:line="360" w:before="120" w:after="120"/>
        <w:ind w:left="0" w:right="0"/>
        <w:jc w:val="center"/>
        <w:rPr>
          <w:sz w:val="20"/>
          <w:szCs w:val="2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TF</m:t>
          </m:r>
          <m:r>
            <m:rPr>
              <m:lit/>
              <m:nor/>
            </m:rPr>
            <w:rPr>
              <w:rFonts w:ascii="Cambria Math" w:hAnsi="Cambria Math"/>
            </w:rPr>
            <m:t xml:space="preserve">-</m:t>
          </m:r>
          <m:r>
            <w:rPr>
              <w:rFonts w:ascii="Cambria Math" w:hAnsi="Cambria Math"/>
            </w:rPr>
            <m:t xml:space="preserve">IDF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,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,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TF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,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×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IDF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,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Это позволяет снизить значимость общеупотребительных слов и выделить специфические термины.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Центральным инструментом LSA является сингулярное разложение (SVD) [2], которое раскладывает исходную матрицу X на произведение трёх матриц:</w:t>
      </w:r>
    </w:p>
    <w:p>
      <w:pPr>
        <w:pStyle w:val="Normal"/>
        <w:spacing w:lineRule="auto" w:line="360" w:before="120" w:after="120"/>
        <w:ind w:left="0" w:right="0"/>
        <w:jc w:val="center"/>
        <w:rPr>
          <w:sz w:val="20"/>
          <w:szCs w:val="2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X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UΣ</m:t>
          </m:r>
          <m:sSup>
            <m:e>
              <m:r>
                <w:rPr>
                  <w:rFonts w:ascii="Cambria Math" w:hAnsi="Cambria Math"/>
                </w:rPr>
                <m:t xml:space="preserve">V</m:t>
              </m:r>
            </m:e>
            <m:sup>
              <m:r>
                <w:rPr>
                  <w:rFonts w:ascii="Cambria Math" w:hAnsi="Cambria Math"/>
                </w:rPr>
                <m:t xml:space="preserve">T</m:t>
              </m:r>
            </m:sup>
          </m:sSup>
        </m:oMath>
      </m:oMathPara>
    </w:p>
    <w:p>
      <w:pPr>
        <w:pStyle w:val="ListParagraph"/>
        <w:numPr>
          <w:ilvl w:val="0"/>
          <w:numId w:val="4"/>
        </w:numPr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U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∈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sSup>
          <m:e>
            <m:r>
              <w:rPr>
                <w:rFonts w:ascii="Cambria Math" w:hAnsi="Cambria Math"/>
              </w:rPr>
              <m:t xml:space="preserve">ℝ</m:t>
            </m:r>
          </m:e>
          <m:sup>
            <m:r>
              <w:rPr>
                <w:rFonts w:ascii="Cambria Math" w:hAnsi="Cambria Math"/>
              </w:rPr>
              <m:t xml:space="preserve">m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k</m:t>
            </m:r>
          </m:sup>
        </m:sSup>
      </m:oMath>
      <w:r>
        <w:rPr>
          <w:rFonts w:cs="Times New Roman"/>
          <w:b w:val="false"/>
          <w:color w:val="000000"/>
          <w:sz w:val="28"/>
          <w:szCs w:val="20"/>
        </w:rPr>
        <w:t>: матрица, столбцы которой задают латентные темы в пространстве слов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Σ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∈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sSup>
          <m:e>
            <m:r>
              <w:rPr>
                <w:rFonts w:ascii="Cambria Math" w:hAnsi="Cambria Math"/>
              </w:rPr>
              <m:t xml:space="preserve">ℝ</m:t>
            </m:r>
          </m:e>
          <m:sup>
            <m:r>
              <w:rPr>
                <w:rFonts w:ascii="Cambria Math" w:hAnsi="Cambria Math"/>
              </w:rPr>
              <m:t xml:space="preserve">k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k</m:t>
            </m:r>
          </m:sup>
        </m:sSup>
      </m:oMath>
      <w:r>
        <w:rPr>
          <w:rFonts w:cs="Times New Roman"/>
          <w:b w:val="false"/>
          <w:color w:val="000000"/>
          <w:sz w:val="28"/>
          <w:szCs w:val="20"/>
        </w:rPr>
        <w:t>: диагональная матрица сингулярных значений, упорядоченных по убыванию; каждое значение отражает важность соответствующей латентной темы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V</m:t>
            </m:r>
          </m:e>
          <m:sup>
            <m:r>
              <w:rPr>
                <w:rFonts w:ascii="Cambria Math" w:hAnsi="Cambria Math"/>
              </w:rPr>
              <m:t xml:space="preserve">T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∈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sSup>
          <m:e>
            <m:r>
              <w:rPr>
                <w:rFonts w:ascii="Cambria Math" w:hAnsi="Cambria Math"/>
              </w:rPr>
              <m:t xml:space="preserve">ℝ</m:t>
            </m:r>
          </m:e>
          <m:sup>
            <m:r>
              <w:rPr>
                <w:rFonts w:ascii="Cambria Math" w:hAnsi="Cambria Math"/>
              </w:rPr>
              <m:t xml:space="preserve">k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n</m:t>
            </m:r>
          </m:sup>
        </m:sSup>
      </m:oMath>
      <w:r>
        <w:rPr>
          <w:rFonts w:cs="Times New Roman"/>
          <w:b w:val="false"/>
          <w:color w:val="000000"/>
          <w:sz w:val="28"/>
          <w:szCs w:val="20"/>
        </w:rPr>
        <w:t>: матрица, строки которой задают координаты документов в пространстве латентных тем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 xml:space="preserve">LSA строит приближение матрицы X ранга k, оставляя только k наибольших сингулярных значений и соответствующие им столбцы U и строки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V</m:t>
            </m:r>
          </m:e>
          <m:sup>
            <m:r>
              <w:rPr>
                <w:rFonts w:ascii="Cambria Math" w:hAnsi="Cambria Math"/>
              </w:rPr>
              <m:t xml:space="preserve">T</m:t>
            </m:r>
          </m:sup>
        </m:sSup>
      </m:oMath>
      <w:r>
        <w:rPr>
          <w:rFonts w:cs="Times New Roman"/>
          <w:b w:val="false"/>
          <w:color w:val="000000"/>
          <w:sz w:val="28"/>
          <w:szCs w:val="20"/>
        </w:rPr>
        <w:t xml:space="preserve">. По теореме Эккарта–Янга такое приближение минимизирует норму Фробениуса ошибки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‖</m:t>
            </m:r>
            <m:r>
              <w:rPr>
                <w:rFonts w:ascii="Cambria Math" w:hAnsi="Cambria Math"/>
              </w:rPr>
              <m:t xml:space="preserve">X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 xml:space="preserve">−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 </m:t>
            </m:r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  <m:r>
              <w:rPr>
                <w:rFonts w:ascii="Cambria Math" w:hAnsi="Cambria Math"/>
              </w:rPr>
              <m:t xml:space="preserve">‖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</m:oMath>
      <w:r>
        <w:rPr>
          <w:rFonts w:cs="Times New Roman"/>
          <w:b w:val="false"/>
          <w:color w:val="000000"/>
          <w:sz w:val="28"/>
          <w:szCs w:val="20"/>
        </w:rPr>
        <w:t>: никакая другая матрица ранга k не даст меньшую ошибку. Интуитивно это аналогично сжатию: мы сохраняем основные темы и отбрасываем шум.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 xml:space="preserve">Вектор нового документа получается как линейная проекция его TF-IDF вектора в латентное пространство: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z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x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·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>
          <w:rFonts w:cs="Times New Roman"/>
          <w:b w:val="false"/>
          <w:color w:val="000000"/>
          <w:sz w:val="28"/>
          <w:szCs w:val="20"/>
        </w:rPr>
        <w:t xml:space="preserve">, где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>
          <w:rFonts w:cs="Times New Roman"/>
          <w:b w:val="false"/>
          <w:color w:val="000000"/>
          <w:sz w:val="28"/>
          <w:szCs w:val="20"/>
        </w:rPr>
        <w:t xml:space="preserve"> — первые k правых сингулярных векторов. Вся операция — от TF-IDF до проекции — является цепочкой линейных преобразований. Это главное ограничение LSA: модель работает по принципу «мешка слов» (bag-of-words), полностью игнорируя порядок слов и синтаксические связи.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bCs/>
          <w:color w:val="000000"/>
          <w:sz w:val="28"/>
          <w:szCs w:val="20"/>
        </w:rPr>
        <w:t xml:space="preserve">Косинусное сходство. </w:t>
      </w:r>
      <w:r>
        <w:rPr>
          <w:rFonts w:cs="Times New Roman"/>
          <w:b w:val="false"/>
          <w:color w:val="000000"/>
          <w:sz w:val="28"/>
          <w:szCs w:val="20"/>
        </w:rPr>
        <w:t xml:space="preserve">После L2-нормализации эмбеддингов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v̂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‖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‖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</m:den>
        </m:f>
      </m:oMath>
      <w:r>
        <w:rPr>
          <w:rFonts w:cs="Times New Roman"/>
          <w:b w:val="false"/>
          <w:color w:val="000000"/>
          <w:sz w:val="28"/>
          <w:szCs w:val="20"/>
        </w:rPr>
        <w:t xml:space="preserve"> мерой близости двух документов служит косинус угла между ними:</w:t>
      </w:r>
    </w:p>
    <w:p>
      <w:pPr>
        <w:pStyle w:val="Normal"/>
        <w:spacing w:lineRule="auto" w:line="360" w:before="120" w:after="120"/>
        <w:ind w:left="0" w:right="0"/>
        <w:jc w:val="center"/>
        <w:rPr>
          <w:sz w:val="20"/>
          <w:szCs w:val="2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(</m:t>
          </m:r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,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sSup>
            <m:e>
              <m:sSub>
                <m:e>
                  <m:r>
                    <w:rPr>
                      <w:rFonts w:ascii="Cambria Math" w:hAnsi="Cambria Math"/>
                    </w:rPr>
                    <m:t xml:space="preserve">v̂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 xml:space="preserve">⊤</m:t>
              </m:r>
            </m:sup>
          </m:sSup>
          <m:sSub>
            <m:e>
              <m:r>
                <w:rPr>
                  <w:rFonts w:ascii="Cambria Math" w:hAnsi="Cambria Math"/>
                </w:rPr>
                <m:t xml:space="preserve">v̂</m:t>
              </m:r>
            </m:e>
            <m:sub>
              <m:r>
                <w:rPr>
                  <w:rFonts w:ascii="Cambria Math" w:hAnsi="Cambria Math"/>
                </w:rPr>
                <m:t xml:space="preserve">j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cos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sSub>
            <m:e>
              <m:r>
                <w:rPr>
                  <w:rFonts w:ascii="Cambria Math" w:hAnsi="Cambria Math"/>
                </w:rPr>
                <m:t xml:space="preserve">θ</m:t>
              </m:r>
            </m:e>
            <m:sub>
              <m:r>
                <w:rPr>
                  <w:rFonts w:ascii="Cambria Math" w:hAnsi="Cambria Math"/>
                </w:rPr>
                <m:t xml:space="preserve">ij</m:t>
              </m:r>
            </m:sub>
          </m:sSub>
        </m:oMath>
      </m:oMathPara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4.2 Модель all-MiniLM-L6-v2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В отличие от линейной аппроксимации LSA, all-MiniLM-L6-v2 (далее — MiniLM) основан на многослойной архитектуре Transformer, использующей механизмы внимания для динамического вычисления контекста. Основным математическим компонентом является Scaled Dot-Product Attention [3]:</w:t>
      </w:r>
    </w:p>
    <w:p>
      <w:pPr>
        <w:pStyle w:val="Normal"/>
        <w:spacing w:lineRule="auto" w:line="360" w:before="120" w:after="120"/>
        <w:ind w:left="0" w:right="0"/>
        <w:jc w:val="center"/>
        <w:rPr>
          <w:sz w:val="20"/>
          <w:szCs w:val="2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Attention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,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K</m:t>
          </m:r>
          <m:r>
            <w:rPr>
              <w:rFonts w:ascii="Cambria Math" w:hAnsi="Cambria Math"/>
            </w:rPr>
            <m:t xml:space="preserve">,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V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softmax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Q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sup>
                  </m:sSup>
                </m:num>
                <m:den>
                  <m:rad>
                    <m:radPr>
                      <m:degHide m:val="1"/>
                    </m:radPr>
                    <m:deg/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k</m:t>
                          </m:r>
                        </m:sub>
                      </m:sSub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 xml:space="preserve">V</m:t>
          </m:r>
        </m:oMath>
      </m:oMathPara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 xml:space="preserve">где Q, K, V — матрицы запросов, ключей и значений, 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>
          <w:rFonts w:cs="Times New Roman"/>
          <w:b w:val="false"/>
          <w:color w:val="000000"/>
          <w:sz w:val="28"/>
          <w:szCs w:val="20"/>
        </w:rPr>
        <w:t xml:space="preserve"> — размерность векторов.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Модель состоит из 6 слоёв. На каждом слое вектор каждого токена обновляется с учётом всех остальных токенов через механизм внимания, а затем проходит через полносвязную сеть (FFN) с нелинейной функцией активации GELU:</w:t>
      </w:r>
    </w:p>
    <w:p>
      <w:pPr>
        <w:pStyle w:val="Normal"/>
        <w:spacing w:lineRule="auto" w:line="360" w:before="120" w:after="120"/>
        <w:ind w:left="0" w:right="0"/>
        <w:jc w:val="center"/>
        <w:rPr>
          <w:sz w:val="20"/>
          <w:szCs w:val="2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FFN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GELU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)</m:t>
          </m:r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</m:oMath>
      </m:oMathPara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Именно нелинейность активации позволяет модели улавливать сложные зависимости, недоступные линейным методам. В результате каждое слово получает контекстно-зависимый вектор [4]: одно и то же слово в разных предложениях будет представлено по-разному.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Вектор предложения размерности d = 384 вычисляется как среднее арифметическое векторов всех токенов (mean pooling с учётом маски внимания), после чего нормализуется по L2-норме.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  <w:r>
        <w:br w:type="page"/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5 Методология численного эксперимента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5.1 Цель эксперимента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Эксперимент направлен на проверку гипотезы о том, что алгебраические свойства модели (линейность LSA и нелинейность MiniLM) определяют геометрию её векторного пространства и, как следствие, сильные и слабые стороны на различных задачах. Проверка осуществляется посредством интринсивных и экстринсивных метрик, описанных в разделах «Интринсивные метрики» и «Экстринсивные метрики».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5.2 Спецификация моделей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ind w:left="0" w:right="0"/>
        <w:jc w:val="left"/>
        <w:rPr>
          <w:sz w:val="20"/>
          <w:szCs w:val="20"/>
        </w:rPr>
      </w:pPr>
      <w:r>
        <w:rPr>
          <w:rFonts w:cs="Times New Roman"/>
          <w:b w:val="false"/>
          <w:i w:val="false"/>
          <w:color w:val="000000"/>
          <w:sz w:val="28"/>
        </w:rPr>
        <w:t>Таблица 1 – Спецификация моделей</w:t>
      </w:r>
    </w:p>
    <w:tbl>
      <w:tblPr>
        <w:tblW w:w="9638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3197"/>
        <w:gridCol w:w="6441"/>
      </w:tblGrid>
      <w:tr>
        <w:trPr/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Компонент</w:t>
            </w:r>
          </w:p>
        </w:tc>
        <w:tc>
          <w:tcPr>
            <w:tcW w:w="6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Параметры</w:t>
            </w:r>
          </w:p>
        </w:tc>
      </w:tr>
      <w:tr>
        <w:trPr/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LSA-конвейер</w:t>
            </w:r>
          </w:p>
        </w:tc>
      </w:tr>
      <w:tr>
        <w:trPr/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TF-IDF</w:t>
            </w:r>
          </w:p>
        </w:tc>
        <w:tc>
          <w:tcPr>
            <w:tcW w:w="6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sublinear_tf=True, min_df=2, max_df=0.95</w:t>
            </w:r>
          </w:p>
        </w:tc>
      </w:tr>
      <w:tr>
        <w:trPr/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TruncatedSVD</w:t>
            </w:r>
          </w:p>
        </w:tc>
        <w:tc>
          <w:tcPr>
            <w:tcW w:w="6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k ∈ {50, 100, 200, 300, 500}, random_state=42</w:t>
            </w:r>
          </w:p>
        </w:tc>
      </w:tr>
      <w:tr>
        <w:trPr/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Нормализация</w:t>
            </w:r>
          </w:p>
        </w:tc>
        <w:tc>
          <w:tcPr>
            <w:tcW w:w="6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L2</w:t>
            </w:r>
          </w:p>
        </w:tc>
      </w:tr>
      <w:tr>
        <w:trPr/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all-MiniLM-L6-v2</w:t>
            </w:r>
          </w:p>
        </w:tc>
      </w:tr>
      <w:tr>
        <w:trPr/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Архитектура</w:t>
            </w:r>
          </w:p>
        </w:tc>
        <w:tc>
          <w:tcPr>
            <w:tcW w:w="6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6 слоёв, d = 384</w:t>
            </w:r>
          </w:p>
        </w:tc>
      </w:tr>
      <w:tr>
        <w:trPr/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Агрегация</w:t>
            </w:r>
          </w:p>
        </w:tc>
        <w:tc>
          <w:tcPr>
            <w:tcW w:w="6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Mean pooling с маской внимания</w:t>
            </w:r>
          </w:p>
        </w:tc>
      </w:tr>
      <w:tr>
        <w:trPr/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Нормализация</w:t>
            </w:r>
          </w:p>
        </w:tc>
        <w:tc>
          <w:tcPr>
            <w:tcW w:w="6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L2</w:t>
            </w:r>
          </w:p>
        </w:tc>
      </w:tr>
    </w:tbl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5.3 Датасеты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bCs/>
          <w:i w:val="false"/>
          <w:color w:val="000000"/>
          <w:sz w:val="28"/>
          <w:szCs w:val="20"/>
        </w:rPr>
        <w:t>STS Benchmark (STSb)</w:t>
      </w:r>
      <w:r>
        <w:rPr>
          <w:rFonts w:cs="Times New Roman"/>
          <w:b w:val="false"/>
          <w:i w:val="false"/>
          <w:color w:val="000000"/>
          <w:sz w:val="28"/>
          <w:szCs w:val="20"/>
        </w:rPr>
        <w:t xml:space="preserve"> — стандартный корпус из 8 628 пар предложений с оценками семантической близости от 0 до 5. Используется тестовая часть (1 379 пар).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bCs/>
          <w:i w:val="false"/>
          <w:color w:val="000000"/>
          <w:sz w:val="28"/>
          <w:szCs w:val="20"/>
        </w:rPr>
        <w:t>20 Newsgroups</w:t>
      </w:r>
      <w:r>
        <w:rPr>
          <w:rFonts w:cs="Times New Roman"/>
          <w:b w:val="false"/>
          <w:i w:val="false"/>
          <w:color w:val="000000"/>
          <w:sz w:val="28"/>
          <w:szCs w:val="20"/>
        </w:rPr>
        <w:t xml:space="preserve"> — коллекция новостных постов из 20 тематических категорий. Используются все 20 категорий. Набор содержит как тематически близкие группы (sci.*, rec.sport.*), так и контрастные (alt.atheism, rec.sport.hockey), что позволяет проверить, насколько хорошо модель разделяет как далёкие, так и смежные темы.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bCs/>
          <w:i w:val="false"/>
          <w:color w:val="000000"/>
          <w:sz w:val="28"/>
          <w:szCs w:val="20"/>
        </w:rPr>
        <w:t>MRPC</w:t>
      </w:r>
      <w:r>
        <w:rPr>
          <w:rFonts w:cs="Times New Roman"/>
          <w:b w:val="false"/>
          <w:i w:val="false"/>
          <w:color w:val="000000"/>
          <w:sz w:val="28"/>
          <w:szCs w:val="20"/>
        </w:rPr>
        <w:t xml:space="preserve"> — корпус из 5 801 пары предложений с бинарными метками парафраз (3 900 — парафразы, 1 901 — не парафразы).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5.4 Интринсивные метрики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Данные метрики характеризуют геометрию пространства эмбеддингов независимо от конкретной прикладной задачи.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5.4.1 Participation Ratio</w:t>
      </w:r>
    </w:p>
    <w:p>
      <w:pPr>
        <w:pStyle w:val="Normal"/>
        <w:spacing w:lineRule="auto" w:line="360" w:before="120" w:after="120"/>
        <w:ind w:left="0" w:right="0"/>
        <w:jc w:val="center"/>
        <w:rPr>
          <w:sz w:val="20"/>
          <w:szCs w:val="2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PR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f>
            <m:num>
              <m:sSup>
                <m:e>
                  <m:d>
                    <m:dPr>
                      <m:begChr m:val="("/>
                      <m:endChr m:val=")"/>
                    </m:dPr>
                    <m:e>
                      <m:nary>
                        <m:naryPr>
                          <m:chr m:val="∑"/>
                          <m:supHide m:val="1"/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sub>
                        <m:sup/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i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num>
            <m:den>
              <m:nary>
                <m:naryPr>
                  <m:chr m:val="∑"/>
                  <m:supHide m:val="1"/>
                </m:naryPr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  <m:sup/>
                <m:e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bSup>
                </m:e>
              </m:nary>
            </m:den>
          </m:f>
        </m:oMath>
      </m:oMathPara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 xml:space="preserve">где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λ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>
          <w:rFonts w:cs="Times New Roman"/>
          <w:b w:val="false"/>
          <w:color w:val="000000"/>
          <w:sz w:val="28"/>
          <w:szCs w:val="20"/>
        </w:rPr>
        <w:t xml:space="preserve"> — собственные значения матрицы ковариаций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n</m:t>
            </m:r>
          </m:den>
        </m:f>
        <m:sSup>
          <m:e>
            <m:r>
              <w:rPr>
                <w:rFonts w:ascii="Cambria Math" w:hAnsi="Cambria Math"/>
              </w:rPr>
              <m:t xml:space="preserve">E</m:t>
            </m:r>
          </m:e>
          <m:sup>
            <m:r>
              <w:rPr>
                <w:rFonts w:ascii="Cambria Math" w:hAnsi="Cambria Math"/>
              </w:rPr>
              <m:t xml:space="preserve">⊤</m:t>
            </m:r>
          </m:sup>
        </m:sSup>
        <m:r>
          <w:rPr>
            <w:rFonts w:ascii="Cambria Math" w:hAnsi="Cambria Math"/>
          </w:rPr>
          <m:t xml:space="preserve">E</m:t>
        </m:r>
      </m:oMath>
      <w:r>
        <w:rPr>
          <w:rFonts w:cs="Times New Roman"/>
          <w:b w:val="false"/>
          <w:color w:val="000000"/>
          <w:sz w:val="28"/>
          <w:szCs w:val="20"/>
        </w:rPr>
        <w:t xml:space="preserve"> (после вычитания среднего),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∈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sSup>
          <m:e>
            <m:r>
              <w:rPr>
                <w:rFonts w:ascii="Cambria Math" w:hAnsi="Cambria Math"/>
              </w:rPr>
              <m:t xml:space="preserve">ℝ</m:t>
            </m:r>
          </m:e>
          <m:sup>
            <m:r>
              <w:rPr>
                <w:rFonts w:ascii="Cambria Math" w:hAnsi="Cambria Math"/>
              </w:rPr>
              <m:t xml:space="preserve">n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d</m:t>
            </m:r>
          </m:sup>
        </m:sSup>
      </m:oMath>
      <w:r>
        <w:rPr>
          <w:rFonts w:cs="Times New Roman"/>
          <w:b w:val="false"/>
          <w:color w:val="000000"/>
          <w:sz w:val="28"/>
          <w:szCs w:val="20"/>
        </w:rPr>
        <w:t xml:space="preserve"> — матрица эмбеддингов. Высокий PR означает, что дисперсия распределена по многим направлениям, а не сосредоточена в нескольких главных компонентах. PR чувствителен прежде всего к крупным компонентам спектра.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5.4.2 Effective Rank</w:t>
      </w:r>
    </w:p>
    <w:p>
      <w:pPr>
        <w:pStyle w:val="Normal"/>
        <w:spacing w:lineRule="auto" w:line="360" w:before="120" w:after="120"/>
        <w:ind w:left="0" w:right="0"/>
        <w:jc w:val="center"/>
        <w:rPr>
          <w:sz w:val="20"/>
          <w:szCs w:val="2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ER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exp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−</m:t>
              </m:r>
              <m:nary>
                <m:naryPr>
                  <m:chr m:val="∑"/>
                  <m:supHide m:val="1"/>
                </m:naryPr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  <m:sup/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 xml:space="preserve">log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</w:rPr>
            <m:t xml:space="preserve">,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sSub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σ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num>
            <m:den>
              <m:nary>
                <m:naryPr>
                  <m:chr m:val="∑"/>
                  <m:supHide m:val="1"/>
                </m:naryPr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  <m:sup/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j</m:t>
                      </m:r>
                    </m:sub>
                  </m:sSub>
                </m:e>
              </m:nary>
            </m:den>
          </m:f>
        </m:oMath>
      </m:oMathPara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 xml:space="preserve">где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>
          <w:rFonts w:cs="Times New Roman"/>
          <w:b w:val="false"/>
          <w:color w:val="000000"/>
          <w:sz w:val="28"/>
          <w:szCs w:val="20"/>
        </w:rPr>
        <w:t xml:space="preserve"> — сингулярные числа E,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>
          <w:rFonts w:cs="Times New Roman"/>
          <w:b w:val="false"/>
          <w:color w:val="000000"/>
          <w:sz w:val="28"/>
          <w:szCs w:val="20"/>
        </w:rPr>
        <w:t xml:space="preserve"> — нормированные веса, задающие дискретное распределение. ER есть экспонента энтропии Шеннона спектра сингулярных чисел; достигает максимума при равномерном распределении. В отличие от PR, ER учитывает весь спектр, включая малые компоненты, и поэтому обычно даёт более высокие значения.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5.4.3 Isotropy Score</w:t>
      </w:r>
    </w:p>
    <w:p>
      <w:pPr>
        <w:pStyle w:val="Normal"/>
        <w:spacing w:lineRule="auto" w:line="360" w:before="120" w:after="120"/>
        <w:ind w:left="0" w:right="0"/>
        <w:jc w:val="center"/>
        <w:rPr>
          <w:sz w:val="20"/>
          <w:szCs w:val="2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IS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|</m:t>
              </m:r>
              <m:r>
                <w:rPr>
                  <w:rFonts w:ascii="Cambria Math" w:hAnsi="Cambria Math"/>
                </w:rPr>
                <m:t xml:space="preserve">I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|</m:t>
              </m:r>
            </m:den>
          </m:f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ω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∈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I</m:t>
              </m:r>
            </m:sub>
            <m:sup/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min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v</m:t>
                      </m:r>
                    </m:sub>
                  </m:s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 xml:space="preserve">exp</m:t>
                  </m:r>
                  <m:d>
                    <m:dPr>
                      <m:begChr m:val="("/>
                      <m:endChr m:val=")"/>
                    </m:dPr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f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(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ω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⊤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v</m:t>
                      </m:r>
                    </m:e>
                  </m:d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max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v</m:t>
                      </m:r>
                    </m:sub>
                  </m:s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 xml:space="preserve">exp</m:t>
                  </m:r>
                  <m:d>
                    <m:dPr>
                      <m:begChr m:val="("/>
                      <m:endChr m:val=")"/>
                    </m:dPr>
                    <m:e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f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(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ω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⊤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v</m:t>
                      </m:r>
                    </m:e>
                  </m:d>
                </m:den>
              </m:f>
            </m:e>
          </m:nary>
        </m:oMath>
      </m:oMathPara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 xml:space="preserve">IS = 1 при идеальной изотропии (равномерном распределении на гиперсфере), IS → 0 при концентрации в низкоразмерном подпространстве. В вычислительной реализации используется аппроксимация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IS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≈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λ</m:t>
                </m:r>
              </m:e>
              <m:sub>
                <m:r>
                  <w:rPr>
                    <w:rFonts w:ascii="Cambria Math" w:hAnsi="Cambria Math"/>
                  </w:rPr>
                  <m:t xml:space="preserve">min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λ</m:t>
                </m:r>
              </m:e>
              <m:sub>
                <m:r>
                  <w:rPr>
                    <w:rFonts w:ascii="Cambria Math" w:hAnsi="Cambria Math"/>
                  </w:rPr>
                  <m:t xml:space="preserve">max</m:t>
                </m:r>
              </m:sub>
            </m:sSub>
          </m:den>
        </m:f>
      </m:oMath>
      <w:r>
        <w:rPr>
          <w:rFonts w:cs="Times New Roman"/>
          <w:b w:val="false"/>
          <w:color w:val="000000"/>
          <w:sz w:val="28"/>
          <w:szCs w:val="20"/>
        </w:rPr>
        <w:t>. IS — наиболее жёсткая из трёх метрик: достаточно одного слабого направления, чтобы IS оказался близок к нулю, даже если остальные направления используются равномерно.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5.4.4 Hubness Score</w:t>
      </w:r>
    </w:p>
    <w:p>
      <w:pPr>
        <w:pStyle w:val="Normal"/>
        <w:spacing w:lineRule="auto" w:line="360" w:before="120" w:after="120"/>
        <w:ind w:left="0" w:right="0"/>
        <w:jc w:val="center"/>
        <w:rPr>
          <w:sz w:val="20"/>
          <w:szCs w:val="2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HS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S</m:t>
                  </m:r>
                </m:e>
                <m:sub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sub>
                  </m:sSub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μ</m:t>
                  </m:r>
                </m:e>
                <m:sub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sub>
                  </m:sSub>
                </m:sub>
              </m:sSub>
            </m:den>
          </m:f>
        </m:oMath>
      </m:oMathPara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 xml:space="preserve">где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</m:sub>
        </m:sSub>
      </m:oMath>
      <w:r>
        <w:rPr>
          <w:rFonts w:cs="Times New Roman"/>
          <w:b w:val="false"/>
          <w:color w:val="000000"/>
          <w:sz w:val="28"/>
          <w:szCs w:val="20"/>
        </w:rPr>
        <w:t xml:space="preserve"> — стандартное отклонение,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μ</m:t>
            </m:r>
          </m:e>
          <m:sub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</m:sub>
        </m:sSub>
      </m:oMath>
      <w:r>
        <w:rPr>
          <w:rFonts w:cs="Times New Roman"/>
          <w:b w:val="false"/>
          <w:color w:val="000000"/>
          <w:sz w:val="28"/>
          <w:szCs w:val="20"/>
        </w:rPr>
        <w:t xml:space="preserve"> — среднее числа вхождений точки в k-NN-списки. Значение HS ≫ 1 указывает на концентрацию структуры «хаббов»: точек в пространстве, которые оказывается ближайшим соседом для непропорционально большого числа других точек.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5.5 Экстринсивные метрики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5.5.1 Семантическое сходство (STS)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Мерой качества служит корреляция Спирмена ρ между косинусным сходством эмбеддингов и человеческими оценками. Для выборки из n пар без связанных рангов коэффициент вычисляется как</w:t>
      </w:r>
    </w:p>
    <w:p>
      <w:pPr>
        <w:pStyle w:val="Normal"/>
        <w:spacing w:lineRule="auto" w:line="360" w:before="120" w:after="120"/>
        <w:ind w:left="0" w:right="0"/>
        <w:jc w:val="center"/>
        <w:rPr>
          <w:sz w:val="20"/>
          <w:szCs w:val="20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ρ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1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−</m:t>
          </m:r>
          <m:r>
            <m:rPr>
              <m:lit/>
              <m:nor/>
            </m:rPr>
            <w:rPr>
              <w:rFonts w:ascii="Cambria Math" w:hAnsi="Cambria Math"/>
            </w:rPr>
            <m:t xml:space="preserve"> </m:t>
          </m:r>
          <m:f>
            <m:num>
              <m:r>
                <w:rPr>
                  <w:rFonts w:ascii="Cambria Math" w:hAnsi="Cambria Math"/>
                </w:rPr>
                <m:t xml:space="preserve">6</m:t>
              </m:r>
              <m:nary>
                <m:naryPr>
                  <m:chr m:val="∑"/>
                </m:naryPr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n</m:t>
                  </m:r>
                </m:sup>
                <m:e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bSup>
                </m:e>
              </m:nary>
            </m:num>
            <m:den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(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</m:den>
          </m:f>
        </m:oMath>
      </m:oMathPara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 xml:space="preserve">где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>
          <w:rFonts w:cs="Times New Roman"/>
          <w:b w:val="false"/>
          <w:color w:val="000000"/>
          <w:sz w:val="28"/>
          <w:szCs w:val="20"/>
        </w:rPr>
        <w:t xml:space="preserve"> — разность рангов i-й пары.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5.5.2 Классификация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В качестве классификатора используется логистическая регрессия (LogisticRegression, C=1.0, solver=lbfgs). Основной метрикой качества является доля верных предсказаний (Accuracy).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5.5.3 Кластеризация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Применяется алгоритм k-means (k = 20, 10 перезапусков). Качество оценивается метрикой Adjusted Rand Index (ARI), которая измеряет согласованность полученного разбиения с истинными тематическими метками с поправкой на случайное совпадение. Значение ARI = 1 соответствует идеальному совпадению, ARI ≈ 0 — случайному разбиению.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5.5.4 Обнаружение парафраз (MRPC)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 xml:space="preserve">Порог косинусного сходства τ используется как бинарный классификатор. Оптимальный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τ</m:t>
            </m:r>
          </m:e>
          <m:sup>
            <m:r>
              <m:rPr>
                <m:lit/>
                <m:nor/>
              </m:rPr>
              <w:rPr>
                <w:rFonts w:ascii="Cambria Math" w:hAnsi="Cambria Math"/>
              </w:rPr>
              <m:t xml:space="preserve">*</m:t>
            </m:r>
          </m:sup>
        </m:sSup>
      </m:oMath>
      <w:r>
        <w:rPr>
          <w:rFonts w:cs="Times New Roman"/>
          <w:b w:val="false"/>
          <w:color w:val="000000"/>
          <w:sz w:val="28"/>
          <w:szCs w:val="20"/>
        </w:rPr>
        <w:t xml:space="preserve"> выбирается по валидационному множеству из 101 значения равномерной сетки на [0, 1]. Итоговая метрика — F1-score по положительному классу (парафразы), которая устойчивее к дисбалансу классов, чем Accuracy.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  <w:r>
        <w:br w:type="page"/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/>
          <w:i w:val="false"/>
          <w:color w:val="000000"/>
          <w:sz w:val="28"/>
        </w:rPr>
        <w:t>6 Обсуждение результатов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ind w:left="0" w:right="0"/>
        <w:jc w:val="left"/>
        <w:rPr>
          <w:sz w:val="20"/>
          <w:szCs w:val="20"/>
        </w:rPr>
      </w:pPr>
      <w:r>
        <w:rPr>
          <w:rFonts w:cs="Times New Roman"/>
          <w:b w:val="false"/>
          <w:i w:val="false"/>
          <w:color w:val="000000"/>
          <w:sz w:val="28"/>
        </w:rPr>
        <w:t>Таблица 2 – Экстринсивные метрики</w:t>
      </w:r>
    </w:p>
    <w:tbl>
      <w:tblPr>
        <w:tblW w:w="9638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997"/>
        <w:gridCol w:w="1913"/>
        <w:gridCol w:w="1910"/>
        <w:gridCol w:w="1906"/>
        <w:gridCol w:w="1912"/>
      </w:tblGrid>
      <w:tr>
        <w:trPr/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Модель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STS (ρ)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20NG (Acc)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ARI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MRPC (F1)</w:t>
            </w:r>
          </w:p>
        </w:tc>
      </w:tr>
      <w:tr>
        <w:trPr/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LSA k=300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0.56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0.673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0.17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0.817</w:t>
            </w:r>
          </w:p>
        </w:tc>
      </w:tr>
      <w:tr>
        <w:trPr/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MiniLM-L6-v2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0.82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0.703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0.37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0.835</w:t>
            </w:r>
          </w:p>
        </w:tc>
      </w:tr>
    </w:tbl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ind w:left="0" w:right="0"/>
        <w:jc w:val="left"/>
        <w:rPr>
          <w:sz w:val="20"/>
          <w:szCs w:val="20"/>
        </w:rPr>
      </w:pPr>
      <w:r>
        <w:rPr>
          <w:rFonts w:cs="Times New Roman"/>
          <w:b w:val="false"/>
          <w:i w:val="false"/>
          <w:color w:val="000000"/>
          <w:sz w:val="28"/>
        </w:rPr>
        <w:t>Таблица 3 – Интринсивные метрики</w:t>
      </w:r>
    </w:p>
    <w:tbl>
      <w:tblPr>
        <w:tblW w:w="9638" w:type="dxa"/>
        <w:jc w:val="left"/>
        <w:tblInd w:w="0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438"/>
        <w:gridCol w:w="1797"/>
        <w:gridCol w:w="1803"/>
        <w:gridCol w:w="1797"/>
        <w:gridCol w:w="1803"/>
      </w:tblGrid>
      <w:tr>
        <w:trPr/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Модель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ER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HS</w:t>
            </w:r>
          </w:p>
        </w:tc>
      </w:tr>
      <w:tr>
        <w:trPr/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LSA k=300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198.60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284.93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0.0120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3.54</w:t>
            </w:r>
          </w:p>
        </w:tc>
      </w:tr>
      <w:tr>
        <w:trPr/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left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MiniLM-L6-v2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117.85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312.97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0.0011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1.77</w:t>
            </w:r>
          </w:p>
        </w:tc>
      </w:tr>
    </w:tbl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bCs/>
          <w:color w:val="000000"/>
          <w:sz w:val="28"/>
          <w:szCs w:val="20"/>
        </w:rPr>
        <w:t xml:space="preserve">Семантическое сходство (STS). </w:t>
      </w:r>
      <w:r>
        <w:rPr>
          <w:rFonts w:cs="Times New Roman"/>
          <w:b w:val="false"/>
          <w:color w:val="000000"/>
          <w:sz w:val="28"/>
          <w:szCs w:val="20"/>
        </w:rPr>
        <w:t>MiniLM существенно превосходит LSA по корреляции Спирмена (ρ = 0.82 против 0.56 при k = 300). Это связано с тем, что эмбеддинги MiniLM строятся с учётом контекста: механизм внимания позволяет улавливать синтаксические и семантические зависимости между словами. LSA, работая по принципу «мешка слов», игнорирует структуру предложения вне зависимости от размерности k.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120" w:after="120"/>
        <w:ind w:left="0" w:right="0"/>
        <w:jc w:val="center"/>
        <w:rPr>
          <w:sz w:val="20"/>
          <w:szCs w:val="20"/>
        </w:rPr>
      </w:pPr>
      <w:r>
        <w:rPr/>
        <w:drawing>
          <wp:inline distT="0" distB="0" distL="0" distR="0">
            <wp:extent cx="3810000" cy="3190875"/>
            <wp:effectExtent l="0" t="0" r="0" b="0"/>
            <wp:docPr id="4" name="figs/fig1.jpg" descr="figs/fig1.jpg&#10;figs/fi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s/fig1.jpg" descr="figs/fig1.jpg&#10;figs/fig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9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left="0" w:right="0"/>
        <w:jc w:val="center"/>
        <w:rPr>
          <w:sz w:val="20"/>
          <w:szCs w:val="20"/>
        </w:rPr>
      </w:pPr>
      <w:r>
        <w:rPr>
          <w:rFonts w:cs="Times New Roman"/>
          <w:b w:val="false"/>
          <w:i w:val="false"/>
          <w:color w:val="000000"/>
          <w:sz w:val="28"/>
        </w:rPr>
        <w:t>Рисунок 1 – Зависимость STS Spearman ρ от размерности k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bCs/>
          <w:color w:val="000000"/>
          <w:sz w:val="28"/>
          <w:szCs w:val="20"/>
        </w:rPr>
        <w:t xml:space="preserve">Тематическая классификация (20NG). </w:t>
      </w:r>
      <w:r>
        <w:rPr>
          <w:rFonts w:cs="Times New Roman"/>
          <w:b w:val="false"/>
          <w:color w:val="000000"/>
          <w:sz w:val="28"/>
          <w:szCs w:val="20"/>
        </w:rPr>
        <w:t>Разрыв между моделями на задаче классификации значительно меньше (Acc = 0.703 у MiniLM против Acc = 0.673 у LSA при k = 300). Близкие значения Accuracy указывают на то, что обе модели работают сопоставимо на всех 20 категориях. LSA успешно справляется с распознаванием общей тематики по ключевым словам.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bCs/>
          <w:color w:val="000000"/>
          <w:sz w:val="28"/>
          <w:szCs w:val="20"/>
        </w:rPr>
        <w:t xml:space="preserve">Кластеризация (20NG). </w:t>
      </w:r>
      <w:r>
        <w:rPr>
          <w:rFonts w:cs="Times New Roman"/>
          <w:b w:val="false"/>
          <w:color w:val="000000"/>
          <w:sz w:val="28"/>
          <w:szCs w:val="20"/>
        </w:rPr>
        <w:t>Наибольший разрыв между моделями обнаруживается в задаче кластеризации: ARI = 0.37 у MiniLM против 0.17 у LSA при k = 300. В отличие от классификации, кластеризация проводится без разметки и оценивает геометрическую структуру пространства напрямую — результат показывает, что LSA недостаточно хорошо разделяет темы геометрически.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bCs/>
          <w:color w:val="000000"/>
          <w:sz w:val="28"/>
          <w:szCs w:val="20"/>
        </w:rPr>
        <w:t xml:space="preserve">Обнаружение парафраз (MRPC). </w:t>
      </w:r>
      <w:r>
        <w:rPr>
          <w:rFonts w:cs="Times New Roman"/>
          <w:b w:val="false"/>
          <w:color w:val="000000"/>
          <w:sz w:val="28"/>
          <w:szCs w:val="20"/>
        </w:rPr>
        <w:t>В задаче обнаружения парафраз разрыв незначительный: F1 = 0.835 у MiniLM против 0.817 у LSA при k = 300. Это связано с природой датасета: MRPC преимущественно содержит перефразировки новостных предложений, где ключевые слова совпадают, что оказывается достаточным для LSA.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120" w:after="120"/>
        <w:ind w:left="0" w:right="0"/>
        <w:jc w:val="center"/>
        <w:rPr>
          <w:sz w:val="20"/>
          <w:szCs w:val="20"/>
        </w:rPr>
      </w:pPr>
      <w:r>
        <w:rPr/>
        <w:drawing>
          <wp:inline distT="0" distB="0" distL="0" distR="0">
            <wp:extent cx="5715000" cy="2171700"/>
            <wp:effectExtent l="0" t="0" r="0" b="0"/>
            <wp:docPr id="5" name="figs/fig2.jpg" descr="figs/fig2.jpg&#10;figs/fig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s/fig2.jpg" descr="figs/fig2.jpg&#10;figs/fig2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left="0" w:right="0"/>
        <w:jc w:val="center"/>
        <w:rPr>
          <w:sz w:val="20"/>
          <w:szCs w:val="20"/>
        </w:rPr>
      </w:pPr>
      <w:r>
        <w:rPr>
          <w:rFonts w:cs="Times New Roman"/>
          <w:b w:val="false"/>
          <w:i w:val="false"/>
          <w:color w:val="000000"/>
          <w:sz w:val="28"/>
        </w:rPr>
        <w:t>Рисунок 2 – Тепловые карты косинусного сходства LSA (k=300) и all-MiniLM-L6-v2 (20NG, 20 классов)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bCs/>
          <w:color w:val="000000"/>
          <w:sz w:val="28"/>
          <w:szCs w:val="20"/>
        </w:rPr>
        <w:t xml:space="preserve">Изотропия и прикладное качество. </w:t>
      </w:r>
      <w:r>
        <w:rPr>
          <w:rFonts w:cs="Times New Roman"/>
          <w:b w:val="false"/>
          <w:color w:val="000000"/>
          <w:sz w:val="28"/>
          <w:szCs w:val="20"/>
        </w:rPr>
        <w:t>Изотропия MiniLM крайне низкая (IS = 0.001, у LSA — 0.012), хотя результаты на прикладных задачах значительно выше. Это объясняется тем, что дисперсия в пространстве MiniLM сосредоточена в нескольких доминирующих направлениях, в которых и закодирована семантическая информация. Таким образом, IS отражает геометрическую равномерность пространства, но не качество представлений.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bCs/>
          <w:color w:val="000000"/>
          <w:sz w:val="28"/>
          <w:szCs w:val="20"/>
        </w:rPr>
        <w:t xml:space="preserve">Effective Rank. </w:t>
      </w:r>
      <w:r>
        <w:rPr>
          <w:rFonts w:cs="Times New Roman"/>
          <w:b w:val="false"/>
          <w:color w:val="000000"/>
          <w:sz w:val="28"/>
          <w:szCs w:val="20"/>
        </w:rPr>
        <w:t>ER(LSA, k=300) = 284.93 сопоставим с ER(MiniLM) = 312.97, при этом PR(LSA) = 198.60 превышает PR(MiniLM) = 117.85. Это объясняется тем, что усечённое SVD отбирает k компонент с наибольшими сингулярными числами, которые в рамках усечённого подпространства становятся более равномерными. Высокие PR и ER, таким образом, не являются достаточным условием семантического качества.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120" w:after="120"/>
        <w:ind w:left="0" w:right="0"/>
        <w:jc w:val="center"/>
        <w:rPr>
          <w:sz w:val="20"/>
          <w:szCs w:val="20"/>
        </w:rPr>
      </w:pPr>
      <w:r>
        <w:rPr/>
        <w:drawing>
          <wp:inline distT="0" distB="0" distL="0" distR="0">
            <wp:extent cx="4286250" cy="2714625"/>
            <wp:effectExtent l="0" t="0" r="0" b="0"/>
            <wp:docPr id="6" name="figs/fig3.jpg" descr="figs/fig3.jpg&#10;figs/fig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s/fig3.jpg" descr="figs/fig3.jpg&#10;figs/fig3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71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left="0" w:right="0"/>
        <w:jc w:val="center"/>
        <w:rPr>
          <w:sz w:val="20"/>
          <w:szCs w:val="20"/>
        </w:rPr>
      </w:pPr>
      <w:r>
        <w:rPr>
          <w:rFonts w:cs="Times New Roman"/>
          <w:b w:val="false"/>
          <w:i w:val="false"/>
          <w:color w:val="000000"/>
          <w:sz w:val="28"/>
        </w:rPr>
        <w:t>Рисунок 3 – Спектр сингулярных чисел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bCs/>
          <w:color w:val="000000"/>
          <w:sz w:val="28"/>
          <w:szCs w:val="20"/>
        </w:rPr>
        <w:t xml:space="preserve">Hubness Score. </w:t>
      </w:r>
      <w:r>
        <w:rPr>
          <w:rFonts w:cs="Times New Roman"/>
          <w:b w:val="false"/>
          <w:color w:val="000000"/>
          <w:sz w:val="28"/>
          <w:szCs w:val="20"/>
        </w:rPr>
        <w:t>У LSA показатель HS = 3.54 заметно выше, чем у MiniLM (HS = 1.77). Это говорит о том, что в пространстве LSA есть отдельные точки, которые становятся ближайшими соседями для слишком большого числа других точек. В результате расстояния в пространстве LSA хуже отражают реальную близость текстов, что и проявляется в низком качестве на задачах кластеризации и STS.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  <w:r>
        <w:br w:type="page"/>
      </w:r>
    </w:p>
    <w:p>
      <w:pPr>
        <w:pStyle w:val="Normal"/>
        <w:spacing w:lineRule="auto" w:line="360" w:before="0" w:after="0"/>
        <w:ind w:left="0" w:right="0"/>
        <w:jc w:val="center"/>
        <w:rPr/>
      </w:pPr>
      <w:r>
        <w:rPr>
          <w:rFonts w:cs="Times New Roman"/>
          <w:b/>
          <w:i w:val="false"/>
          <w:color w:val="000000"/>
          <w:sz w:val="28"/>
        </w:rPr>
        <w:t>ЗАКЛЮЧЕНИЕ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color w:val="000000"/>
          <w:sz w:val="28"/>
          <w:szCs w:val="20"/>
        </w:rPr>
        <w:t>В данной статье было проведено сравнение двух моделей (LSA и MiniLM) по метрикам STS ρ, Accuracy, ARI, PR, ER, IS и HS. Сравнение производилось на датасетах STSb, 20 Newsgroups и MRPC. Результаты показывают различия геометрических свойств пространств и качества обеих моделей на практических задачах: более сфокусированные главные направления и превосходство в семантической обработке у MiniLM и равномерно распределённые направления без учёта контекста у LSA, что ограничивает её в обработке контекстно-зависимых явлений, таких как полисемия [5]. Двунаправленное контекстное предобучение MiniLM позволяет преодолеть это ограничение [6]. В задачах классификации и нахождения парафраз LSA сопоставима с MiniLM, так как эти задачи имеют ключевые слова и не требуют контекста. Вместе с тем сравнение имеет ограничения: MiniLM предобучен на большом корпусе, размерности моделей различаются, а каждый класс представлен одной моделью.</w:t>
      </w:r>
    </w:p>
    <w:p>
      <w:pPr>
        <w:pStyle w:val="Normal"/>
        <w:spacing w:lineRule="auto" w:line="288"/>
        <w:rPr>
          <w:sz w:val="20"/>
          <w:szCs w:val="20"/>
        </w:rPr>
      </w:pPr>
      <w:r>
        <w:rPr>
          <w:sz w:val="20"/>
          <w:szCs w:val="20"/>
        </w:rPr>
      </w:r>
      <w:r>
        <w:br w:type="page"/>
      </w:r>
    </w:p>
    <w:p>
      <w:pPr>
        <w:pStyle w:val="Normal"/>
        <w:spacing w:lineRule="auto" w:line="360" w:before="0" w:after="0"/>
        <w:ind w:left="0" w:right="0"/>
        <w:jc w:val="center"/>
        <w:rPr/>
      </w:pPr>
      <w:r>
        <w:rPr>
          <w:rFonts w:cs="Times New Roman"/>
          <w:b/>
          <w:i w:val="false"/>
          <w:color w:val="000000"/>
          <w:sz w:val="28"/>
        </w:rPr>
        <w:t>СПИСОК ИСПОЛЬЗОВАННЫХ ИСТОЧНИКОВ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i w:val="false"/>
          <w:color w:val="000000"/>
          <w:sz w:val="28"/>
          <w:szCs w:val="20"/>
        </w:rPr>
        <w:t>1. Deerwester, S. Indexing by Latent Semantic Analysis / S. Deerwester, S. T. Dumais, G. W. Furnas, T. K. Landauer, R. Harshman // Journal of the American Society for Information Science. — 1990. — Vol. 41, no. 6. — P. 391–407.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i w:val="false"/>
          <w:color w:val="000000"/>
          <w:sz w:val="28"/>
          <w:szCs w:val="20"/>
        </w:rPr>
        <w:t>2. Landauer, T. K. From paragraph to graph: Latent semantic analysis for information visualization / T. K. Landauer, D. Laham, M. Derr // Proceedings of the National Academy of Sciences. — 2004. — Vol. 101, no. suppl_1. — P. 5214–5219.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i w:val="false"/>
          <w:color w:val="000000"/>
          <w:sz w:val="28"/>
          <w:szCs w:val="20"/>
        </w:rPr>
        <w:t>3. Vaswani, A. Attention Is All You Need / A. Vaswani, N. Shazeer, N. Parmar [et al.] // Advances in Neural Information Processing Systems. — 2017. — P. 5998–6008.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i w:val="false"/>
          <w:color w:val="000000"/>
          <w:sz w:val="28"/>
          <w:szCs w:val="20"/>
        </w:rPr>
        <w:t>4. Devlin, J. BERT: Pre-training of Deep Bidirectional Transformers for Language Understanding / J. Devlin, M.-W. Chang, K. Lee, K. Toutanova // Proceedings of the 2019 Conference of the North American Chapter of the Association for Computational Linguistics: Human Language Technologies. — 2019. — Vol. 1. — P. 4171–4186.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i w:val="false"/>
          <w:color w:val="000000"/>
          <w:sz w:val="28"/>
          <w:szCs w:val="20"/>
        </w:rPr>
        <w:t>5. Hofmann, T. Probabilistic Latent Semantic Analysis / T. Hofmann // Proceedings of the 15th Conference on Uncertainty in Artificial Intelligence (UAI'99). — 1999. — P. 289–296.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0"/>
          <w:szCs w:val="20"/>
        </w:rPr>
      </w:pPr>
      <w:r>
        <w:rPr>
          <w:rFonts w:cs="Times New Roman"/>
          <w:b w:val="false"/>
          <w:i w:val="false"/>
          <w:color w:val="000000"/>
          <w:sz w:val="28"/>
          <w:szCs w:val="20"/>
        </w:rPr>
        <w:t>6. Artetxe, M. On the Role of Bidirectionality in Language Model Pre-Training / M. Artetxe, J. Du, N. Goyal [et al.] // Findings of the Association for Computational Linguistics: EMNLP 2022. — 2022. — P. 3973–3985.</w:t>
      </w:r>
    </w:p>
    <w:sectPr>
      <w:type w:val="nextPage"/>
      <w:pgSz w:w="11906" w:h="16838"/>
      <w:pgMar w:left="1701" w:right="850" w:gutter="0" w:header="0" w:top="709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05ea3"/>
    <w:pPr>
      <w:widowControl w:val="false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005ea3"/>
    <w:rPr>
      <w:rFonts w:ascii="Tahoma" w:hAnsi="Tahoma" w:eastAsia="Times New Roman" w:cs="Tahoma"/>
      <w:sz w:val="16"/>
      <w:szCs w:val="16"/>
      <w:lang w:eastAsia="ru-RU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005ea3"/>
    <w:pPr>
      <w:widowControl w:val="false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005ea3"/>
    <w:pPr/>
    <w:rPr>
      <w:rFonts w:ascii="Tahoma" w:hAnsi="Tahoma" w:cs="Tahoma"/>
      <w:sz w:val="16"/>
      <w:szCs w:val="16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32">
    <w:name w:val="Table Grid"/>
    <w:basedOn w:val="63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Application>LibreOffice/26.2.3.2$Linux_X86_64 LibreOffice_project/620$Build-2</Application>
  <AppVersion>15.0000</AppVersion>
  <Pages>24</Pages>
  <Words>3400</Words>
  <Characters>24125</Characters>
  <CharactersWithSpaces>27893</CharactersWithSpaces>
  <Paragraphs>311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2023-02-08T12:12:00Z</dcterms:created>
  <dc:creator>User</dc:creator>
  <dc:description/>
  <dc:language>ru-RU</dc:language>
  <cp:lastModifiedBy/>
  <dcterms:modified xsi:type="dcterms:W3CDTF">2026-06-03T16:09:49Z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