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88"/>
        <w:jc w:val="start"/>
        <w:rPr>
          <w:sz w:val="20"/>
          <w:szCs w:val="20"/>
        </w:rPr>
      </w:pPr>
      <w:r>
        <w:rPr>
          <w:sz w:val="20"/>
          <w:szCs w:val="20"/>
        </w:rPr>
        <w:t>УДК XXX.XX</w:t>
      </w:r>
    </w:p>
    <w:p>
      <w:pPr>
        <w:pStyle w:val="Normal"/>
        <w:spacing w:lineRule="auto" w:line="288"/>
        <w:jc w:val="center"/>
        <w:rPr>
          <w:sz w:val="20"/>
          <w:szCs w:val="20"/>
        </w:rPr>
      </w:pPr>
      <w:r>
        <w:rPr>
          <w:b/>
          <w:bCs/>
          <w:sz w:val="20"/>
          <w:szCs w:val="20"/>
        </w:rPr>
        <w:t>СРАВНИТЕЛЬНЫЙ АНАЛИЗ ЛИНЕЙНОЙ (LSA) И НЕЛИНЕЙНОЙ (ALL-MINILM-L6-V2) МОДЕЛЕЙ ВЕКТОРНОГО ПРЕДСТАВЛЕНИЯ ТЕКСТА</w:t>
      </w:r>
    </w:p>
    <w:p>
      <w:pPr>
        <w:pStyle w:val="Normal"/>
        <w:spacing w:lineRule="auto" w:line="288"/>
        <w:jc w:val="center"/>
        <w:rPr>
          <w:sz w:val="20"/>
          <w:szCs w:val="20"/>
        </w:rPr>
      </w:pPr>
      <w:r>
        <w:rPr>
          <w:b/>
          <w:bCs/>
          <w:sz w:val="20"/>
          <w:szCs w:val="20"/>
          <w:vertAlign w:val="superscript"/>
        </w:rPr>
        <w:t>1</w:t>
      </w:r>
      <w:r>
        <w:rPr>
          <w:b/>
          <w:bCs/>
          <w:sz w:val="20"/>
          <w:szCs w:val="20"/>
        </w:rPr>
        <w:t>Шапаренко Ф.А.</w:t>
      </w:r>
    </w:p>
    <w:p>
      <w:pPr>
        <w:pStyle w:val="Normal"/>
        <w:spacing w:lineRule="auto" w:line="288"/>
        <w:jc w:val="center"/>
        <w:rPr>
          <w:sz w:val="20"/>
          <w:szCs w:val="20"/>
        </w:rPr>
      </w:pPr>
      <w:r>
        <w:rPr>
          <w:sz w:val="20"/>
          <w:szCs w:val="20"/>
          <w:vertAlign w:val="superscript"/>
        </w:rPr>
        <w:t>1</w:t>
      </w:r>
      <w:r>
        <w:rPr>
          <w:sz w:val="20"/>
          <w:szCs w:val="20"/>
        </w:rPr>
        <w:t>МИРЭА – Российский технологический университет, Москва</w:t>
      </w:r>
    </w:p>
    <w:p>
      <w:pPr>
        <w:pStyle w:val="Normal"/>
        <w:spacing w:lineRule="auto" w:line="288"/>
        <w:jc w:val="center"/>
        <w:rPr>
          <w:sz w:val="20"/>
          <w:szCs w:val="20"/>
        </w:rPr>
      </w:pPr>
      <w:r>
        <w:rPr>
          <w:sz w:val="20"/>
          <w:szCs w:val="20"/>
          <w:vertAlign w:val="superscript"/>
        </w:rPr>
        <w:t>1</w:t>
      </w:r>
      <w:r>
        <w:rPr>
          <w:sz w:val="20"/>
          <w:szCs w:val="20"/>
        </w:rPr>
        <w:t>shaparenko.fedor@gmail.com</w:t>
      </w:r>
    </w:p>
    <w:p>
      <w:pPr>
        <w:pStyle w:val="Normal"/>
        <w:spacing w:lineRule="auto" w:line="288"/>
        <w:rPr>
          <w:sz w:val="20"/>
          <w:szCs w:val="20"/>
        </w:rPr>
      </w:pPr>
      <w:r>
        <w:rPr>
          <w:sz w:val="20"/>
          <w:szCs w:val="20"/>
        </w:rPr>
      </w:r>
    </w:p>
    <w:p>
      <w:pPr>
        <w:pStyle w:val="Normal"/>
        <w:spacing w:lineRule="auto" w:line="288"/>
        <w:jc w:val="both"/>
        <w:rPr>
          <w:sz w:val="20"/>
          <w:szCs w:val="20"/>
        </w:rPr>
      </w:pPr>
      <w:r>
        <w:rPr>
          <w:b/>
          <w:bCs/>
          <w:sz w:val="20"/>
          <w:szCs w:val="20"/>
        </w:rPr>
        <w:t xml:space="preserve">Аннотация. </w:t>
      </w:r>
      <w:r>
        <w:rPr>
          <w:sz w:val="20"/>
          <w:szCs w:val="20"/>
        </w:rPr>
        <w:t>В работе проводится сравнительный анализ двух подходов к векторному представлению текста: линейной модели на основе латентно-семантического анализа (LSA) и нелинейной модели-трансформера all-MiniLM-L6-v2. Цель — выявить связь между алгебраическими свойствами векторных пространств моделей и качеством их работы на прикладных задачах. Сравнение проведено на датасетах STS Benchmark, 20 Newsgroups и MRPC с использованием интринсивных (participation ratio, effective rank, isotropy score, hubness score) и экстринсивных (корреляция Спирмена, Accuracy, F1-macro, ARI, silhouette) метрик. Показано, что нелинейная модель существенно превосходит LSA в задачах, требующих учёта контекста (семантическое сходство и кластеризация), тогда как на задачах, опирающихся на совпадение ключевых слов (тематическая классификация и обнаружение парафраз), модели сопоставимы. Установлено, что высокие значения геометрических характеристик пространства (PR, ER, изотропия) не являются достаточным условием семантического качества представлений.</w:t>
      </w:r>
    </w:p>
    <w:p>
      <w:pPr>
        <w:pStyle w:val="Normal"/>
        <w:spacing w:lineRule="auto" w:line="288"/>
        <w:jc w:val="both"/>
        <w:rPr>
          <w:sz w:val="20"/>
          <w:szCs w:val="20"/>
        </w:rPr>
      </w:pPr>
      <w:r>
        <w:rPr>
          <w:b/>
          <w:bCs/>
          <w:sz w:val="20"/>
          <w:szCs w:val="20"/>
        </w:rPr>
        <w:t xml:space="preserve">Ключевые слова: </w:t>
      </w:r>
      <w:r>
        <w:rPr>
          <w:sz w:val="20"/>
          <w:szCs w:val="20"/>
        </w:rPr>
        <w:t>латентно-семантический анализ, векторное представление текста, эмбеддинги, трансформеры, all-MiniLM-L6-v2, сингулярное разложение, семантическое сходство, изотропия пространства, кластеризация текстов.</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COMPARATIVE ANALYSIS OF LINEAR (LSA) AND NONLINEAR (ALL-MINILM-L6-V2) TEXT VECTOR REPRESENTATION MODELS</w:t>
      </w:r>
    </w:p>
    <w:p>
      <w:pPr>
        <w:pStyle w:val="Normal"/>
        <w:spacing w:lineRule="auto" w:line="288"/>
        <w:jc w:val="center"/>
        <w:rPr>
          <w:sz w:val="20"/>
          <w:szCs w:val="20"/>
        </w:rPr>
      </w:pPr>
      <w:r>
        <w:rPr>
          <w:b/>
          <w:bCs/>
          <w:sz w:val="20"/>
          <w:szCs w:val="20"/>
          <w:vertAlign w:val="superscript"/>
        </w:rPr>
        <w:t>1</w:t>
      </w:r>
      <w:r>
        <w:rPr>
          <w:b/>
          <w:bCs/>
          <w:sz w:val="20"/>
          <w:szCs w:val="20"/>
        </w:rPr>
        <w:t>Shaparenko F.A.</w:t>
      </w:r>
    </w:p>
    <w:p>
      <w:pPr>
        <w:pStyle w:val="Normal"/>
        <w:spacing w:lineRule="auto" w:line="288"/>
        <w:jc w:val="center"/>
        <w:rPr>
          <w:sz w:val="20"/>
          <w:szCs w:val="20"/>
        </w:rPr>
      </w:pPr>
      <w:r>
        <w:rPr>
          <w:sz w:val="20"/>
          <w:szCs w:val="20"/>
          <w:vertAlign w:val="superscript"/>
        </w:rPr>
        <w:t>1</w:t>
      </w:r>
      <w:r>
        <w:rPr>
          <w:sz w:val="20"/>
          <w:szCs w:val="20"/>
        </w:rPr>
        <w:t>MIREA – Russian Technological University, Moscow</w:t>
      </w:r>
    </w:p>
    <w:p>
      <w:pPr>
        <w:pStyle w:val="Normal"/>
        <w:spacing w:lineRule="auto" w:line="288"/>
        <w:jc w:val="both"/>
        <w:rPr>
          <w:sz w:val="20"/>
          <w:szCs w:val="20"/>
        </w:rPr>
      </w:pPr>
      <w:r>
        <w:rPr>
          <w:b/>
          <w:bCs/>
          <w:sz w:val="20"/>
          <w:szCs w:val="20"/>
        </w:rPr>
        <w:t xml:space="preserve">Abstract. </w:t>
      </w:r>
      <w:r>
        <w:rPr>
          <w:sz w:val="20"/>
          <w:szCs w:val="20"/>
        </w:rPr>
        <w:t>This paper presents a comparative analysis of two approaches to text vector representation: a linear model based on latent semantic analysis (LSA) and the nonlinear transformer model all-MiniLM-L6-v2. The aim is to reveal the relationship between the algebraic properties of the models' vector spaces and their performance on applied tasks. The comparison is carried out on the STS Benchmark, 20 Newsgroups, and MRPC datasets using intrinsic (participation ratio, effective rank, isotropy score, hubness score) and extrinsic (Spearman correlation, Accuracy, F1-macro, ARI, silhouette) metrics. The results show that the nonlinear model substantially outperforms LSA on context-dependent tasks (semantic similarity and clustering), whereas on tasks driven by keyword overlap (topic classification and paraphrase detection) the models are comparable. High values of geometric space characteristics (PR, ER, isotropy) are shown to be insufficient as a condition for the semantic quality of representations.</w:t>
      </w:r>
    </w:p>
    <w:p>
      <w:pPr>
        <w:pStyle w:val="Normal"/>
        <w:spacing w:lineRule="auto" w:line="288"/>
        <w:jc w:val="both"/>
        <w:rPr>
          <w:sz w:val="20"/>
          <w:szCs w:val="20"/>
        </w:rPr>
      </w:pPr>
      <w:r>
        <w:rPr>
          <w:b/>
          <w:bCs/>
          <w:sz w:val="20"/>
          <w:szCs w:val="20"/>
        </w:rPr>
        <w:t xml:space="preserve">Keywords: </w:t>
      </w:r>
      <w:r>
        <w:rPr>
          <w:sz w:val="20"/>
          <w:szCs w:val="20"/>
        </w:rPr>
        <w:t>latent semantic analysis, text vector representation, embeddings, transformers, all-MiniLM-L6-v2, singular value decomposition, semantic similarity, space isotropy, text clustering.</w:t>
      </w:r>
    </w:p>
    <w:p>
      <w:pPr>
        <w:pStyle w:val="Normal"/>
        <w:spacing w:lineRule="auto" w:line="288"/>
        <w:rPr>
          <w:sz w:val="20"/>
          <w:szCs w:val="20"/>
        </w:rPr>
      </w:pPr>
      <w:r>
        <w:rPr>
          <w:sz w:val="20"/>
          <w:szCs w:val="20"/>
        </w:rPr>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Введение</w:t>
      </w:r>
    </w:p>
    <w:p>
      <w:pPr>
        <w:pStyle w:val="Normal"/>
        <w:spacing w:lineRule="auto" w:line="288"/>
        <w:ind w:firstLine="567"/>
        <w:jc w:val="both"/>
        <w:rPr>
          <w:sz w:val="20"/>
          <w:szCs w:val="20"/>
        </w:rPr>
      </w:pPr>
      <w:r>
        <w:rPr>
          <w:sz w:val="20"/>
          <w:szCs w:val="20"/>
        </w:rPr>
        <w:t>В задачах обработки естественного языка существуют два принципиально разных подхода к представлению смысла текста. Первый — латентно-семантический анализ (LSA), основанный на сингулярном разложении (SVD) терм-документной матрицы. Второй — модель на основе архитектуры трансформера (sentence-transformer all-MiniLM-L6-v2, далее — MiniLM), использующая механизм самовнимания. Переход между ними — это не просто смена инструмента, а переход от линейных матричных преобразований к нелинейным, что принципиально меняет алгебраические свойства получаемых векторных пространств.</w:t>
      </w:r>
    </w:p>
    <w:p>
      <w:pPr>
        <w:pStyle w:val="Normal"/>
        <w:spacing w:lineRule="auto" w:line="288"/>
        <w:ind w:firstLine="567"/>
        <w:jc w:val="both"/>
        <w:rPr>
          <w:sz w:val="20"/>
          <w:szCs w:val="20"/>
        </w:rPr>
      </w:pPr>
      <w:r>
        <w:rPr>
          <w:sz w:val="20"/>
          <w:szCs w:val="20"/>
        </w:rPr>
        <w:t>Главным ограничением LSA является то, что вектор текста в этой модели вычисляется как линейная сумма векторов входящих в него слов. Такой подход игнорирует контекст, что приводит к проблеме полисемии: многозначные слова получают один фиксированный вектор независимо от окружения. Таким образом, LSA эффективно справляется с задачами тематического поиска, но не позволяет точно передать семантику там, где контекст принципиален.</w:t>
      </w:r>
    </w:p>
    <w:p>
      <w:pPr>
        <w:pStyle w:val="Normal"/>
        <w:spacing w:lineRule="auto" w:line="288"/>
        <w:ind w:firstLine="567"/>
        <w:jc w:val="both"/>
        <w:rPr>
          <w:sz w:val="20"/>
          <w:szCs w:val="20"/>
        </w:rPr>
      </w:pPr>
      <w:r>
        <w:rPr>
          <w:sz w:val="20"/>
          <w:szCs w:val="20"/>
        </w:rPr>
        <w:t>Отличие MiniLM от LSA заключается в динамическом вычислении векторов слов: модель учитывает левый и правый контекст каждого слова, что позволяет корректно обрабатывать контекстно-зависимые явления — полисемию, отрицание и синтаксические зависимости. Это достигается за счёт механизма самовнимания, итеративно применяемого в 6 слоях MiniLM: на каждом слое вектор слова обновляется с учётом окружения. В результате векторное пространство MiniLM строится через последовательные нелинейные преобразования — что принципиально отличает его от линейного пространства LSA.</w:t>
      </w:r>
    </w:p>
    <w:p>
      <w:pPr>
        <w:pStyle w:val="Normal"/>
        <w:spacing w:lineRule="auto" w:line="288"/>
        <w:ind w:firstLine="567"/>
        <w:jc w:val="both"/>
        <w:rPr>
          <w:sz w:val="20"/>
          <w:szCs w:val="20"/>
        </w:rPr>
      </w:pPr>
      <w:r>
        <w:rPr>
          <w:sz w:val="20"/>
          <w:szCs w:val="20"/>
        </w:rPr>
        <w:t>Цель настоящей работы — выявить математические основы семантической обработки текста путём сравнения алгебраических свойств векторных пространств линейной (LSA) и нелинейной (MiniLM) моделей. Сравнение проводится на основе численного эксперимента; основными метриками служат STS ρ, ARI, isotropy score (IS), effective rank (ER) и participation ratio (PR). Предполагается, что полученные результаты позволят показать связь между алгебраическими свойствами и качеством моделей: LSA будет конкурентоспособным при ограниченных вычислительных ресурсах, тогда как MiniLM будет демонстрировать преимущество в задачах, требующих учёта контекста.</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Математическое описание моделей</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Латентно-семантический анализ (LSA)</w:t>
      </w:r>
    </w:p>
    <w:p>
      <w:pPr>
        <w:pStyle w:val="Normal"/>
        <w:spacing w:lineRule="auto" w:line="288"/>
        <w:ind w:firstLine="567"/>
        <w:jc w:val="both"/>
        <w:rPr>
          <w:sz w:val="20"/>
          <w:szCs w:val="20"/>
        </w:rPr>
      </w:pPr>
      <w:r>
        <w:rPr>
          <w:sz w:val="20"/>
          <w:szCs w:val="20"/>
        </w:rPr>
        <w:t>Математический фундамент LSA строится на принципах линейной алгебры и статистического анализа частот слов. Процесс начинается с построения терм-документной матрицы X [1], где строки — уникальные слова, а столбцы — фрагменты текста (документы или параграфы). Каждая ячейка матрицы содержит частоту вхождения слова, которая для повышения точности подвергается TF-IDF (Term Frequency–Inverse Document Frequency):</w:t>
      </w:r>
    </w:p>
    <w:p>
      <w:pPr>
        <w:pStyle w:val="Normal"/>
        <w:spacing w:lineRule="auto" w:line="288" w:before="60" w:after="60"/>
        <w:jc w:val="center"/>
        <w:rPr>
          <w:sz w:val="20"/>
          <w:szCs w:val="20"/>
        </w:rPr>
      </w:pPr>
      <w:r>
        <w:rPr>
          <w:sz w:val="20"/>
          <w:szCs w:val="20"/>
        </w:rPr>
      </w:r>
      <m:oMathPara xmlns:m="http://schemas.openxmlformats.org/officeDocument/2006/math">
        <m:oMathParaPr>
          <m:jc m:val="center"/>
        </m:oMathParaPr>
        <m:oMath>
          <m:r>
            <m:t xml:space="preserve">TF</m:t>
          </m:r>
          <m:r>
            <m:t xml:space="preserve">(</m:t>
          </m:r>
          <m:r>
            <m:t xml:space="preserve">t</m:t>
          </m:r>
          <m:r>
            <m:t xml:space="preserve">,</m:t>
          </m:r>
          <m:r>
            <m:rPr>
              <m:lit/>
              <m:nor/>
            </m:rPr>
            <m:t xml:space="preserve"> </m:t>
          </m:r>
          <m:r>
            <m:t xml:space="preserve">d</m:t>
          </m:r>
          <m:r>
            <m:t xml:space="preserve">)</m:t>
          </m:r>
          <m:r>
            <m:rPr>
              <m:lit/>
              <m:nor/>
            </m:rPr>
            <m:t xml:space="preserve"> </m:t>
          </m:r>
          <m:r>
            <m:rPr>
              <m:lit/>
              <m:nor/>
            </m:rPr>
            <m:t xml:space="preserve">=</m:t>
          </m:r>
          <m:r>
            <m:rPr>
              <m:lit/>
              <m:nor/>
            </m:rPr>
            <m:t xml:space="preserve"> </m:t>
          </m:r>
          <m:f>
            <m:num>
              <m:sSub>
                <m:e>
                  <m:r>
                    <m:t xml:space="preserve">n</m:t>
                  </m:r>
                </m:e>
                <m:sub>
                  <m:r>
                    <m:t xml:space="preserve">t</m:t>
                  </m:r>
                  <m:r>
                    <m:t xml:space="preserve">,</m:t>
                  </m:r>
                  <m:r>
                    <m:rPr>
                      <m:lit/>
                      <m:nor/>
                    </m:rPr>
                    <m:t xml:space="preserve"> </m:t>
                  </m:r>
                  <m:r>
                    <m:t xml:space="preserve">d</m:t>
                  </m:r>
                </m:sub>
              </m:sSub>
            </m:num>
            <m:den>
              <m:nary>
                <m:naryPr>
                  <m:chr m:val="∑"/>
                  <m:supHide m:val="1"/>
                </m:naryPr>
                <m:sub>
                  <m:r>
                    <m:t xml:space="preserve">k</m:t>
                  </m:r>
                </m:sub>
                <m:sup/>
                <m:e>
                  <m:sSub>
                    <m:e>
                      <m:r>
                        <m:t xml:space="preserve">n</m:t>
                      </m:r>
                    </m:e>
                    <m:sub>
                      <m:r>
                        <m:t xml:space="preserve">k</m:t>
                      </m:r>
                      <m:r>
                        <m:t xml:space="preserve">,</m:t>
                      </m:r>
                      <m:r>
                        <m:rPr>
                          <m:lit/>
                          <m:nor/>
                        </m:rPr>
                        <m:t xml:space="preserve"> </m:t>
                      </m:r>
                      <m:r>
                        <m:t xml:space="preserve">d</m:t>
                      </m:r>
                    </m:sub>
                  </m:sSub>
                </m:e>
              </m:nary>
            </m:den>
          </m:f>
        </m:oMath>
      </m:oMathPara>
    </w:p>
    <w:p>
      <w:pPr>
        <w:pStyle w:val="Normal"/>
        <w:spacing w:lineRule="auto" w:line="288" w:before="60" w:after="60"/>
        <w:jc w:val="center"/>
        <w:rPr>
          <w:sz w:val="20"/>
          <w:szCs w:val="20"/>
        </w:rPr>
      </w:pPr>
      <w:r>
        <w:rPr>
          <w:sz w:val="20"/>
          <w:szCs w:val="20"/>
        </w:rPr>
      </w:r>
      <m:oMathPara xmlns:m="http://schemas.openxmlformats.org/officeDocument/2006/math">
        <m:oMathParaPr>
          <m:jc m:val="center"/>
        </m:oMathParaPr>
        <m:oMath>
          <m:r>
            <m:t xml:space="preserve">IDF</m:t>
          </m:r>
          <m:r>
            <m:t xml:space="preserve">(</m:t>
          </m:r>
          <m:r>
            <m:t xml:space="preserve">t</m:t>
          </m:r>
          <m:r>
            <m:t xml:space="preserve">,</m:t>
          </m:r>
          <m:r>
            <m:rPr>
              <m:lit/>
              <m:nor/>
            </m:rPr>
            <m:t xml:space="preserve"> </m:t>
          </m:r>
          <m:r>
            <m:t xml:space="preserve">D</m:t>
          </m:r>
          <m:r>
            <m:t xml:space="preserve">)</m:t>
          </m:r>
          <m:r>
            <m:rPr>
              <m:lit/>
              <m:nor/>
            </m:rPr>
            <m:t xml:space="preserve"> </m:t>
          </m:r>
          <m:r>
            <m:rPr>
              <m:lit/>
              <m:nor/>
            </m:rPr>
            <m:t xml:space="preserve">=</m:t>
          </m:r>
          <m:r>
            <m:rPr>
              <m:lit/>
              <m:nor/>
            </m:rPr>
            <m:t xml:space="preserve"> </m:t>
          </m:r>
          <m:r>
            <m:t xml:space="preserve">log</m:t>
          </m:r>
          <m:r>
            <m:rPr>
              <m:lit/>
              <m:nor/>
            </m:rPr>
            <m:t xml:space="preserve"> </m:t>
          </m:r>
          <m:f>
            <m:num>
              <m:r>
                <m:rPr>
                  <m:lit/>
                  <m:nor/>
                </m:rPr>
                <m:t xml:space="preserve">|</m:t>
              </m:r>
              <m:r>
                <m:t xml:space="preserve">D</m:t>
              </m:r>
              <m:r>
                <m:rPr>
                  <m:lit/>
                  <m:nor/>
                </m:rPr>
                <m:t xml:space="preserve">|</m:t>
              </m:r>
            </m:num>
            <m:den>
              <m:r>
                <m:rPr>
                  <m:lit/>
                  <m:nor/>
                </m:rPr>
                <m:t xml:space="preserve">|</m:t>
              </m:r>
              <m:r>
                <m:t xml:space="preserve">{</m:t>
              </m:r>
              <m:r>
                <m:t xml:space="preserve">d</m:t>
              </m:r>
              <m:r>
                <m:rPr>
                  <m:lit/>
                  <m:nor/>
                </m:rPr>
                <m:t xml:space="preserve"> </m:t>
              </m:r>
              <m:r>
                <m:t xml:space="preserve">∈</m:t>
              </m:r>
              <m:r>
                <m:rPr>
                  <m:lit/>
                  <m:nor/>
                </m:rPr>
                <m:t xml:space="preserve"> </m:t>
              </m:r>
              <m:r>
                <m:t xml:space="preserve">D</m:t>
              </m:r>
              <m:r>
                <m:rPr>
                  <m:lit/>
                  <m:nor/>
                </m:rPr>
                <m:t xml:space="preserve"> </m:t>
              </m:r>
              <m:r>
                <m:t xml:space="preserve">:</m:t>
              </m:r>
              <m:r>
                <m:rPr>
                  <m:lit/>
                  <m:nor/>
                </m:rPr>
                <m:t xml:space="preserve"> </m:t>
              </m:r>
              <m:r>
                <m:t xml:space="preserve">t</m:t>
              </m:r>
              <m:r>
                <m:rPr>
                  <m:lit/>
                  <m:nor/>
                </m:rPr>
                <m:t xml:space="preserve"> </m:t>
              </m:r>
              <m:r>
                <m:t xml:space="preserve">∈</m:t>
              </m:r>
              <m:r>
                <m:rPr>
                  <m:lit/>
                  <m:nor/>
                </m:rPr>
                <m:t xml:space="preserve"> </m:t>
              </m:r>
              <m:r>
                <m:t xml:space="preserve">d</m:t>
              </m:r>
              <m:r>
                <m:t xml:space="preserve">}</m:t>
              </m:r>
              <m:r>
                <m:rPr>
                  <m:lit/>
                  <m:nor/>
                </m:rPr>
                <m:t xml:space="preserve">|</m:t>
              </m:r>
            </m:den>
          </m:f>
        </m:oMath>
      </m:oMathPara>
    </w:p>
    <w:p>
      <w:pPr>
        <w:pStyle w:val="Normal"/>
        <w:spacing w:lineRule="auto" w:line="288" w:before="60" w:after="60"/>
        <w:jc w:val="center"/>
        <w:rPr>
          <w:sz w:val="20"/>
          <w:szCs w:val="20"/>
        </w:rPr>
      </w:pPr>
      <w:r>
        <w:rPr>
          <w:sz w:val="20"/>
          <w:szCs w:val="20"/>
        </w:rPr>
      </w:r>
      <m:oMathPara xmlns:m="http://schemas.openxmlformats.org/officeDocument/2006/math">
        <m:oMathParaPr>
          <m:jc m:val="center"/>
        </m:oMathParaPr>
        <m:oMath>
          <m:r>
            <m:t xml:space="preserve">TF</m:t>
          </m:r>
          <m:r>
            <m:rPr>
              <m:lit/>
              <m:nor/>
            </m:rPr>
            <m:t xml:space="preserve">-</m:t>
          </m:r>
          <m:r>
            <m:t xml:space="preserve">IDF</m:t>
          </m:r>
          <m:r>
            <m:t xml:space="preserve">(</m:t>
          </m:r>
          <m:r>
            <m:t xml:space="preserve">t</m:t>
          </m:r>
          <m:r>
            <m:t xml:space="preserve">,</m:t>
          </m:r>
          <m:r>
            <m:rPr>
              <m:lit/>
              <m:nor/>
            </m:rPr>
            <m:t xml:space="preserve"> </m:t>
          </m:r>
          <m:r>
            <m:t xml:space="preserve">d</m:t>
          </m:r>
          <m:r>
            <m:t xml:space="preserve">,</m:t>
          </m:r>
          <m:r>
            <m:rPr>
              <m:lit/>
              <m:nor/>
            </m:rPr>
            <m:t xml:space="preserve"> </m:t>
          </m:r>
          <m:r>
            <m:t xml:space="preserve">D</m:t>
          </m:r>
          <m:r>
            <m:t xml:space="preserve">)</m:t>
          </m:r>
          <m:r>
            <m:rPr>
              <m:lit/>
              <m:nor/>
            </m:rPr>
            <m:t xml:space="preserve"> </m:t>
          </m:r>
          <m:r>
            <m:rPr>
              <m:lit/>
              <m:nor/>
            </m:rPr>
            <m:t xml:space="preserve">=</m:t>
          </m:r>
          <m:r>
            <m:rPr>
              <m:lit/>
              <m:nor/>
            </m:rPr>
            <m:t xml:space="preserve"> </m:t>
          </m:r>
          <m:r>
            <m:t xml:space="preserve">TF</m:t>
          </m:r>
          <m:r>
            <m:t xml:space="preserve">(</m:t>
          </m:r>
          <m:r>
            <m:t xml:space="preserve">t</m:t>
          </m:r>
          <m:r>
            <m:t xml:space="preserve">,</m:t>
          </m:r>
          <m:r>
            <m:rPr>
              <m:lit/>
              <m:nor/>
            </m:rPr>
            <m:t xml:space="preserve"> </m:t>
          </m:r>
          <m:r>
            <m:t xml:space="preserve">d</m:t>
          </m:r>
          <m:r>
            <m:t xml:space="preserve">)</m:t>
          </m:r>
          <m:r>
            <m:rPr>
              <m:lit/>
              <m:nor/>
            </m:rPr>
            <m:t xml:space="preserve"> </m:t>
          </m:r>
          <m:r>
            <m:t xml:space="preserve">×</m:t>
          </m:r>
          <m:r>
            <m:rPr>
              <m:lit/>
              <m:nor/>
            </m:rPr>
            <m:t xml:space="preserve"> </m:t>
          </m:r>
          <m:r>
            <m:t xml:space="preserve">IDF</m:t>
          </m:r>
          <m:r>
            <m:t xml:space="preserve">(</m:t>
          </m:r>
          <m:r>
            <m:t xml:space="preserve">t</m:t>
          </m:r>
          <m:r>
            <m:t xml:space="preserve">,</m:t>
          </m:r>
          <m:r>
            <m:rPr>
              <m:lit/>
              <m:nor/>
            </m:rPr>
            <m:t xml:space="preserve"> </m:t>
          </m:r>
          <m:r>
            <m:t xml:space="preserve">D</m:t>
          </m:r>
          <m:r>
            <m:t xml:space="preserve">)</m:t>
          </m:r>
        </m:oMath>
      </m:oMathPara>
    </w:p>
    <w:p>
      <w:pPr>
        <w:pStyle w:val="Normal"/>
        <w:spacing w:lineRule="auto" w:line="288"/>
        <w:ind w:firstLine="567"/>
        <w:jc w:val="both"/>
        <w:rPr>
          <w:sz w:val="20"/>
          <w:szCs w:val="20"/>
        </w:rPr>
      </w:pPr>
      <w:r>
        <w:rPr>
          <w:sz w:val="20"/>
          <w:szCs w:val="20"/>
        </w:rPr>
        <w:t>Это позволяет снизить значимость общеупотребительных слов и выделить специфические термины.</w:t>
      </w:r>
    </w:p>
    <w:p>
      <w:pPr>
        <w:pStyle w:val="Normal"/>
        <w:spacing w:lineRule="auto" w:line="288"/>
        <w:ind w:firstLine="567"/>
        <w:jc w:val="both"/>
        <w:rPr>
          <w:sz w:val="20"/>
          <w:szCs w:val="20"/>
        </w:rPr>
      </w:pPr>
      <w:r>
        <w:rPr>
          <w:sz w:val="20"/>
          <w:szCs w:val="20"/>
        </w:rPr>
        <w:t>Центральным инструментом LSA является сингулярное разложение (SVD) [2], которое раскладывает исходную матрицу X на произведение трёх матриц:</w:t>
      </w:r>
    </w:p>
    <w:p>
      <w:pPr>
        <w:pStyle w:val="Normal"/>
        <w:spacing w:lineRule="auto" w:line="288" w:before="60" w:after="60"/>
        <w:jc w:val="center"/>
        <w:rPr>
          <w:sz w:val="20"/>
          <w:szCs w:val="20"/>
        </w:rPr>
      </w:pPr>
      <w:r>
        <w:rPr>
          <w:sz w:val="20"/>
          <w:szCs w:val="20"/>
        </w:rPr>
      </w:r>
      <m:oMathPara xmlns:m="http://schemas.openxmlformats.org/officeDocument/2006/math">
        <m:oMathParaPr>
          <m:jc m:val="center"/>
        </m:oMathParaPr>
        <m:oMath>
          <m:r>
            <m:t xml:space="preserve">X</m:t>
          </m:r>
          <m:r>
            <m:rPr>
              <m:lit/>
              <m:nor/>
            </m:rPr>
            <m:t xml:space="preserve"> </m:t>
          </m:r>
          <m:r>
            <m:rPr>
              <m:lit/>
              <m:nor/>
            </m:rPr>
            <m:t xml:space="preserve">=</m:t>
          </m:r>
          <m:r>
            <m:rPr>
              <m:lit/>
              <m:nor/>
            </m:rPr>
            <m:t xml:space="preserve"> </m:t>
          </m:r>
          <m:r>
            <m:t xml:space="preserve">UΣ</m:t>
          </m:r>
          <m:sSup>
            <m:e>
              <m:r>
                <m:t xml:space="preserve">V</m:t>
              </m:r>
            </m:e>
            <m:sup>
              <m:r>
                <m:t xml:space="preserve">T</m:t>
              </m:r>
            </m:sup>
          </m:sSup>
        </m:oMath>
      </m:oMathPara>
    </w:p>
    <w:p>
      <w:pPr>
        <w:pStyle w:val="ListParagraph"/>
        <w:numPr>
          <w:ilvl w:val="0"/>
          <w:numId w:val="3"/>
        </w:numPr>
        <w:spacing w:lineRule="auto" w:line="288"/>
        <w:jc w:val="both"/>
        <w:rPr>
          <w:sz w:val="20"/>
          <w:szCs w:val="20"/>
        </w:rPr>
      </w:pPr>
      <w:r>
        <w:rPr>
          <w:sz w:val="20"/>
          <w:szCs w:val="20"/>
        </w:rPr>
      </w:r>
      <m:oMath xmlns:m="http://schemas.openxmlformats.org/officeDocument/2006/math">
        <m:r>
          <m:t xml:space="preserve">U</m:t>
        </m:r>
        <m:r>
          <m:rPr>
            <m:lit/>
            <m:nor/>
          </m:rPr>
          <m:t xml:space="preserve"> </m:t>
        </m:r>
        <m:r>
          <m:t xml:space="preserve">∈</m:t>
        </m:r>
        <m:r>
          <m:rPr>
            <m:lit/>
            <m:nor/>
          </m:rPr>
          <m:t xml:space="preserve"> </m:t>
        </m:r>
        <m:sSup>
          <m:e>
            <m:r>
              <m:t xml:space="preserve">ℝ</m:t>
            </m:r>
          </m:e>
          <m:sup>
            <m:r>
              <m:t xml:space="preserve">m</m:t>
            </m:r>
            <m:r>
              <m:t xml:space="preserve">×</m:t>
            </m:r>
            <m:r>
              <m:t xml:space="preserve">k</m:t>
            </m:r>
          </m:sup>
        </m:sSup>
      </m:oMath>
      <w:r>
        <w:rPr>
          <w:sz w:val="20"/>
          <w:szCs w:val="20"/>
        </w:rPr>
        <w:t>: матрица, столбцы которой задают латентные темы в пространстве слов</w:t>
      </w:r>
    </w:p>
    <w:p>
      <w:pPr>
        <w:pStyle w:val="ListParagraph"/>
        <w:numPr>
          <w:ilvl w:val="0"/>
          <w:numId w:val="1"/>
        </w:numPr>
        <w:spacing w:lineRule="auto" w:line="288"/>
        <w:jc w:val="both"/>
        <w:rPr>
          <w:sz w:val="20"/>
          <w:szCs w:val="20"/>
        </w:rPr>
      </w:pPr>
      <w:r>
        <w:rPr>
          <w:sz w:val="20"/>
          <w:szCs w:val="20"/>
        </w:rPr>
      </w:r>
      <m:oMath xmlns:m="http://schemas.openxmlformats.org/officeDocument/2006/math">
        <m:r>
          <m:t xml:space="preserve">Σ</m:t>
        </m:r>
        <m:r>
          <m:rPr>
            <m:lit/>
            <m:nor/>
          </m:rPr>
          <m:t xml:space="preserve"> </m:t>
        </m:r>
        <m:r>
          <m:t xml:space="preserve">∈</m:t>
        </m:r>
        <m:r>
          <m:rPr>
            <m:lit/>
            <m:nor/>
          </m:rPr>
          <m:t xml:space="preserve"> </m:t>
        </m:r>
        <m:sSup>
          <m:e>
            <m:r>
              <m:t xml:space="preserve">ℝ</m:t>
            </m:r>
          </m:e>
          <m:sup>
            <m:r>
              <m:t xml:space="preserve">k</m:t>
            </m:r>
            <m:r>
              <m:t xml:space="preserve">×</m:t>
            </m:r>
            <m:r>
              <m:t xml:space="preserve">k</m:t>
            </m:r>
          </m:sup>
        </m:sSup>
      </m:oMath>
      <w:r>
        <w:rPr>
          <w:sz w:val="20"/>
          <w:szCs w:val="20"/>
        </w:rPr>
        <w:t>: диагональная матрица сингулярных значений, упорядоченных по убыванию; каждое значение отражает важность соответствующей латентной темы</w:t>
      </w:r>
    </w:p>
    <w:p>
      <w:pPr>
        <w:pStyle w:val="ListParagraph"/>
        <w:numPr>
          <w:ilvl w:val="0"/>
          <w:numId w:val="1"/>
        </w:numPr>
        <w:spacing w:lineRule="auto" w:line="288"/>
        <w:jc w:val="both"/>
        <w:rPr>
          <w:sz w:val="20"/>
          <w:szCs w:val="20"/>
        </w:rPr>
      </w:pPr>
      <w:r>
        <w:rPr>
          <w:sz w:val="20"/>
          <w:szCs w:val="20"/>
        </w:rPr>
      </w:r>
      <m:oMath xmlns:m="http://schemas.openxmlformats.org/officeDocument/2006/math">
        <m:sSup>
          <m:e>
            <m:r>
              <m:t xml:space="preserve">V</m:t>
            </m:r>
          </m:e>
          <m:sup>
            <m:r>
              <m:t xml:space="preserve">T</m:t>
            </m:r>
          </m:sup>
        </m:sSup>
        <m:r>
          <m:rPr>
            <m:lit/>
            <m:nor/>
          </m:rPr>
          <m:t xml:space="preserve"> </m:t>
        </m:r>
        <m:r>
          <m:t xml:space="preserve">∈</m:t>
        </m:r>
        <m:r>
          <m:rPr>
            <m:lit/>
            <m:nor/>
          </m:rPr>
          <m:t xml:space="preserve"> </m:t>
        </m:r>
        <m:sSup>
          <m:e>
            <m:r>
              <m:t xml:space="preserve">ℝ</m:t>
            </m:r>
          </m:e>
          <m:sup>
            <m:r>
              <m:t xml:space="preserve">k</m:t>
            </m:r>
            <m:r>
              <m:t xml:space="preserve">×</m:t>
            </m:r>
            <m:r>
              <m:t xml:space="preserve">n</m:t>
            </m:r>
          </m:sup>
        </m:sSup>
      </m:oMath>
      <w:r>
        <w:rPr>
          <w:sz w:val="20"/>
          <w:szCs w:val="20"/>
        </w:rPr>
        <w:t>: матрица, строки которой задают координаты документов в пространстве латентных тем</w:t>
      </w:r>
    </w:p>
    <w:p>
      <w:pPr>
        <w:pStyle w:val="Normal"/>
        <w:spacing w:lineRule="auto" w:line="288"/>
        <w:ind w:firstLine="567"/>
        <w:jc w:val="both"/>
        <w:rPr>
          <w:sz w:val="20"/>
          <w:szCs w:val="20"/>
        </w:rPr>
      </w:pPr>
      <w:r>
        <w:rPr>
          <w:sz w:val="20"/>
          <w:szCs w:val="20"/>
        </w:rPr>
        <w:t xml:space="preserve">LSA строит приближение матрицы X ранга k, оставляя только k наибольших сингулярных значений и соответствующие им столбцы U и строки </w:t>
      </w:r>
      <w:r>
        <w:rPr>
          <w:sz w:val="20"/>
          <w:szCs w:val="20"/>
        </w:rPr>
      </w:r>
      <m:oMath xmlns:m="http://schemas.openxmlformats.org/officeDocument/2006/math">
        <m:sSup>
          <m:e>
            <m:r>
              <m:t xml:space="preserve">V</m:t>
            </m:r>
          </m:e>
          <m:sup>
            <m:r>
              <m:t xml:space="preserve">T</m:t>
            </m:r>
          </m:sup>
        </m:sSup>
      </m:oMath>
      <w:r>
        <w:rPr>
          <w:sz w:val="20"/>
          <w:szCs w:val="20"/>
        </w:rPr>
        <w:t xml:space="preserve">. По теореме Эккарта–Янга такое приближение минимизирует норму Фробениуса ошибки </w:t>
      </w:r>
      <w:r>
        <w:rPr>
          <w:sz w:val="20"/>
          <w:szCs w:val="20"/>
        </w:rPr>
      </w:r>
      <m:oMath xmlns:m="http://schemas.openxmlformats.org/officeDocument/2006/math">
        <m:sSub>
          <m:e>
            <m:r>
              <m:t xml:space="preserve">‖</m:t>
            </m:r>
            <m:r>
              <m:t xml:space="preserve">X</m:t>
            </m:r>
            <m:r>
              <m:rPr>
                <m:lit/>
                <m:nor/>
              </m:rPr>
              <m:t xml:space="preserve"> </m:t>
            </m:r>
            <m:r>
              <m:t xml:space="preserve">−</m:t>
            </m:r>
            <m:r>
              <m:rPr>
                <m:lit/>
                <m:nor/>
              </m:rPr>
              <m:t xml:space="preserve"> </m:t>
            </m:r>
            <m:sSub>
              <m:e>
                <m:r>
                  <m:t xml:space="preserve">X</m:t>
                </m:r>
              </m:e>
              <m:sub>
                <m:r>
                  <m:t xml:space="preserve">k</m:t>
                </m:r>
              </m:sub>
            </m:sSub>
            <m:r>
              <m:t xml:space="preserve">‖</m:t>
            </m:r>
          </m:e>
          <m:sub>
            <m:r>
              <m:t xml:space="preserve">F</m:t>
            </m:r>
          </m:sub>
        </m:sSub>
      </m:oMath>
      <w:r>
        <w:rPr>
          <w:sz w:val="20"/>
          <w:szCs w:val="20"/>
        </w:rPr>
        <w:t>: никакая другая матрица ранга k не даст меньшую ошибку. Интуитивно это аналогично сжатию: мы сохраняем основные темы и отбрасываем шум.</w:t>
      </w:r>
    </w:p>
    <w:p>
      <w:pPr>
        <w:pStyle w:val="Normal"/>
        <w:spacing w:lineRule="auto" w:line="288"/>
        <w:ind w:firstLine="567"/>
        <w:jc w:val="both"/>
        <w:rPr>
          <w:sz w:val="20"/>
          <w:szCs w:val="20"/>
        </w:rPr>
      </w:pPr>
      <w:r>
        <w:rPr>
          <w:sz w:val="20"/>
          <w:szCs w:val="20"/>
        </w:rPr>
        <w:t xml:space="preserve">Вектор нового документа получается как линейная проекция его TF-IDF вектора в латентное пространство: </w:t>
      </w:r>
      <w:r>
        <w:rPr>
          <w:sz w:val="20"/>
          <w:szCs w:val="20"/>
        </w:rPr>
      </w:r>
      <m:oMath xmlns:m="http://schemas.openxmlformats.org/officeDocument/2006/math">
        <m:r>
          <m:t xml:space="preserve">z</m:t>
        </m:r>
        <m:r>
          <m:rPr>
            <m:lit/>
            <m:nor/>
          </m:rPr>
          <m:t xml:space="preserve"> </m:t>
        </m:r>
        <m:r>
          <m:rPr>
            <m:lit/>
            <m:nor/>
          </m:rPr>
          <m:t xml:space="preserve">=</m:t>
        </m:r>
        <m:r>
          <m:rPr>
            <m:lit/>
            <m:nor/>
          </m:rPr>
          <m:t xml:space="preserve"> </m:t>
        </m:r>
        <m:r>
          <m:t xml:space="preserve">x</m:t>
        </m:r>
        <m:r>
          <m:rPr>
            <m:lit/>
            <m:nor/>
          </m:rPr>
          <m:t xml:space="preserve"> </m:t>
        </m:r>
        <m:r>
          <m:t xml:space="preserve">·</m:t>
        </m:r>
        <m:r>
          <m:rPr>
            <m:lit/>
            <m:nor/>
          </m:rPr>
          <m:t xml:space="preserve"> </m:t>
        </m:r>
        <m:sSub>
          <m:e>
            <m:r>
              <m:t xml:space="preserve">V</m:t>
            </m:r>
          </m:e>
          <m:sub>
            <m:r>
              <m:t xml:space="preserve">k</m:t>
            </m:r>
          </m:sub>
        </m:sSub>
      </m:oMath>
      <w:r>
        <w:rPr>
          <w:sz w:val="20"/>
          <w:szCs w:val="20"/>
        </w:rPr>
        <w:t xml:space="preserve">, где </w:t>
      </w:r>
      <w:r>
        <w:rPr>
          <w:sz w:val="20"/>
          <w:szCs w:val="20"/>
        </w:rPr>
      </w:r>
      <m:oMath xmlns:m="http://schemas.openxmlformats.org/officeDocument/2006/math">
        <m:sSub>
          <m:e>
            <m:r>
              <m:t xml:space="preserve">V</m:t>
            </m:r>
          </m:e>
          <m:sub>
            <m:r>
              <m:t xml:space="preserve">k</m:t>
            </m:r>
          </m:sub>
        </m:sSub>
      </m:oMath>
      <w:r>
        <w:rPr>
          <w:sz w:val="20"/>
          <w:szCs w:val="20"/>
        </w:rPr>
        <w:t xml:space="preserve"> — первые k правых сингулярных векторов. Вся операция — от TF-IDF до проекции — является цепочкой линейных преобразований. Это главное ограничение LSA: модель работает по принципу «мешка слов» (bag-of-words), полностью игнорируя порядок слов и синтаксические связи.</w:t>
      </w:r>
    </w:p>
    <w:p>
      <w:pPr>
        <w:pStyle w:val="Normal"/>
        <w:spacing w:lineRule="auto" w:line="288"/>
        <w:ind w:firstLine="567"/>
        <w:jc w:val="both"/>
        <w:rPr>
          <w:sz w:val="20"/>
          <w:szCs w:val="20"/>
        </w:rPr>
      </w:pPr>
      <w:r>
        <w:rPr>
          <w:b/>
          <w:bCs/>
          <w:sz w:val="20"/>
          <w:szCs w:val="20"/>
        </w:rPr>
        <w:t xml:space="preserve">Косинусное сходство. </w:t>
      </w:r>
      <w:r>
        <w:rPr>
          <w:sz w:val="20"/>
          <w:szCs w:val="20"/>
        </w:rPr>
        <w:t xml:space="preserve">После L2-нормализации эмбеддингов </w:t>
      </w:r>
      <w:r>
        <w:rPr>
          <w:sz w:val="20"/>
          <w:szCs w:val="20"/>
        </w:rPr>
      </w:r>
      <m:oMath xmlns:m="http://schemas.openxmlformats.org/officeDocument/2006/math">
        <m:sSub>
          <m:e>
            <m:r>
              <m:t xml:space="preserve">v̂</m:t>
            </m:r>
          </m:e>
          <m:sub>
            <m:r>
              <m:t xml:space="preserve">i</m:t>
            </m:r>
          </m:sub>
        </m:sSub>
        <m:r>
          <m:rPr>
            <m:lit/>
            <m:nor/>
          </m:rPr>
          <m:t xml:space="preserve"> </m:t>
        </m:r>
        <m:r>
          <m:rPr>
            <m:lit/>
            <m:nor/>
          </m:rPr>
          <m:t xml:space="preserve">=</m:t>
        </m:r>
        <m:r>
          <m:rPr>
            <m:lit/>
            <m:nor/>
          </m:rPr>
          <m:t xml:space="preserve"> </m:t>
        </m:r>
        <m:f>
          <m:num>
            <m:sSub>
              <m:e>
                <m:r>
                  <m:t xml:space="preserve">v</m:t>
                </m:r>
              </m:e>
              <m:sub>
                <m:r>
                  <m:t xml:space="preserve">i</m:t>
                </m:r>
              </m:sub>
            </m:sSub>
          </m:num>
          <m:den>
            <m:sSub>
              <m:e>
                <m:r>
                  <m:t xml:space="preserve">‖</m:t>
                </m:r>
                <m:sSub>
                  <m:e>
                    <m:r>
                      <m:t xml:space="preserve">v</m:t>
                    </m:r>
                  </m:e>
                  <m:sub>
                    <m:r>
                      <m:t xml:space="preserve">i</m:t>
                    </m:r>
                  </m:sub>
                </m:sSub>
                <m:r>
                  <m:t xml:space="preserve">‖</m:t>
                </m:r>
              </m:e>
              <m:sub>
                <m:r>
                  <m:t xml:space="preserve">2</m:t>
                </m:r>
              </m:sub>
            </m:sSub>
          </m:den>
        </m:f>
      </m:oMath>
      <w:r>
        <w:rPr>
          <w:sz w:val="20"/>
          <w:szCs w:val="20"/>
        </w:rPr>
        <w:t xml:space="preserve"> мерой близости двух документов служит косинус угла между ними:</w:t>
      </w:r>
    </w:p>
    <w:p>
      <w:pPr>
        <w:pStyle w:val="Normal"/>
        <w:spacing w:lineRule="auto" w:line="288" w:before="60" w:after="60"/>
        <w:jc w:val="center"/>
        <w:rPr>
          <w:sz w:val="20"/>
          <w:szCs w:val="20"/>
        </w:rPr>
      </w:pPr>
      <w:r>
        <w:rPr>
          <w:sz w:val="20"/>
          <w:szCs w:val="20"/>
        </w:rPr>
      </w:r>
      <m:oMathPara xmlns:m="http://schemas.openxmlformats.org/officeDocument/2006/math">
        <m:oMathParaPr>
          <m:jc m:val="center"/>
        </m:oMathParaPr>
        <m:oMath>
          <m:r>
            <m:t xml:space="preserve">(</m:t>
          </m:r>
          <m:sSub>
            <m:e>
              <m:r>
                <m:t xml:space="preserve">v</m:t>
              </m:r>
            </m:e>
            <m:sub>
              <m:r>
                <m:t xml:space="preserve">i</m:t>
              </m:r>
            </m:sub>
          </m:sSub>
          <m:r>
            <m:t xml:space="preserve">,</m:t>
          </m:r>
          <m:r>
            <m:rPr>
              <m:lit/>
              <m:nor/>
            </m:rPr>
            <m:t xml:space="preserve"> </m:t>
          </m:r>
          <m:sSub>
            <m:e>
              <m:r>
                <m:t xml:space="preserve">v</m:t>
              </m:r>
            </m:e>
            <m:sub>
              <m:r>
                <m:t xml:space="preserve">j</m:t>
              </m:r>
            </m:sub>
          </m:sSub>
          <m:r>
            <m:t xml:space="preserve">)</m:t>
          </m:r>
          <m:r>
            <m:rPr>
              <m:lit/>
              <m:nor/>
            </m:rPr>
            <m:t xml:space="preserve"> </m:t>
          </m:r>
          <m:r>
            <m:rPr>
              <m:lit/>
              <m:nor/>
            </m:rPr>
            <m:t xml:space="preserve">=</m:t>
          </m:r>
          <m:r>
            <m:rPr>
              <m:lit/>
              <m:nor/>
            </m:rPr>
            <m:t xml:space="preserve"> </m:t>
          </m:r>
          <m:sSup>
            <m:e>
              <m:sSub>
                <m:e>
                  <m:r>
                    <m:t xml:space="preserve">v̂</m:t>
                  </m:r>
                </m:e>
                <m:sub>
                  <m:r>
                    <m:t xml:space="preserve">i</m:t>
                  </m:r>
                </m:sub>
              </m:sSub>
            </m:e>
            <m:sup>
              <m:r>
                <m:t xml:space="preserve">⊤</m:t>
              </m:r>
            </m:sup>
          </m:sSup>
          <m:sSub>
            <m:e>
              <m:r>
                <m:t xml:space="preserve">v̂</m:t>
              </m:r>
            </m:e>
            <m:sub>
              <m:r>
                <m:t xml:space="preserve">j</m:t>
              </m:r>
            </m:sub>
          </m:sSub>
          <m:r>
            <m:rPr>
              <m:lit/>
              <m:nor/>
            </m:rPr>
            <m:t xml:space="preserve"> </m:t>
          </m:r>
          <m:r>
            <m:rPr>
              <m:lit/>
              <m:nor/>
            </m:rPr>
            <m:t xml:space="preserve">=</m:t>
          </m:r>
          <m:r>
            <m:rPr>
              <m:lit/>
              <m:nor/>
            </m:rPr>
            <m:t xml:space="preserve"> </m:t>
          </m:r>
          <m:r>
            <m:t xml:space="preserve">cos</m:t>
          </m:r>
          <m:r>
            <m:rPr>
              <m:lit/>
              <m:nor/>
            </m:rPr>
            <m:t xml:space="preserve"> </m:t>
          </m:r>
          <m:sSub>
            <m:e>
              <m:r>
                <m:t xml:space="preserve">θ</m:t>
              </m:r>
            </m:e>
            <m:sub>
              <m:r>
                <m:t xml:space="preserve">ij</m:t>
              </m:r>
            </m:sub>
          </m:sSub>
        </m:oMath>
      </m:oMathPara>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all-MiniLM-L6-v2</w:t>
      </w:r>
    </w:p>
    <w:p>
      <w:pPr>
        <w:pStyle w:val="Normal"/>
        <w:spacing w:lineRule="auto" w:line="288"/>
        <w:ind w:firstLine="567"/>
        <w:jc w:val="both"/>
        <w:rPr>
          <w:sz w:val="20"/>
          <w:szCs w:val="20"/>
        </w:rPr>
      </w:pPr>
      <w:r>
        <w:rPr>
          <w:sz w:val="20"/>
          <w:szCs w:val="20"/>
        </w:rPr>
        <w:t>В отличие от линейной аппроксимации LSA, all-MiniLM-L6-v2 (далее — MiniLM) основан на многослойной архитектуре Transformer, использующей механизмы внимания для динамического вычисления контекста. Основным математическим компонентом является Scaled Dot-Product Attention [3]:</w:t>
      </w:r>
    </w:p>
    <w:p>
      <w:pPr>
        <w:pStyle w:val="Normal"/>
        <w:spacing w:lineRule="auto" w:line="288" w:before="60" w:after="60"/>
        <w:jc w:val="center"/>
        <w:rPr>
          <w:sz w:val="20"/>
          <w:szCs w:val="20"/>
        </w:rPr>
      </w:pPr>
      <w:r>
        <w:rPr>
          <w:sz w:val="20"/>
          <w:szCs w:val="20"/>
        </w:rPr>
      </w:r>
      <m:oMathPara xmlns:m="http://schemas.openxmlformats.org/officeDocument/2006/math">
        <m:oMathParaPr>
          <m:jc m:val="center"/>
        </m:oMathParaPr>
        <m:oMath>
          <m:r>
            <m:t xml:space="preserve">Attention</m:t>
          </m:r>
          <m:r>
            <m:t xml:space="preserve">(</m:t>
          </m:r>
          <m:r>
            <m:t xml:space="preserve">Q</m:t>
          </m:r>
          <m:r>
            <m:t xml:space="preserve">,</m:t>
          </m:r>
          <m:r>
            <m:rPr>
              <m:lit/>
              <m:nor/>
            </m:rPr>
            <m:t xml:space="preserve"> </m:t>
          </m:r>
          <m:r>
            <m:t xml:space="preserve">K</m:t>
          </m:r>
          <m:r>
            <m:t xml:space="preserve">,</m:t>
          </m:r>
          <m:r>
            <m:rPr>
              <m:lit/>
              <m:nor/>
            </m:rPr>
            <m:t xml:space="preserve"> </m:t>
          </m:r>
          <m:r>
            <m:t xml:space="preserve">V</m:t>
          </m:r>
          <m:r>
            <m:t xml:space="preserve">)</m:t>
          </m:r>
          <m:r>
            <m:rPr>
              <m:lit/>
              <m:nor/>
            </m:rPr>
            <m:t xml:space="preserve"> </m:t>
          </m:r>
          <m:r>
            <m:rPr>
              <m:lit/>
              <m:nor/>
            </m:rPr>
            <m:t xml:space="preserve">=</m:t>
          </m:r>
          <m:r>
            <m:rPr>
              <m:lit/>
              <m:nor/>
            </m:rPr>
            <m:t xml:space="preserve"> </m:t>
          </m:r>
          <m:r>
            <m:t xml:space="preserve">softmax</m:t>
          </m:r>
          <m:d>
            <m:dPr>
              <m:begChr m:val="("/>
              <m:endChr m:val=")"/>
            </m:dPr>
            <m:e>
              <m:f>
                <m:num>
                  <m:r>
                    <m:t xml:space="preserve">Q</m:t>
                  </m:r>
                  <m:sSup>
                    <m:e>
                      <m:r>
                        <m:t xml:space="preserve">K</m:t>
                      </m:r>
                    </m:e>
                    <m:sup>
                      <m:r>
                        <m:t xml:space="preserve">T</m:t>
                      </m:r>
                    </m:sup>
                  </m:sSup>
                </m:num>
                <m:den>
                  <m:rad>
                    <m:radPr>
                      <m:degHide m:val="1"/>
                    </m:radPr>
                    <m:deg/>
                    <m:e>
                      <m:sSub>
                        <m:e>
                          <m:r>
                            <m:t xml:space="preserve">d</m:t>
                          </m:r>
                        </m:e>
                        <m:sub>
                          <m:r>
                            <m:t xml:space="preserve">k</m:t>
                          </m:r>
                        </m:sub>
                      </m:sSub>
                    </m:e>
                  </m:rad>
                </m:den>
              </m:f>
            </m:e>
          </m:d>
          <m:r>
            <m:t xml:space="preserve">V</m:t>
          </m:r>
        </m:oMath>
      </m:oMathPara>
    </w:p>
    <w:p>
      <w:pPr>
        <w:pStyle w:val="Normal"/>
        <w:spacing w:lineRule="auto" w:line="288"/>
        <w:ind w:firstLine="567"/>
        <w:jc w:val="both"/>
        <w:rPr>
          <w:sz w:val="20"/>
          <w:szCs w:val="20"/>
        </w:rPr>
      </w:pPr>
      <w:r>
        <w:rPr>
          <w:sz w:val="20"/>
          <w:szCs w:val="20"/>
        </w:rPr>
        <w:t xml:space="preserve">где Q, K, V — матрицы запросов, ключей и значений, а </w:t>
      </w:r>
      <w:r>
        <w:rPr>
          <w:sz w:val="20"/>
          <w:szCs w:val="20"/>
        </w:rPr>
      </w:r>
      <m:oMath xmlns:m="http://schemas.openxmlformats.org/officeDocument/2006/math">
        <m:sSub>
          <m:e>
            <m:r>
              <m:t xml:space="preserve">d</m:t>
            </m:r>
          </m:e>
          <m:sub>
            <m:r>
              <m:t xml:space="preserve">k</m:t>
            </m:r>
          </m:sub>
        </m:sSub>
      </m:oMath>
      <w:r>
        <w:rPr>
          <w:sz w:val="20"/>
          <w:szCs w:val="20"/>
        </w:rPr>
        <w:t xml:space="preserve"> — размерность векторов.</w:t>
      </w:r>
    </w:p>
    <w:p>
      <w:pPr>
        <w:pStyle w:val="Normal"/>
        <w:spacing w:lineRule="auto" w:line="288"/>
        <w:ind w:firstLine="567"/>
        <w:jc w:val="both"/>
        <w:rPr>
          <w:sz w:val="20"/>
          <w:szCs w:val="20"/>
        </w:rPr>
      </w:pPr>
      <w:r>
        <w:rPr>
          <w:sz w:val="20"/>
          <w:szCs w:val="20"/>
        </w:rPr>
        <w:t>Модель состоит из 6 слоёв. На каждом слое вектор каждого токена обновляется с учётом всех остальных токенов через механизм внимания, а затем проходит через полносвязную сеть (FFN) с нелинейной функцией активации GELU:</w:t>
      </w:r>
    </w:p>
    <w:p>
      <w:pPr>
        <w:pStyle w:val="Normal"/>
        <w:spacing w:lineRule="auto" w:line="288" w:before="60" w:after="60"/>
        <w:jc w:val="center"/>
        <w:rPr>
          <w:sz w:val="20"/>
          <w:szCs w:val="20"/>
        </w:rPr>
      </w:pPr>
      <w:r>
        <w:rPr>
          <w:sz w:val="20"/>
          <w:szCs w:val="20"/>
        </w:rPr>
      </w:r>
      <m:oMathPara xmlns:m="http://schemas.openxmlformats.org/officeDocument/2006/math">
        <m:oMathParaPr>
          <m:jc m:val="center"/>
        </m:oMathParaPr>
        <m:oMath>
          <m:r>
            <m:t xml:space="preserve">FFN</m:t>
          </m:r>
          <m:r>
            <m:t xml:space="preserve">(</m:t>
          </m:r>
          <m:r>
            <m:t xml:space="preserve">x</m:t>
          </m:r>
          <m:r>
            <m:t xml:space="preserve">)</m:t>
          </m:r>
          <m:r>
            <m:rPr>
              <m:lit/>
              <m:nor/>
            </m:rPr>
            <m:t xml:space="preserve"> </m:t>
          </m:r>
          <m:r>
            <m:rPr>
              <m:lit/>
              <m:nor/>
            </m:rPr>
            <m:t xml:space="preserve">=</m:t>
          </m:r>
          <m:r>
            <m:rPr>
              <m:lit/>
              <m:nor/>
            </m:rPr>
            <m:t xml:space="preserve"> </m:t>
          </m:r>
          <m:r>
            <m:t xml:space="preserve">GELU</m:t>
          </m:r>
          <m:r>
            <m:t xml:space="preserve">(</m:t>
          </m:r>
          <m:r>
            <m:t xml:space="preserve">x</m:t>
          </m:r>
          <m:sSub>
            <m:e>
              <m:r>
                <m:t xml:space="preserve">W</m:t>
              </m:r>
            </m:e>
            <m:sub>
              <m:r>
                <m:t xml:space="preserve">1</m:t>
              </m:r>
            </m:sub>
          </m:sSub>
          <m:r>
            <m:rPr>
              <m:lit/>
              <m:nor/>
            </m:rPr>
            <m:t xml:space="preserve"> </m:t>
          </m:r>
          <m:r>
            <m:rPr>
              <m:lit/>
              <m:nor/>
            </m:rPr>
            <m:t xml:space="preserve">+</m:t>
          </m:r>
          <m:r>
            <m:rPr>
              <m:lit/>
              <m:nor/>
            </m:rPr>
            <m:t xml:space="preserve"> </m:t>
          </m:r>
          <m:sSub>
            <m:e>
              <m:r>
                <m:t xml:space="preserve">b</m:t>
              </m:r>
            </m:e>
            <m:sub>
              <m:r>
                <m:t xml:space="preserve">1</m:t>
              </m:r>
            </m:sub>
          </m:sSub>
          <m:r>
            <m:t xml:space="preserve">)</m:t>
          </m:r>
          <m:sSub>
            <m:e>
              <m:r>
                <m:t xml:space="preserve">W</m:t>
              </m:r>
            </m:e>
            <m:sub>
              <m:r>
                <m:t xml:space="preserve">2</m:t>
              </m:r>
            </m:sub>
          </m:sSub>
          <m:r>
            <m:rPr>
              <m:lit/>
              <m:nor/>
            </m:rPr>
            <m:t xml:space="preserve"> </m:t>
          </m:r>
          <m:r>
            <m:rPr>
              <m:lit/>
              <m:nor/>
            </m:rPr>
            <m:t xml:space="preserve">+</m:t>
          </m:r>
          <m:r>
            <m:rPr>
              <m:lit/>
              <m:nor/>
            </m:rPr>
            <m:t xml:space="preserve"> </m:t>
          </m:r>
          <m:sSub>
            <m:e>
              <m:r>
                <m:t xml:space="preserve">b</m:t>
              </m:r>
            </m:e>
            <m:sub>
              <m:r>
                <m:t xml:space="preserve">2</m:t>
              </m:r>
            </m:sub>
          </m:sSub>
        </m:oMath>
      </m:oMathPara>
    </w:p>
    <w:p>
      <w:pPr>
        <w:pStyle w:val="Normal"/>
        <w:spacing w:lineRule="auto" w:line="288"/>
        <w:ind w:firstLine="567"/>
        <w:jc w:val="both"/>
        <w:rPr>
          <w:sz w:val="20"/>
          <w:szCs w:val="20"/>
        </w:rPr>
      </w:pPr>
      <w:r>
        <w:rPr>
          <w:sz w:val="20"/>
          <w:szCs w:val="20"/>
        </w:rPr>
        <w:t>Именно нелинейность активации позволяет модели улавливать сложные зависимости, недоступные линейным методам. В результате каждое слово получает контекстно-зависимый вектор [4]: одно и то же слово в разных предложениях будет представлено по-разному.</w:t>
      </w:r>
    </w:p>
    <w:p>
      <w:pPr>
        <w:pStyle w:val="Normal"/>
        <w:spacing w:lineRule="auto" w:line="288"/>
        <w:ind w:firstLine="567"/>
        <w:jc w:val="both"/>
        <w:rPr>
          <w:sz w:val="20"/>
          <w:szCs w:val="20"/>
        </w:rPr>
      </w:pPr>
      <w:r>
        <w:rPr>
          <w:sz w:val="20"/>
          <w:szCs w:val="20"/>
        </w:rPr>
        <w:t>Вектор предложения размерности d = 384 вычисляется как среднее арифметическое векторов всех токенов (mean pooling с учётом маски внимания), после чего нормализуется по L2-норме.</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Методология численного эксперимента</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Цель эксперимента</w:t>
      </w:r>
    </w:p>
    <w:p>
      <w:pPr>
        <w:pStyle w:val="Normal"/>
        <w:spacing w:lineRule="auto" w:line="288"/>
        <w:ind w:firstLine="567"/>
        <w:jc w:val="both"/>
        <w:rPr>
          <w:sz w:val="20"/>
          <w:szCs w:val="20"/>
        </w:rPr>
      </w:pPr>
      <w:r>
        <w:rPr>
          <w:sz w:val="20"/>
          <w:szCs w:val="20"/>
        </w:rPr>
        <w:t>Эксперимент направлен на проверку гипотезы о том, что алгебраические свойства модели (линейность LSA и нелинейность MiniLM) определяют геометрию её векторного пространства и, как следствие, сильные и слабые стороны на различных задачах. Проверка осуществляется посредством интринсивных и экстринсивных метрик, описанных в разделах «Интринсивные метрики» и «Экстринсивные метрики».</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Спецификация моделей</w:t>
      </w:r>
    </w:p>
    <w:p>
      <w:pPr>
        <w:pStyle w:val="Normal"/>
        <w:spacing w:lineRule="auto" w:line="288"/>
        <w:rPr>
          <w:sz w:val="20"/>
          <w:szCs w:val="20"/>
        </w:rPr>
      </w:pPr>
      <w:r>
        <w:rPr>
          <w:sz w:val="20"/>
          <w:szCs w:val="20"/>
        </w:rPr>
      </w:r>
    </w:p>
    <w:p>
      <w:pPr>
        <w:pStyle w:val="Normal"/>
        <w:spacing w:lineRule="auto" w:line="288"/>
        <w:jc w:val="end"/>
        <w:rPr>
          <w:sz w:val="20"/>
          <w:szCs w:val="20"/>
        </w:rPr>
      </w:pPr>
      <w:r>
        <w:rPr>
          <w:sz w:val="20"/>
          <w:szCs w:val="20"/>
        </w:rPr>
        <w:t>Таблица 1. Спецификация моделей</w:t>
      </w:r>
    </w:p>
    <w:tbl>
      <w:tblPr>
        <w:tblW w:w="9638" w:type="dxa"/>
        <w:jc w:val="start"/>
        <w:tblInd w:w="0" w:type="dxa"/>
        <w:tblLayout w:type="fixed"/>
        <w:tblCellMar>
          <w:top w:w="40" w:type="dxa"/>
          <w:start w:w="100" w:type="dxa"/>
          <w:bottom w:w="40" w:type="dxa"/>
          <w:end w:w="100" w:type="dxa"/>
        </w:tblCellMar>
      </w:tblPr>
      <w:tblGrid>
        <w:gridCol w:w="3199"/>
        <w:gridCol w:w="6439"/>
      </w:tblGrid>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bCs/>
                <w:sz w:val="20"/>
                <w:szCs w:val="20"/>
              </w:rPr>
              <w:t>Компонент</w:t>
            </w:r>
          </w:p>
        </w:tc>
        <w:tc>
          <w:tcPr>
            <w:tcW w:w="64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bCs/>
                <w:sz w:val="20"/>
                <w:szCs w:val="20"/>
              </w:rPr>
              <w:t>Параметры</w:t>
            </w:r>
          </w:p>
        </w:tc>
      </w:tr>
      <w:tr>
        <w:trPr/>
        <w:tc>
          <w:tcPr>
            <w:tcW w:w="963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bCs/>
                <w:sz w:val="20"/>
                <w:szCs w:val="20"/>
              </w:rPr>
              <w:t>LSA-конвейер</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z w:val="20"/>
                <w:szCs w:val="20"/>
              </w:rPr>
            </w:pPr>
            <w:r>
              <w:rPr>
                <w:b w:val="false"/>
                <w:bCs w:val="false"/>
                <w:sz w:val="20"/>
                <w:szCs w:val="20"/>
              </w:rPr>
              <w:t>TF-IDF</w:t>
            </w:r>
          </w:p>
        </w:tc>
        <w:tc>
          <w:tcPr>
            <w:tcW w:w="64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z w:val="20"/>
                <w:szCs w:val="20"/>
              </w:rPr>
            </w:pPr>
            <w:r>
              <w:rPr>
                <w:b w:val="false"/>
                <w:bCs w:val="false"/>
                <w:sz w:val="20"/>
                <w:szCs w:val="20"/>
              </w:rPr>
              <w:t>sublinear_tf=True, min_df=2, max_df=0.95</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z w:val="20"/>
                <w:szCs w:val="20"/>
              </w:rPr>
            </w:pPr>
            <w:r>
              <w:rPr>
                <w:b w:val="false"/>
                <w:bCs w:val="false"/>
                <w:sz w:val="20"/>
                <w:szCs w:val="20"/>
              </w:rPr>
              <w:t>TruncatedSVD</w:t>
            </w:r>
          </w:p>
        </w:tc>
        <w:tc>
          <w:tcPr>
            <w:tcW w:w="64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z w:val="20"/>
                <w:szCs w:val="20"/>
              </w:rPr>
            </w:pPr>
            <w:r>
              <w:rPr>
                <w:b w:val="false"/>
                <w:bCs w:val="false"/>
                <w:sz w:val="20"/>
                <w:szCs w:val="20"/>
              </w:rPr>
              <w:t>k ∈ {50, 100, 200, 300, 500}, random_state=42</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z w:val="20"/>
                <w:szCs w:val="20"/>
              </w:rPr>
            </w:pPr>
            <w:r>
              <w:rPr>
                <w:b w:val="false"/>
                <w:bCs w:val="false"/>
                <w:sz w:val="20"/>
                <w:szCs w:val="20"/>
              </w:rPr>
              <w:t>Нормализация</w:t>
            </w:r>
          </w:p>
        </w:tc>
        <w:tc>
          <w:tcPr>
            <w:tcW w:w="64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z w:val="20"/>
                <w:szCs w:val="20"/>
              </w:rPr>
            </w:pPr>
            <w:r>
              <w:rPr>
                <w:b w:val="false"/>
                <w:bCs w:val="false"/>
                <w:sz w:val="20"/>
                <w:szCs w:val="20"/>
              </w:rPr>
              <w:t>L2</w:t>
            </w:r>
          </w:p>
        </w:tc>
      </w:tr>
      <w:tr>
        <w:trPr/>
        <w:tc>
          <w:tcPr>
            <w:tcW w:w="963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bCs/>
                <w:sz w:val="20"/>
                <w:szCs w:val="20"/>
              </w:rPr>
              <w:t>all-MiniLM-L6-v2</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z w:val="20"/>
                <w:szCs w:val="20"/>
              </w:rPr>
            </w:pPr>
            <w:r>
              <w:rPr>
                <w:b w:val="false"/>
                <w:bCs w:val="false"/>
                <w:sz w:val="20"/>
                <w:szCs w:val="20"/>
              </w:rPr>
              <w:t>Архитектура</w:t>
            </w:r>
          </w:p>
        </w:tc>
        <w:tc>
          <w:tcPr>
            <w:tcW w:w="64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z w:val="20"/>
                <w:szCs w:val="20"/>
              </w:rPr>
            </w:pPr>
            <w:r>
              <w:rPr>
                <w:b w:val="false"/>
                <w:bCs w:val="false"/>
                <w:sz w:val="20"/>
                <w:szCs w:val="20"/>
              </w:rPr>
              <w:t>6 слоёв, d = 384</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z w:val="20"/>
                <w:szCs w:val="20"/>
              </w:rPr>
            </w:pPr>
            <w:r>
              <w:rPr>
                <w:b w:val="false"/>
                <w:bCs w:val="false"/>
                <w:sz w:val="20"/>
                <w:szCs w:val="20"/>
              </w:rPr>
              <w:t>Агрегация</w:t>
            </w:r>
          </w:p>
        </w:tc>
        <w:tc>
          <w:tcPr>
            <w:tcW w:w="64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z w:val="20"/>
                <w:szCs w:val="20"/>
              </w:rPr>
            </w:pPr>
            <w:r>
              <w:rPr>
                <w:b w:val="false"/>
                <w:bCs w:val="false"/>
                <w:sz w:val="20"/>
                <w:szCs w:val="20"/>
              </w:rPr>
              <w:t>Mean pooling с маской внимания</w:t>
            </w:r>
          </w:p>
        </w:tc>
      </w:tr>
      <w:tr>
        <w:trPr/>
        <w:tc>
          <w:tcPr>
            <w:tcW w:w="31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z w:val="20"/>
                <w:szCs w:val="20"/>
              </w:rPr>
            </w:pPr>
            <w:r>
              <w:rPr>
                <w:b w:val="false"/>
                <w:bCs w:val="false"/>
                <w:sz w:val="20"/>
                <w:szCs w:val="20"/>
              </w:rPr>
              <w:t>Нормализация</w:t>
            </w:r>
          </w:p>
        </w:tc>
        <w:tc>
          <w:tcPr>
            <w:tcW w:w="64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z w:val="20"/>
                <w:szCs w:val="20"/>
              </w:rPr>
            </w:pPr>
            <w:r>
              <w:rPr>
                <w:b w:val="false"/>
                <w:bCs w:val="false"/>
                <w:sz w:val="20"/>
                <w:szCs w:val="20"/>
              </w:rPr>
              <w:t>L2</w:t>
            </w:r>
          </w:p>
        </w:tc>
      </w:tr>
    </w:tbl>
    <w:p>
      <w:pPr>
        <w:pStyle w:val="Normal"/>
        <w:spacing w:lineRule="auto" w:line="288"/>
        <w:rPr>
          <w:sz w:val="20"/>
          <w:szCs w:val="20"/>
        </w:rPr>
      </w:pPr>
      <w:r>
        <w:rPr>
          <w:sz w:val="20"/>
          <w:szCs w:val="20"/>
        </w:rPr>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Датасеты</w:t>
      </w:r>
    </w:p>
    <w:p>
      <w:pPr>
        <w:pStyle w:val="Normal"/>
        <w:spacing w:lineRule="auto" w:line="288"/>
        <w:ind w:firstLine="567"/>
        <w:jc w:val="both"/>
        <w:rPr>
          <w:sz w:val="20"/>
          <w:szCs w:val="20"/>
        </w:rPr>
      </w:pPr>
      <w:r>
        <w:rPr>
          <w:b/>
          <w:bCs/>
          <w:sz w:val="20"/>
          <w:szCs w:val="20"/>
        </w:rPr>
        <w:t>STS Benchmark (STSb)</w:t>
      </w:r>
      <w:r>
        <w:rPr>
          <w:sz w:val="20"/>
          <w:szCs w:val="20"/>
        </w:rPr>
        <w:t xml:space="preserve"> — стандартный корпус из 8 628 пар предложений с оценками семантической близости от 0 до 5. Используется тестовая часть (1 379 пар).</w:t>
      </w:r>
    </w:p>
    <w:p>
      <w:pPr>
        <w:pStyle w:val="Normal"/>
        <w:spacing w:lineRule="auto" w:line="288"/>
        <w:ind w:firstLine="567"/>
        <w:jc w:val="both"/>
        <w:rPr>
          <w:sz w:val="20"/>
          <w:szCs w:val="20"/>
        </w:rPr>
      </w:pPr>
      <w:r>
        <w:rPr>
          <w:b/>
          <w:bCs/>
          <w:sz w:val="20"/>
          <w:szCs w:val="20"/>
        </w:rPr>
        <w:t>20 Newsgroups</w:t>
      </w:r>
      <w:r>
        <w:rPr>
          <w:sz w:val="20"/>
          <w:szCs w:val="20"/>
        </w:rPr>
        <w:t xml:space="preserve"> — коллекция новостных постов из 20 тематических категорий. Используются все 20 категорий. Набор содержит как тематически близкие группы (sci.*, rec.sport.*), так и контрастные (alt.atheism, rec.sport.hockey), что позволяет проверить, насколько хорошо модель разделяет как далёкие, так и смежные темы.</w:t>
      </w:r>
    </w:p>
    <w:p>
      <w:pPr>
        <w:pStyle w:val="Normal"/>
        <w:spacing w:lineRule="auto" w:line="288"/>
        <w:ind w:firstLine="567"/>
        <w:jc w:val="both"/>
        <w:rPr>
          <w:sz w:val="20"/>
          <w:szCs w:val="20"/>
        </w:rPr>
      </w:pPr>
      <w:r>
        <w:rPr>
          <w:b/>
          <w:bCs/>
          <w:sz w:val="20"/>
          <w:szCs w:val="20"/>
        </w:rPr>
        <w:t>MRPC</w:t>
      </w:r>
      <w:r>
        <w:rPr>
          <w:sz w:val="20"/>
          <w:szCs w:val="20"/>
        </w:rPr>
        <w:t xml:space="preserve"> — корпус из 5 801 пары предложений с бинарными метками парафраз (3 900 — парафразы, 1 901 — не парафразы).</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Интринсивные метрики</w:t>
      </w:r>
    </w:p>
    <w:p>
      <w:pPr>
        <w:pStyle w:val="Normal"/>
        <w:spacing w:lineRule="auto" w:line="288"/>
        <w:ind w:firstLine="567"/>
        <w:jc w:val="both"/>
        <w:rPr>
          <w:sz w:val="20"/>
          <w:szCs w:val="20"/>
        </w:rPr>
      </w:pPr>
      <w:r>
        <w:rPr>
          <w:sz w:val="20"/>
          <w:szCs w:val="20"/>
        </w:rPr>
        <w:t>Данные метрики характеризуют геометрию пространства эмбеддингов независимо от конкретной прикладной задачи.</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Participation Ratio</w:t>
      </w:r>
    </w:p>
    <w:p>
      <w:pPr>
        <w:pStyle w:val="Normal"/>
        <w:spacing w:lineRule="auto" w:line="288" w:before="60" w:after="60"/>
        <w:jc w:val="center"/>
        <w:rPr>
          <w:sz w:val="20"/>
          <w:szCs w:val="20"/>
        </w:rPr>
      </w:pPr>
      <w:r>
        <w:rPr>
          <w:sz w:val="20"/>
          <w:szCs w:val="20"/>
        </w:rPr>
      </w:r>
      <m:oMathPara xmlns:m="http://schemas.openxmlformats.org/officeDocument/2006/math">
        <m:oMathParaPr>
          <m:jc m:val="center"/>
        </m:oMathParaPr>
        <m:oMath>
          <m:r>
            <m:t xml:space="preserve">PR</m:t>
          </m:r>
          <m:r>
            <m:t xml:space="preserve">(</m:t>
          </m:r>
          <m:r>
            <m:t xml:space="preserve">E</m:t>
          </m:r>
          <m:r>
            <m:t xml:space="preserve">)</m:t>
          </m:r>
          <m:r>
            <m:rPr>
              <m:lit/>
              <m:nor/>
            </m:rPr>
            <m:t xml:space="preserve"> </m:t>
          </m:r>
          <m:r>
            <m:rPr>
              <m:lit/>
              <m:nor/>
            </m:rPr>
            <m:t xml:space="preserve">=</m:t>
          </m:r>
          <m:r>
            <m:rPr>
              <m:lit/>
              <m:nor/>
            </m:rPr>
            <m:t xml:space="preserve"> </m:t>
          </m:r>
          <m:f>
            <m:num>
              <m:sSup>
                <m:e>
                  <m:d>
                    <m:dPr>
                      <m:begChr m:val="("/>
                      <m:endChr m:val=")"/>
                    </m:dPr>
                    <m:e>
                      <m:nary>
                        <m:naryPr>
                          <m:chr m:val="∑"/>
                          <m:supHide m:val="1"/>
                        </m:naryPr>
                        <m:sub>
                          <m:r>
                            <m:t xml:space="preserve">i</m:t>
                          </m:r>
                        </m:sub>
                        <m:sup/>
                        <m:e>
                          <m:sSub>
                            <m:e>
                              <m:r>
                                <m:t xml:space="preserve">λ</m:t>
                              </m:r>
                            </m:e>
                            <m:sub>
                              <m:r>
                                <m:t xml:space="preserve">i</m:t>
                              </m:r>
                            </m:sub>
                          </m:sSub>
                        </m:e>
                      </m:nary>
                    </m:e>
                  </m:d>
                </m:e>
                <m:sup>
                  <m:r>
                    <m:t xml:space="preserve">2</m:t>
                  </m:r>
                </m:sup>
              </m:sSup>
            </m:num>
            <m:den>
              <m:nary>
                <m:naryPr>
                  <m:chr m:val="∑"/>
                  <m:supHide m:val="1"/>
                </m:naryPr>
                <m:sub>
                  <m:r>
                    <m:t xml:space="preserve">i</m:t>
                  </m:r>
                </m:sub>
                <m:sup/>
                <m:e>
                  <m:sSubSup>
                    <m:e>
                      <m:r>
                        <m:t xml:space="preserve">λ</m:t>
                      </m:r>
                    </m:e>
                    <m:sub>
                      <m:r>
                        <m:t xml:space="preserve">i</m:t>
                      </m:r>
                    </m:sub>
                    <m:sup>
                      <m:r>
                        <m:t xml:space="preserve">2</m:t>
                      </m:r>
                    </m:sup>
                  </m:sSubSup>
                </m:e>
              </m:nary>
            </m:den>
          </m:f>
        </m:oMath>
      </m:oMathPara>
    </w:p>
    <w:p>
      <w:pPr>
        <w:pStyle w:val="Normal"/>
        <w:spacing w:lineRule="auto" w:line="288"/>
        <w:ind w:firstLine="567"/>
        <w:jc w:val="both"/>
        <w:rPr>
          <w:sz w:val="20"/>
          <w:szCs w:val="20"/>
        </w:rPr>
      </w:pPr>
      <w:r>
        <w:rPr>
          <w:sz w:val="20"/>
          <w:szCs w:val="20"/>
        </w:rPr>
        <w:t xml:space="preserve">где </w:t>
      </w:r>
      <w:r>
        <w:rPr>
          <w:sz w:val="20"/>
          <w:szCs w:val="20"/>
        </w:rPr>
      </w:r>
      <m:oMath xmlns:m="http://schemas.openxmlformats.org/officeDocument/2006/math">
        <m:sSub>
          <m:e>
            <m:r>
              <m:t xml:space="preserve">λ</m:t>
            </m:r>
          </m:e>
          <m:sub>
            <m:r>
              <m:t xml:space="preserve">i</m:t>
            </m:r>
          </m:sub>
        </m:sSub>
      </m:oMath>
      <w:r>
        <w:rPr>
          <w:sz w:val="20"/>
          <w:szCs w:val="20"/>
        </w:rPr>
        <w:t xml:space="preserve"> — собственные значения матрицы ковариаций </w:t>
      </w:r>
      <w:r>
        <w:rPr>
          <w:sz w:val="20"/>
          <w:szCs w:val="20"/>
        </w:rPr>
      </w:r>
      <m:oMath xmlns:m="http://schemas.openxmlformats.org/officeDocument/2006/math">
        <m:r>
          <m:t xml:space="preserve">C</m:t>
        </m:r>
        <m:r>
          <m:rPr>
            <m:lit/>
            <m:nor/>
          </m:rPr>
          <m:t xml:space="preserve"> </m:t>
        </m:r>
        <m:r>
          <m:rPr>
            <m:lit/>
            <m:nor/>
          </m:rPr>
          <m:t xml:space="preserve">=</m:t>
        </m:r>
        <m:r>
          <m:rPr>
            <m:lit/>
            <m:nor/>
          </m:rPr>
          <m:t xml:space="preserve"> </m:t>
        </m:r>
        <m:f>
          <m:num>
            <m:r>
              <m:t xml:space="preserve">1</m:t>
            </m:r>
          </m:num>
          <m:den>
            <m:r>
              <m:t xml:space="preserve">n</m:t>
            </m:r>
          </m:den>
        </m:f>
        <m:sSup>
          <m:e>
            <m:r>
              <m:t xml:space="preserve">E</m:t>
            </m:r>
          </m:e>
          <m:sup>
            <m:r>
              <m:t xml:space="preserve">⊤</m:t>
            </m:r>
          </m:sup>
        </m:sSup>
        <m:r>
          <m:t xml:space="preserve">E</m:t>
        </m:r>
      </m:oMath>
      <w:r>
        <w:rPr>
          <w:sz w:val="20"/>
          <w:szCs w:val="20"/>
        </w:rPr>
        <w:t xml:space="preserve"> (после вычитания среднего), </w:t>
      </w:r>
      <w:r>
        <w:rPr>
          <w:sz w:val="20"/>
          <w:szCs w:val="20"/>
        </w:rPr>
      </w:r>
      <m:oMath xmlns:m="http://schemas.openxmlformats.org/officeDocument/2006/math">
        <m:r>
          <m:t xml:space="preserve">E</m:t>
        </m:r>
        <m:r>
          <m:rPr>
            <m:lit/>
            <m:nor/>
          </m:rPr>
          <m:t xml:space="preserve"> </m:t>
        </m:r>
        <m:r>
          <m:t xml:space="preserve">∈</m:t>
        </m:r>
        <m:r>
          <m:rPr>
            <m:lit/>
            <m:nor/>
          </m:rPr>
          <m:t xml:space="preserve"> </m:t>
        </m:r>
        <m:sSup>
          <m:e>
            <m:r>
              <m:t xml:space="preserve">ℝ</m:t>
            </m:r>
          </m:e>
          <m:sup>
            <m:r>
              <m:t xml:space="preserve">n</m:t>
            </m:r>
            <m:r>
              <m:t xml:space="preserve">×</m:t>
            </m:r>
            <m:r>
              <m:t xml:space="preserve">d</m:t>
            </m:r>
          </m:sup>
        </m:sSup>
      </m:oMath>
      <w:r>
        <w:rPr>
          <w:sz w:val="20"/>
          <w:szCs w:val="20"/>
        </w:rPr>
        <w:t xml:space="preserve"> — матрица эмбеддингов. Высокий PR означает, что дисперсия распределена по многим направлениям, а не сосредоточена в нескольких главных компонентах. PR чувствителен прежде всего к крупным компонентам спектра.</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Effective Rank</w:t>
      </w:r>
    </w:p>
    <w:p>
      <w:pPr>
        <w:pStyle w:val="Normal"/>
        <w:spacing w:lineRule="auto" w:line="288" w:before="60" w:after="60"/>
        <w:jc w:val="center"/>
        <w:rPr>
          <w:sz w:val="20"/>
          <w:szCs w:val="20"/>
        </w:rPr>
      </w:pPr>
      <w:r>
        <w:rPr>
          <w:sz w:val="20"/>
          <w:szCs w:val="20"/>
        </w:rPr>
      </w:r>
      <m:oMathPara xmlns:m="http://schemas.openxmlformats.org/officeDocument/2006/math">
        <m:oMathParaPr>
          <m:jc m:val="center"/>
        </m:oMathParaPr>
        <m:oMath>
          <m:r>
            <m:t xml:space="preserve">ER</m:t>
          </m:r>
          <m:r>
            <m:t xml:space="preserve">(</m:t>
          </m:r>
          <m:r>
            <m:t xml:space="preserve">E</m:t>
          </m:r>
          <m:r>
            <m:t xml:space="preserve">)</m:t>
          </m:r>
          <m:r>
            <m:rPr>
              <m:lit/>
              <m:nor/>
            </m:rPr>
            <m:t xml:space="preserve"> </m:t>
          </m:r>
          <m:r>
            <m:rPr>
              <m:lit/>
              <m:nor/>
            </m:rPr>
            <m:t xml:space="preserve">=</m:t>
          </m:r>
          <m:r>
            <m:rPr>
              <m:lit/>
              <m:nor/>
            </m:rPr>
            <m:t xml:space="preserve"> </m:t>
          </m:r>
          <m:r>
            <m:t xml:space="preserve">exp</m:t>
          </m:r>
          <m:d>
            <m:dPr>
              <m:begChr m:val="("/>
              <m:endChr m:val=")"/>
            </m:dPr>
            <m:e>
              <m:r>
                <m:t xml:space="preserve">−</m:t>
              </m:r>
              <m:nary>
                <m:naryPr>
                  <m:chr m:val="∑"/>
                  <m:supHide m:val="1"/>
                </m:naryPr>
                <m:sub>
                  <m:r>
                    <m:t xml:space="preserve">i</m:t>
                  </m:r>
                </m:sub>
                <m:sup/>
                <m:e>
                  <m:sSub>
                    <m:e>
                      <m:r>
                        <m:t xml:space="preserve">p</m:t>
                      </m:r>
                    </m:e>
                    <m:sub>
                      <m:r>
                        <m:t xml:space="preserve">i</m:t>
                      </m:r>
                    </m:sub>
                  </m:sSub>
                  <m:r>
                    <m:rPr>
                      <m:lit/>
                      <m:nor/>
                    </m:rPr>
                    <m:t xml:space="preserve"> </m:t>
                  </m:r>
                  <m:r>
                    <m:t xml:space="preserve">log</m:t>
                  </m:r>
                  <m:r>
                    <m:rPr>
                      <m:lit/>
                      <m:nor/>
                    </m:rPr>
                    <m:t xml:space="preserve"> </m:t>
                  </m:r>
                  <m:sSub>
                    <m:e>
                      <m:r>
                        <m:t xml:space="preserve">p</m:t>
                      </m:r>
                    </m:e>
                    <m:sub>
                      <m:r>
                        <m:t xml:space="preserve">i</m:t>
                      </m:r>
                    </m:sub>
                  </m:sSub>
                </m:e>
              </m:nary>
            </m:e>
          </m:d>
          <m:r>
            <m:t xml:space="preserve">,</m:t>
          </m:r>
          <m:r>
            <m:rPr>
              <m:lit/>
              <m:nor/>
            </m:rPr>
            <m:t xml:space="preserve"> </m:t>
          </m:r>
          <m:r>
            <m:rPr>
              <m:lit/>
              <m:nor/>
            </m:rPr>
            <m:t xml:space="preserve"> </m:t>
          </m:r>
          <m:r>
            <m:rPr>
              <m:lit/>
              <m:nor/>
            </m:rPr>
            <m:t xml:space="preserve"> </m:t>
          </m:r>
          <m:r>
            <m:rPr>
              <m:lit/>
              <m:nor/>
            </m:rPr>
            <m:t xml:space="preserve"> </m:t>
          </m:r>
          <m:sSub>
            <m:e>
              <m:r>
                <m:t xml:space="preserve">p</m:t>
              </m:r>
            </m:e>
            <m:sub>
              <m:r>
                <m:t xml:space="preserve">i</m:t>
              </m:r>
            </m:sub>
          </m:sSub>
          <m:r>
            <m:rPr>
              <m:lit/>
              <m:nor/>
            </m:rPr>
            <m:t xml:space="preserve"> </m:t>
          </m:r>
          <m:r>
            <m:rPr>
              <m:lit/>
              <m:nor/>
            </m:rPr>
            <m:t xml:space="preserve">=</m:t>
          </m:r>
          <m:r>
            <m:rPr>
              <m:lit/>
              <m:nor/>
            </m:rPr>
            <m:t xml:space="preserve"> </m:t>
          </m:r>
          <m:f>
            <m:num>
              <m:sSub>
                <m:e>
                  <m:r>
                    <m:t xml:space="preserve">σ</m:t>
                  </m:r>
                </m:e>
                <m:sub>
                  <m:r>
                    <m:t xml:space="preserve">i</m:t>
                  </m:r>
                </m:sub>
              </m:sSub>
            </m:num>
            <m:den>
              <m:nary>
                <m:naryPr>
                  <m:chr m:val="∑"/>
                  <m:supHide m:val="1"/>
                </m:naryPr>
                <m:sub>
                  <m:r>
                    <m:t xml:space="preserve">j</m:t>
                  </m:r>
                </m:sub>
                <m:sup/>
                <m:e>
                  <m:sSub>
                    <m:e>
                      <m:r>
                        <m:t xml:space="preserve">σ</m:t>
                      </m:r>
                    </m:e>
                    <m:sub>
                      <m:r>
                        <m:t xml:space="preserve">j</m:t>
                      </m:r>
                    </m:sub>
                  </m:sSub>
                </m:e>
              </m:nary>
            </m:den>
          </m:f>
        </m:oMath>
      </m:oMathPara>
    </w:p>
    <w:p>
      <w:pPr>
        <w:pStyle w:val="Normal"/>
        <w:spacing w:lineRule="auto" w:line="288"/>
        <w:ind w:firstLine="567"/>
        <w:jc w:val="both"/>
        <w:rPr>
          <w:sz w:val="20"/>
          <w:szCs w:val="20"/>
        </w:rPr>
      </w:pPr>
      <w:r>
        <w:rPr>
          <w:sz w:val="20"/>
          <w:szCs w:val="20"/>
        </w:rPr>
        <w:t xml:space="preserve">где </w:t>
      </w:r>
      <w:r>
        <w:rPr>
          <w:sz w:val="20"/>
          <w:szCs w:val="20"/>
        </w:rPr>
      </w:r>
      <m:oMath xmlns:m="http://schemas.openxmlformats.org/officeDocument/2006/math">
        <m:sSub>
          <m:e>
            <m:r>
              <m:t xml:space="preserve">σ</m:t>
            </m:r>
          </m:e>
          <m:sub>
            <m:r>
              <m:t xml:space="preserve">i</m:t>
            </m:r>
          </m:sub>
        </m:sSub>
      </m:oMath>
      <w:r>
        <w:rPr>
          <w:sz w:val="20"/>
          <w:szCs w:val="20"/>
        </w:rPr>
        <w:t xml:space="preserve"> — сингулярные числа E, </w:t>
      </w:r>
      <w:r>
        <w:rPr>
          <w:sz w:val="20"/>
          <w:szCs w:val="20"/>
        </w:rPr>
      </w:r>
      <m:oMath xmlns:m="http://schemas.openxmlformats.org/officeDocument/2006/math">
        <m:sSub>
          <m:e>
            <m:r>
              <m:t xml:space="preserve">p</m:t>
            </m:r>
          </m:e>
          <m:sub>
            <m:r>
              <m:t xml:space="preserve">i</m:t>
            </m:r>
          </m:sub>
        </m:sSub>
      </m:oMath>
      <w:r>
        <w:rPr>
          <w:sz w:val="20"/>
          <w:szCs w:val="20"/>
        </w:rPr>
        <w:t xml:space="preserve"> — нормированные веса, задающие дискретное распределение. ER есть экспонента энтропии Шеннона спектра сингулярных чисел; достигает максимума при равномерном распределении. В отличие от PR, ER учитывает весь спектр, включая малые компоненты, и поэтому обычно даёт более высокие значения.</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Isotropy Score</w:t>
      </w:r>
    </w:p>
    <w:p>
      <w:pPr>
        <w:pStyle w:val="Normal"/>
        <w:spacing w:lineRule="auto" w:line="288" w:before="60" w:after="60"/>
        <w:jc w:val="center"/>
        <w:rPr>
          <w:sz w:val="20"/>
          <w:szCs w:val="20"/>
        </w:rPr>
      </w:pPr>
      <w:r>
        <w:rPr>
          <w:sz w:val="20"/>
          <w:szCs w:val="20"/>
        </w:rPr>
      </w:r>
      <m:oMathPara xmlns:m="http://schemas.openxmlformats.org/officeDocument/2006/math">
        <m:oMathParaPr>
          <m:jc m:val="center"/>
        </m:oMathParaPr>
        <m:oMath>
          <m:r>
            <m:t xml:space="preserve">IS</m:t>
          </m:r>
          <m:r>
            <m:t xml:space="preserve">(</m:t>
          </m:r>
          <m:r>
            <m:t xml:space="preserve">E</m:t>
          </m:r>
          <m:r>
            <m:t xml:space="preserve">)</m:t>
          </m:r>
          <m:r>
            <m:rPr>
              <m:lit/>
              <m:nor/>
            </m:rPr>
            <m:t xml:space="preserve"> </m:t>
          </m:r>
          <m:r>
            <m:rPr>
              <m:lit/>
              <m:nor/>
            </m:rPr>
            <m:t xml:space="preserve">=</m:t>
          </m:r>
          <m:r>
            <m:rPr>
              <m:lit/>
              <m:nor/>
            </m:rPr>
            <m:t xml:space="preserve"> </m:t>
          </m:r>
          <m:f>
            <m:num>
              <m:r>
                <m:t xml:space="preserve">1</m:t>
              </m:r>
            </m:num>
            <m:den>
              <m:r>
                <m:rPr>
                  <m:lit/>
                  <m:nor/>
                </m:rPr>
                <m:t xml:space="preserve">|</m:t>
              </m:r>
              <m:r>
                <m:t xml:space="preserve">I</m:t>
              </m:r>
              <m:r>
                <m:rPr>
                  <m:lit/>
                  <m:nor/>
                </m:rPr>
                <m:t xml:space="preserve">|</m:t>
              </m:r>
            </m:den>
          </m:f>
          <m:nary>
            <m:naryPr>
              <m:chr m:val="∑"/>
              <m:supHide m:val="1"/>
            </m:naryPr>
            <m:sub>
              <m:r>
                <m:t xml:space="preserve">ω</m:t>
              </m:r>
              <m:r>
                <m:rPr>
                  <m:lit/>
                  <m:nor/>
                </m:rPr>
                <m:t xml:space="preserve"> </m:t>
              </m:r>
              <m:r>
                <m:t xml:space="preserve">∈</m:t>
              </m:r>
              <m:r>
                <m:rPr>
                  <m:lit/>
                  <m:nor/>
                </m:rPr>
                <m:t xml:space="preserve"> </m:t>
              </m:r>
              <m:r>
                <m:t xml:space="preserve">I</m:t>
              </m:r>
            </m:sub>
            <m:sup/>
            <m:e>
              <m:f>
                <m:num>
                  <m:sSub>
                    <m:e>
                      <m:r>
                        <m:t xml:space="preserve">min</m:t>
                      </m:r>
                    </m:e>
                    <m:sub>
                      <m:r>
                        <m:t xml:space="preserve">v</m:t>
                      </m:r>
                    </m:sub>
                  </m:sSub>
                  <m:r>
                    <m:rPr>
                      <m:lit/>
                      <m:nor/>
                    </m:rPr>
                    <m:t xml:space="preserve"> </m:t>
                  </m:r>
                  <m:r>
                    <m:t xml:space="preserve">exp</m:t>
                  </m:r>
                  <m:d>
                    <m:dPr>
                      <m:begChr m:val="("/>
                      <m:endChr m:val=")"/>
                    </m:dPr>
                    <m:e>
                      <m:sSup>
                        <m:e>
                          <m:r>
                            <m:t xml:space="preserve">f</m:t>
                          </m:r>
                          <m:r>
                            <m:t xml:space="preserve">(</m:t>
                          </m:r>
                          <m:r>
                            <m:t xml:space="preserve">ω</m:t>
                          </m:r>
                          <m:r>
                            <m:t xml:space="preserve">)</m:t>
                          </m:r>
                        </m:e>
                        <m:sup>
                          <m:r>
                            <m:t xml:space="preserve">⊤</m:t>
                          </m:r>
                        </m:sup>
                      </m:sSup>
                      <m:r>
                        <m:t xml:space="preserve">v</m:t>
                      </m:r>
                    </m:e>
                  </m:d>
                </m:num>
                <m:den>
                  <m:sSub>
                    <m:e>
                      <m:r>
                        <m:t xml:space="preserve">max</m:t>
                      </m:r>
                    </m:e>
                    <m:sub>
                      <m:r>
                        <m:t xml:space="preserve">v</m:t>
                      </m:r>
                    </m:sub>
                  </m:sSub>
                  <m:r>
                    <m:rPr>
                      <m:lit/>
                      <m:nor/>
                    </m:rPr>
                    <m:t xml:space="preserve"> </m:t>
                  </m:r>
                  <m:r>
                    <m:t xml:space="preserve">exp</m:t>
                  </m:r>
                  <m:d>
                    <m:dPr>
                      <m:begChr m:val="("/>
                      <m:endChr m:val=")"/>
                    </m:dPr>
                    <m:e>
                      <m:sSup>
                        <m:e>
                          <m:r>
                            <m:t xml:space="preserve">f</m:t>
                          </m:r>
                          <m:r>
                            <m:t xml:space="preserve">(</m:t>
                          </m:r>
                          <m:r>
                            <m:t xml:space="preserve">ω</m:t>
                          </m:r>
                          <m:r>
                            <m:t xml:space="preserve">)</m:t>
                          </m:r>
                        </m:e>
                        <m:sup>
                          <m:r>
                            <m:t xml:space="preserve">⊤</m:t>
                          </m:r>
                        </m:sup>
                      </m:sSup>
                      <m:r>
                        <m:t xml:space="preserve">v</m:t>
                      </m:r>
                    </m:e>
                  </m:d>
                </m:den>
              </m:f>
            </m:e>
          </m:nary>
        </m:oMath>
      </m:oMathPara>
    </w:p>
    <w:p>
      <w:pPr>
        <w:pStyle w:val="Normal"/>
        <w:spacing w:lineRule="auto" w:line="288"/>
        <w:ind w:firstLine="567"/>
        <w:jc w:val="both"/>
        <w:rPr>
          <w:sz w:val="20"/>
          <w:szCs w:val="20"/>
        </w:rPr>
      </w:pPr>
      <w:r>
        <w:rPr>
          <w:sz w:val="20"/>
          <w:szCs w:val="20"/>
        </w:rPr>
        <w:t xml:space="preserve">IS = 1 при идеальной изотропии (равномерном распределении на гиперсфере), IS → 0 при концентрации в низкоразмерном подпространстве. В вычислительной реализации используется аппроксимация </w:t>
      </w:r>
      <w:r>
        <w:rPr>
          <w:sz w:val="20"/>
          <w:szCs w:val="20"/>
        </w:rPr>
      </w:r>
      <m:oMath xmlns:m="http://schemas.openxmlformats.org/officeDocument/2006/math">
        <m:r>
          <m:t xml:space="preserve">IS</m:t>
        </m:r>
        <m:r>
          <m:rPr>
            <m:lit/>
            <m:nor/>
          </m:rPr>
          <m:t xml:space="preserve"> </m:t>
        </m:r>
        <m:r>
          <m:t xml:space="preserve">≈</m:t>
        </m:r>
        <m:r>
          <m:rPr>
            <m:lit/>
            <m:nor/>
          </m:rPr>
          <m:t xml:space="preserve"> </m:t>
        </m:r>
        <m:f>
          <m:num>
            <m:sSub>
              <m:e>
                <m:r>
                  <m:t xml:space="preserve">λ</m:t>
                </m:r>
              </m:e>
              <m:sub>
                <m:r>
                  <m:t xml:space="preserve">min</m:t>
                </m:r>
              </m:sub>
            </m:sSub>
          </m:num>
          <m:den>
            <m:sSub>
              <m:e>
                <m:r>
                  <m:t xml:space="preserve">λ</m:t>
                </m:r>
              </m:e>
              <m:sub>
                <m:r>
                  <m:t xml:space="preserve">max</m:t>
                </m:r>
              </m:sub>
            </m:sSub>
          </m:den>
        </m:f>
      </m:oMath>
      <w:r>
        <w:rPr>
          <w:sz w:val="20"/>
          <w:szCs w:val="20"/>
        </w:rPr>
        <w:t>. IS — наиболее жёсткая из трёх метрик: достаточно одного слабого направления, чтобы IS оказался близок к нулю, даже если остальные направления используются равномерно.</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Hubness Score</w:t>
      </w:r>
    </w:p>
    <w:p>
      <w:pPr>
        <w:pStyle w:val="Normal"/>
        <w:spacing w:lineRule="auto" w:line="288" w:before="60" w:after="60"/>
        <w:jc w:val="center"/>
        <w:rPr>
          <w:sz w:val="20"/>
          <w:szCs w:val="20"/>
        </w:rPr>
      </w:pPr>
      <w:r>
        <w:rPr>
          <w:sz w:val="20"/>
          <w:szCs w:val="20"/>
        </w:rPr>
      </w:r>
      <m:oMathPara xmlns:m="http://schemas.openxmlformats.org/officeDocument/2006/math">
        <m:oMathParaPr>
          <m:jc m:val="center"/>
        </m:oMathParaPr>
        <m:oMath>
          <m:r>
            <m:t xml:space="preserve">HS</m:t>
          </m:r>
          <m:r>
            <m:rPr>
              <m:lit/>
              <m:nor/>
            </m:rPr>
            <m:t xml:space="preserve"> </m:t>
          </m:r>
          <m:r>
            <m:rPr>
              <m:lit/>
              <m:nor/>
            </m:rPr>
            <m:t xml:space="preserve">=</m:t>
          </m:r>
          <m:r>
            <m:rPr>
              <m:lit/>
              <m:nor/>
            </m:rPr>
            <m:t xml:space="preserve"> </m:t>
          </m:r>
          <m:f>
            <m:num>
              <m:sSub>
                <m:e>
                  <m:r>
                    <m:t xml:space="preserve">S</m:t>
                  </m:r>
                </m:e>
                <m:sub>
                  <m:sSub>
                    <m:e>
                      <m:r>
                        <m:t xml:space="preserve">N</m:t>
                      </m:r>
                    </m:e>
                    <m:sub>
                      <m:r>
                        <m:t xml:space="preserve">k</m:t>
                      </m:r>
                    </m:sub>
                  </m:sSub>
                </m:sub>
              </m:sSub>
            </m:num>
            <m:den>
              <m:sSub>
                <m:e>
                  <m:r>
                    <m:t xml:space="preserve">μ</m:t>
                  </m:r>
                </m:e>
                <m:sub>
                  <m:sSub>
                    <m:e>
                      <m:r>
                        <m:t xml:space="preserve">N</m:t>
                      </m:r>
                    </m:e>
                    <m:sub>
                      <m:r>
                        <m:t xml:space="preserve">k</m:t>
                      </m:r>
                    </m:sub>
                  </m:sSub>
                </m:sub>
              </m:sSub>
            </m:den>
          </m:f>
        </m:oMath>
      </m:oMathPara>
    </w:p>
    <w:p>
      <w:pPr>
        <w:pStyle w:val="Normal"/>
        <w:spacing w:lineRule="auto" w:line="288"/>
        <w:ind w:firstLine="567"/>
        <w:jc w:val="both"/>
        <w:rPr>
          <w:sz w:val="20"/>
          <w:szCs w:val="20"/>
        </w:rPr>
      </w:pPr>
      <w:r>
        <w:rPr>
          <w:sz w:val="20"/>
          <w:szCs w:val="20"/>
        </w:rPr>
        <w:t xml:space="preserve">где </w:t>
      </w:r>
      <w:r>
        <w:rPr>
          <w:sz w:val="20"/>
          <w:szCs w:val="20"/>
        </w:rPr>
      </w:r>
      <m:oMath xmlns:m="http://schemas.openxmlformats.org/officeDocument/2006/math">
        <m:sSub>
          <m:e>
            <m:r>
              <m:t xml:space="preserve">S</m:t>
            </m:r>
          </m:e>
          <m:sub>
            <m:sSub>
              <m:e>
                <m:r>
                  <m:t xml:space="preserve">N</m:t>
                </m:r>
              </m:e>
              <m:sub>
                <m:r>
                  <m:t xml:space="preserve">k</m:t>
                </m:r>
              </m:sub>
            </m:sSub>
          </m:sub>
        </m:sSub>
      </m:oMath>
      <w:r>
        <w:rPr>
          <w:sz w:val="20"/>
          <w:szCs w:val="20"/>
        </w:rPr>
        <w:t xml:space="preserve"> — стандартное отклонение, </w:t>
      </w:r>
      <w:r>
        <w:rPr>
          <w:sz w:val="20"/>
          <w:szCs w:val="20"/>
        </w:rPr>
      </w:r>
      <m:oMath xmlns:m="http://schemas.openxmlformats.org/officeDocument/2006/math">
        <m:sSub>
          <m:e>
            <m:r>
              <m:t xml:space="preserve">μ</m:t>
            </m:r>
          </m:e>
          <m:sub>
            <m:sSub>
              <m:e>
                <m:r>
                  <m:t xml:space="preserve">N</m:t>
                </m:r>
              </m:e>
              <m:sub>
                <m:r>
                  <m:t xml:space="preserve">k</m:t>
                </m:r>
              </m:sub>
            </m:sSub>
          </m:sub>
        </m:sSub>
      </m:oMath>
      <w:r>
        <w:rPr>
          <w:sz w:val="20"/>
          <w:szCs w:val="20"/>
        </w:rPr>
        <w:t xml:space="preserve"> — среднее числа вхождений точки в k-NN-списки. Значение HS ≫ 1 указывает на концентрацию структуры «хаббов»: точек в пространстве, которые оказывается ближайшим соседом для непропорционально большого числа других точек.</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Экстринсивные метрики</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Семантическое сходство (STS)</w:t>
      </w:r>
    </w:p>
    <w:p>
      <w:pPr>
        <w:pStyle w:val="Normal"/>
        <w:spacing w:lineRule="auto" w:line="288"/>
        <w:ind w:firstLine="567"/>
        <w:jc w:val="both"/>
        <w:rPr>
          <w:sz w:val="20"/>
          <w:szCs w:val="20"/>
        </w:rPr>
      </w:pPr>
      <w:r>
        <w:rPr>
          <w:sz w:val="20"/>
          <w:szCs w:val="20"/>
        </w:rPr>
        <w:t>Мерой качества служит корреляция Спирмена ρ между косинусным сходством эмбеддингов и человеческими оценками. Для выборки из n пар без связанных рангов коэффициент вычисляется как</w:t>
      </w:r>
    </w:p>
    <w:p>
      <w:pPr>
        <w:pStyle w:val="Normal"/>
        <w:spacing w:lineRule="auto" w:line="288" w:before="60" w:after="60"/>
        <w:jc w:val="center"/>
        <w:rPr>
          <w:sz w:val="20"/>
          <w:szCs w:val="20"/>
        </w:rPr>
      </w:pPr>
      <w:r>
        <w:rPr>
          <w:sz w:val="20"/>
          <w:szCs w:val="20"/>
        </w:rPr>
      </w:r>
      <m:oMathPara xmlns:m="http://schemas.openxmlformats.org/officeDocument/2006/math">
        <m:oMathParaPr>
          <m:jc m:val="center"/>
        </m:oMathParaPr>
        <m:oMath>
          <m:r>
            <m:t xml:space="preserve">ρ</m:t>
          </m:r>
          <m:r>
            <m:rPr>
              <m:lit/>
              <m:nor/>
            </m:rPr>
            <m:t xml:space="preserve"> </m:t>
          </m:r>
          <m:r>
            <m:rPr>
              <m:lit/>
              <m:nor/>
            </m:rPr>
            <m:t xml:space="preserve">=</m:t>
          </m:r>
          <m:r>
            <m:rPr>
              <m:lit/>
              <m:nor/>
            </m:rPr>
            <m:t xml:space="preserve"> </m:t>
          </m:r>
          <m:r>
            <m:t xml:space="preserve">1</m:t>
          </m:r>
          <m:r>
            <m:rPr>
              <m:lit/>
              <m:nor/>
            </m:rPr>
            <m:t xml:space="preserve"> </m:t>
          </m:r>
          <m:r>
            <m:t xml:space="preserve">−</m:t>
          </m:r>
          <m:r>
            <m:rPr>
              <m:lit/>
              <m:nor/>
            </m:rPr>
            <m:t xml:space="preserve"> </m:t>
          </m:r>
          <m:f>
            <m:num>
              <m:r>
                <m:t xml:space="preserve">6</m:t>
              </m:r>
              <m:nary>
                <m:naryPr>
                  <m:chr m:val="∑"/>
                </m:naryPr>
                <m:sub>
                  <m:r>
                    <m:t xml:space="preserve">i</m:t>
                  </m:r>
                  <m:r>
                    <m:rPr>
                      <m:lit/>
                      <m:nor/>
                    </m:rPr>
                    <m:t xml:space="preserve">=</m:t>
                  </m:r>
                  <m:r>
                    <m:t xml:space="preserve">1</m:t>
                  </m:r>
                </m:sub>
                <m:sup>
                  <m:r>
                    <m:t xml:space="preserve">n</m:t>
                  </m:r>
                </m:sup>
                <m:e>
                  <m:sSubSup>
                    <m:e>
                      <m:r>
                        <m:t xml:space="preserve">d</m:t>
                      </m:r>
                    </m:e>
                    <m:sub>
                      <m:r>
                        <m:t xml:space="preserve">i</m:t>
                      </m:r>
                    </m:sub>
                    <m:sup>
                      <m:r>
                        <m:t xml:space="preserve">2</m:t>
                      </m:r>
                    </m:sup>
                  </m:sSubSup>
                </m:e>
              </m:nary>
            </m:num>
            <m:den>
              <m:r>
                <m:t xml:space="preserve">n</m:t>
              </m:r>
              <m:r>
                <m:t xml:space="preserve">(</m:t>
              </m:r>
              <m:sSup>
                <m:e>
                  <m:r>
                    <m:t xml:space="preserve">n</m:t>
                  </m:r>
                </m:e>
                <m:sup>
                  <m:r>
                    <m:t xml:space="preserve">2</m:t>
                  </m:r>
                </m:sup>
              </m:sSup>
              <m:r>
                <m:rPr>
                  <m:lit/>
                  <m:nor/>
                </m:rPr>
                <m:t xml:space="preserve"> </m:t>
              </m:r>
              <m:r>
                <m:t xml:space="preserve">−</m:t>
              </m:r>
              <m:r>
                <m:rPr>
                  <m:lit/>
                  <m:nor/>
                </m:rPr>
                <m:t xml:space="preserve"> </m:t>
              </m:r>
              <m:r>
                <m:t xml:space="preserve">1</m:t>
              </m:r>
              <m:r>
                <m:t xml:space="preserve">)</m:t>
              </m:r>
            </m:den>
          </m:f>
        </m:oMath>
      </m:oMathPara>
    </w:p>
    <w:p>
      <w:pPr>
        <w:pStyle w:val="Normal"/>
        <w:spacing w:lineRule="auto" w:line="288"/>
        <w:ind w:firstLine="567"/>
        <w:jc w:val="both"/>
        <w:rPr>
          <w:sz w:val="20"/>
          <w:szCs w:val="20"/>
        </w:rPr>
      </w:pPr>
      <w:r>
        <w:rPr>
          <w:sz w:val="20"/>
          <w:szCs w:val="20"/>
        </w:rPr>
        <w:t xml:space="preserve">где </w:t>
      </w:r>
      <w:r>
        <w:rPr>
          <w:sz w:val="20"/>
          <w:szCs w:val="20"/>
        </w:rPr>
      </w:r>
      <m:oMath xmlns:m="http://schemas.openxmlformats.org/officeDocument/2006/math">
        <m:sSub>
          <m:e>
            <m:r>
              <m:t xml:space="preserve">d</m:t>
            </m:r>
          </m:e>
          <m:sub>
            <m:r>
              <m:t xml:space="preserve">i</m:t>
            </m:r>
          </m:sub>
        </m:sSub>
      </m:oMath>
      <w:r>
        <w:rPr>
          <w:sz w:val="20"/>
          <w:szCs w:val="20"/>
        </w:rPr>
        <w:t xml:space="preserve"> — разность рангов i-й пары.</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Классификация</w:t>
      </w:r>
    </w:p>
    <w:p>
      <w:pPr>
        <w:pStyle w:val="Normal"/>
        <w:spacing w:lineRule="auto" w:line="288"/>
        <w:ind w:firstLine="567"/>
        <w:jc w:val="both"/>
        <w:rPr>
          <w:sz w:val="20"/>
          <w:szCs w:val="20"/>
        </w:rPr>
      </w:pPr>
      <w:r>
        <w:rPr>
          <w:sz w:val="20"/>
          <w:szCs w:val="20"/>
        </w:rPr>
        <w:t>В качестве классификатора используется логистическая регрессия (LogisticRegression, C=1.0, solver=lbfgs). Основной метрикой качества является доля верных предсказаний (Accuracy).</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Кластеризация</w:t>
      </w:r>
    </w:p>
    <w:p>
      <w:pPr>
        <w:pStyle w:val="Normal"/>
        <w:spacing w:lineRule="auto" w:line="288"/>
        <w:ind w:firstLine="567"/>
        <w:jc w:val="both"/>
        <w:rPr>
          <w:sz w:val="20"/>
          <w:szCs w:val="20"/>
        </w:rPr>
      </w:pPr>
      <w:r>
        <w:rPr>
          <w:sz w:val="20"/>
          <w:szCs w:val="20"/>
        </w:rPr>
        <w:t>Применяется алгоритм k-means (k = 20, 10 перезапусков). Качество оценивается метрикой Adjusted Rand Index (ARI), которая измеряет согласованность полученного разбиения с истинными тематическими метками с поправкой на случайное совпадение. Значение ARI = 1 соответствует идеальному совпадению, ARI ≈ 0 — случайному разбиению.</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Обнаружение парафраз (MRPC)</w:t>
      </w:r>
    </w:p>
    <w:p>
      <w:pPr>
        <w:pStyle w:val="Normal"/>
        <w:spacing w:lineRule="auto" w:line="288"/>
        <w:ind w:firstLine="567"/>
        <w:jc w:val="both"/>
        <w:rPr>
          <w:sz w:val="20"/>
          <w:szCs w:val="20"/>
        </w:rPr>
      </w:pPr>
      <w:r>
        <w:rPr>
          <w:sz w:val="20"/>
          <w:szCs w:val="20"/>
        </w:rPr>
        <w:t xml:space="preserve">Порог косинусного сходства τ используется как бинарный классификатор. Оптимальный </w:t>
      </w:r>
      <w:r>
        <w:rPr>
          <w:sz w:val="20"/>
          <w:szCs w:val="20"/>
        </w:rPr>
      </w:r>
      <m:oMath xmlns:m="http://schemas.openxmlformats.org/officeDocument/2006/math">
        <m:sSup>
          <m:e>
            <m:r>
              <m:t xml:space="preserve">τ</m:t>
            </m:r>
          </m:e>
          <m:sup>
            <m:r>
              <m:rPr>
                <m:lit/>
                <m:nor/>
              </m:rPr>
              <m:t xml:space="preserve">*</m:t>
            </m:r>
          </m:sup>
        </m:sSup>
      </m:oMath>
      <w:r>
        <w:rPr>
          <w:sz w:val="20"/>
          <w:szCs w:val="20"/>
        </w:rPr>
        <w:t xml:space="preserve"> выбирается по валидационному множеству из 101 значения равномерной сетки на [0, 1]. Итоговая метрика — F1-score по положительному классу (парафразы), которая устойчивее к дисбалансу классов, чем Accuracy.</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Обсуждение результатов</w:t>
      </w:r>
    </w:p>
    <w:p>
      <w:pPr>
        <w:pStyle w:val="Normal"/>
        <w:spacing w:lineRule="auto" w:line="288"/>
        <w:rPr>
          <w:sz w:val="20"/>
          <w:szCs w:val="20"/>
        </w:rPr>
      </w:pPr>
      <w:r>
        <w:rPr>
          <w:sz w:val="20"/>
          <w:szCs w:val="20"/>
        </w:rPr>
      </w:r>
    </w:p>
    <w:p>
      <w:pPr>
        <w:pStyle w:val="Normal"/>
        <w:spacing w:lineRule="auto" w:line="288"/>
        <w:jc w:val="end"/>
        <w:rPr>
          <w:sz w:val="20"/>
          <w:szCs w:val="20"/>
        </w:rPr>
      </w:pPr>
      <w:r>
        <w:rPr>
          <w:sz w:val="20"/>
          <w:szCs w:val="20"/>
        </w:rPr>
        <w:t>Таблица 2. Экстринсивные метрики</w:t>
      </w:r>
    </w:p>
    <w:tbl>
      <w:tblPr>
        <w:tblW w:w="9638" w:type="dxa"/>
        <w:jc w:val="start"/>
        <w:tblInd w:w="0" w:type="dxa"/>
        <w:tblLayout w:type="fixed"/>
        <w:tblCellMar>
          <w:top w:w="40" w:type="dxa"/>
          <w:start w:w="100" w:type="dxa"/>
          <w:bottom w:w="40" w:type="dxa"/>
          <w:end w:w="100" w:type="dxa"/>
        </w:tblCellMar>
      </w:tblPr>
      <w:tblGrid>
        <w:gridCol w:w="1999"/>
        <w:gridCol w:w="1911"/>
        <w:gridCol w:w="1910"/>
        <w:gridCol w:w="1908"/>
        <w:gridCol w:w="1910"/>
      </w:tblGrid>
      <w:tr>
        <w:trPr/>
        <w:tc>
          <w:tcPr>
            <w:tcW w:w="19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bCs/>
                <w:sz w:val="20"/>
                <w:szCs w:val="20"/>
              </w:rPr>
              <w:t>Модель</w:t>
            </w:r>
          </w:p>
        </w:tc>
        <w:tc>
          <w:tcPr>
            <w:tcW w:w="19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bCs/>
                <w:sz w:val="20"/>
                <w:szCs w:val="20"/>
              </w:rPr>
              <w:t>STS (ρ)</w:t>
            </w:r>
          </w:p>
        </w:tc>
        <w:tc>
          <w:tcPr>
            <w:tcW w:w="19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bCs/>
                <w:sz w:val="20"/>
                <w:szCs w:val="20"/>
              </w:rPr>
              <w:t>20NG (Acc)</w:t>
            </w:r>
          </w:p>
        </w:tc>
        <w:tc>
          <w:tcPr>
            <w:tcW w:w="19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bCs/>
                <w:sz w:val="20"/>
                <w:szCs w:val="20"/>
              </w:rPr>
              <w:t>ARI</w:t>
            </w:r>
          </w:p>
        </w:tc>
        <w:tc>
          <w:tcPr>
            <w:tcW w:w="19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bCs/>
                <w:sz w:val="20"/>
                <w:szCs w:val="20"/>
              </w:rPr>
              <w:t>MRPC (F1)</w:t>
            </w:r>
          </w:p>
        </w:tc>
      </w:tr>
      <w:tr>
        <w:trPr/>
        <w:tc>
          <w:tcPr>
            <w:tcW w:w="19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z w:val="20"/>
                <w:szCs w:val="20"/>
              </w:rPr>
            </w:pPr>
            <w:r>
              <w:rPr>
                <w:b w:val="false"/>
                <w:bCs w:val="false"/>
                <w:sz w:val="20"/>
                <w:szCs w:val="20"/>
              </w:rPr>
              <w:t>LSA k=300</w:t>
            </w:r>
          </w:p>
        </w:tc>
        <w:tc>
          <w:tcPr>
            <w:tcW w:w="19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val="false"/>
                <w:bCs w:val="false"/>
                <w:sz w:val="20"/>
                <w:szCs w:val="20"/>
              </w:rPr>
              <w:t>0.56</w:t>
            </w:r>
          </w:p>
        </w:tc>
        <w:tc>
          <w:tcPr>
            <w:tcW w:w="19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val="false"/>
                <w:bCs w:val="false"/>
                <w:sz w:val="20"/>
                <w:szCs w:val="20"/>
              </w:rPr>
              <w:t>0.673</w:t>
            </w:r>
          </w:p>
        </w:tc>
        <w:tc>
          <w:tcPr>
            <w:tcW w:w="19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val="false"/>
                <w:bCs w:val="false"/>
                <w:sz w:val="20"/>
                <w:szCs w:val="20"/>
              </w:rPr>
              <w:t>0.17</w:t>
            </w:r>
          </w:p>
        </w:tc>
        <w:tc>
          <w:tcPr>
            <w:tcW w:w="19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val="false"/>
                <w:bCs w:val="false"/>
                <w:sz w:val="20"/>
                <w:szCs w:val="20"/>
              </w:rPr>
              <w:t>0.817</w:t>
            </w:r>
          </w:p>
        </w:tc>
      </w:tr>
      <w:tr>
        <w:trPr/>
        <w:tc>
          <w:tcPr>
            <w:tcW w:w="19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z w:val="20"/>
                <w:szCs w:val="20"/>
              </w:rPr>
            </w:pPr>
            <w:r>
              <w:rPr>
                <w:b w:val="false"/>
                <w:bCs w:val="false"/>
                <w:sz w:val="20"/>
                <w:szCs w:val="20"/>
              </w:rPr>
              <w:t>MiniLM-L6-v2</w:t>
            </w:r>
          </w:p>
        </w:tc>
        <w:tc>
          <w:tcPr>
            <w:tcW w:w="19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val="false"/>
                <w:bCs w:val="false"/>
                <w:sz w:val="20"/>
                <w:szCs w:val="20"/>
              </w:rPr>
              <w:t>0.82</w:t>
            </w:r>
          </w:p>
        </w:tc>
        <w:tc>
          <w:tcPr>
            <w:tcW w:w="19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val="false"/>
                <w:bCs w:val="false"/>
                <w:sz w:val="20"/>
                <w:szCs w:val="20"/>
              </w:rPr>
              <w:t>0.703</w:t>
            </w:r>
          </w:p>
        </w:tc>
        <w:tc>
          <w:tcPr>
            <w:tcW w:w="19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val="false"/>
                <w:bCs w:val="false"/>
                <w:sz w:val="20"/>
                <w:szCs w:val="20"/>
              </w:rPr>
              <w:t>0.37</w:t>
            </w:r>
          </w:p>
        </w:tc>
        <w:tc>
          <w:tcPr>
            <w:tcW w:w="19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val="false"/>
                <w:bCs w:val="false"/>
                <w:sz w:val="20"/>
                <w:szCs w:val="20"/>
              </w:rPr>
              <w:t>0.835</w:t>
            </w:r>
          </w:p>
        </w:tc>
      </w:tr>
    </w:tbl>
    <w:p>
      <w:pPr>
        <w:pStyle w:val="Normal"/>
        <w:spacing w:lineRule="auto" w:line="288"/>
        <w:rPr>
          <w:sz w:val="20"/>
          <w:szCs w:val="20"/>
        </w:rPr>
      </w:pPr>
      <w:r>
        <w:rPr>
          <w:sz w:val="20"/>
          <w:szCs w:val="20"/>
        </w:rPr>
      </w:r>
    </w:p>
    <w:p>
      <w:pPr>
        <w:pStyle w:val="Normal"/>
        <w:spacing w:lineRule="auto" w:line="288"/>
        <w:jc w:val="end"/>
        <w:rPr>
          <w:sz w:val="20"/>
          <w:szCs w:val="20"/>
        </w:rPr>
      </w:pPr>
      <w:r>
        <w:rPr>
          <w:sz w:val="20"/>
          <w:szCs w:val="20"/>
        </w:rPr>
        <w:t>Таблица 3. Интринсивные метрики</w:t>
      </w:r>
    </w:p>
    <w:tbl>
      <w:tblPr>
        <w:tblW w:w="9638" w:type="dxa"/>
        <w:jc w:val="start"/>
        <w:tblInd w:w="0" w:type="dxa"/>
        <w:tblLayout w:type="fixed"/>
        <w:tblCellMar>
          <w:top w:w="40" w:type="dxa"/>
          <w:start w:w="100" w:type="dxa"/>
          <w:bottom w:w="40" w:type="dxa"/>
          <w:end w:w="100" w:type="dxa"/>
        </w:tblCellMar>
      </w:tblPr>
      <w:tblGrid>
        <w:gridCol w:w="2438"/>
        <w:gridCol w:w="1799"/>
        <w:gridCol w:w="1801"/>
        <w:gridCol w:w="1799"/>
        <w:gridCol w:w="1801"/>
      </w:tblGrid>
      <w:tr>
        <w:trPr/>
        <w:tc>
          <w:tcPr>
            <w:tcW w:w="24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bCs/>
                <w:sz w:val="20"/>
                <w:szCs w:val="20"/>
              </w:rPr>
              <w:t>Модель</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bCs/>
                <w:sz w:val="20"/>
                <w:szCs w:val="20"/>
              </w:rPr>
              <w:t>PR</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bCs/>
                <w:sz w:val="20"/>
                <w:szCs w:val="20"/>
              </w:rPr>
              <w:t>ER</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bCs/>
                <w:sz w:val="20"/>
                <w:szCs w:val="20"/>
              </w:rPr>
              <w:t>IS</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bCs/>
                <w:sz w:val="20"/>
                <w:szCs w:val="20"/>
              </w:rPr>
              <w:t>HS</w:t>
            </w:r>
          </w:p>
        </w:tc>
      </w:tr>
      <w:tr>
        <w:trPr/>
        <w:tc>
          <w:tcPr>
            <w:tcW w:w="24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z w:val="20"/>
                <w:szCs w:val="20"/>
              </w:rPr>
            </w:pPr>
            <w:r>
              <w:rPr>
                <w:b w:val="false"/>
                <w:bCs w:val="false"/>
                <w:sz w:val="20"/>
                <w:szCs w:val="20"/>
              </w:rPr>
              <w:t>LSA k=300</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val="false"/>
                <w:bCs w:val="false"/>
                <w:sz w:val="20"/>
                <w:szCs w:val="20"/>
              </w:rPr>
              <w:t>198.60</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val="false"/>
                <w:bCs w:val="false"/>
                <w:sz w:val="20"/>
                <w:szCs w:val="20"/>
              </w:rPr>
              <w:t>284.93</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val="false"/>
                <w:bCs w:val="false"/>
                <w:sz w:val="20"/>
                <w:szCs w:val="20"/>
              </w:rPr>
              <w:t>0.0120</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val="false"/>
                <w:bCs w:val="false"/>
                <w:sz w:val="20"/>
                <w:szCs w:val="20"/>
              </w:rPr>
              <w:t>3.54</w:t>
            </w:r>
          </w:p>
        </w:tc>
      </w:tr>
      <w:tr>
        <w:trPr/>
        <w:tc>
          <w:tcPr>
            <w:tcW w:w="24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sz w:val="20"/>
                <w:szCs w:val="20"/>
              </w:rPr>
            </w:pPr>
            <w:r>
              <w:rPr>
                <w:b w:val="false"/>
                <w:bCs w:val="false"/>
                <w:sz w:val="20"/>
                <w:szCs w:val="20"/>
              </w:rPr>
              <w:t>MiniLM-L6-v2</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val="false"/>
                <w:bCs w:val="false"/>
                <w:sz w:val="20"/>
                <w:szCs w:val="20"/>
              </w:rPr>
              <w:t>117.85</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val="false"/>
                <w:bCs w:val="false"/>
                <w:sz w:val="20"/>
                <w:szCs w:val="20"/>
              </w:rPr>
              <w:t>312.97</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val="false"/>
                <w:bCs w:val="false"/>
                <w:sz w:val="20"/>
                <w:szCs w:val="20"/>
              </w:rPr>
              <w:t>0.0011</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0"/>
                <w:szCs w:val="20"/>
              </w:rPr>
            </w:pPr>
            <w:r>
              <w:rPr>
                <w:b w:val="false"/>
                <w:bCs w:val="false"/>
                <w:sz w:val="20"/>
                <w:szCs w:val="20"/>
              </w:rPr>
              <w:t>1.77</w:t>
            </w:r>
          </w:p>
        </w:tc>
      </w:tr>
    </w:tbl>
    <w:p>
      <w:pPr>
        <w:pStyle w:val="Normal"/>
        <w:spacing w:lineRule="auto" w:line="288"/>
        <w:rPr>
          <w:sz w:val="20"/>
          <w:szCs w:val="20"/>
        </w:rPr>
      </w:pPr>
      <w:r>
        <w:rPr>
          <w:sz w:val="20"/>
          <w:szCs w:val="20"/>
        </w:rPr>
      </w:r>
    </w:p>
    <w:p>
      <w:pPr>
        <w:pStyle w:val="Normal"/>
        <w:spacing w:lineRule="auto" w:line="288"/>
        <w:ind w:firstLine="567"/>
        <w:jc w:val="both"/>
        <w:rPr>
          <w:sz w:val="20"/>
          <w:szCs w:val="20"/>
        </w:rPr>
      </w:pPr>
      <w:r>
        <w:rPr>
          <w:b/>
          <w:bCs/>
          <w:sz w:val="20"/>
          <w:szCs w:val="20"/>
        </w:rPr>
        <w:t xml:space="preserve">Семантическое сходство (STS). </w:t>
      </w:r>
      <w:r>
        <w:rPr>
          <w:sz w:val="20"/>
          <w:szCs w:val="20"/>
        </w:rPr>
        <w:t>MiniLM существенно превосходит LSA по корреляции Спирмена (ρ = 0.82 против 0.56 при k = 300). Это связано с тем, что эмбеддинги MiniLM строятся с учётом контекста: механизм внимания позволяет улавливать синтаксические и семантические зависимости между словами. LSA, работая по принципу «мешка слов», игнорирует структуру предложения вне зависимости от размерности k.</w:t>
      </w:r>
    </w:p>
    <w:p>
      <w:pPr>
        <w:pStyle w:val="Normal"/>
        <w:spacing w:lineRule="auto" w:line="288"/>
        <w:rPr>
          <w:sz w:val="20"/>
          <w:szCs w:val="20"/>
        </w:rPr>
      </w:pPr>
      <w:r>
        <w:rPr>
          <w:sz w:val="20"/>
          <w:szCs w:val="20"/>
        </w:rPr>
      </w:r>
    </w:p>
    <w:p>
      <w:pPr>
        <w:pStyle w:val="Normal"/>
        <w:spacing w:lineRule="auto" w:line="288"/>
        <w:jc w:val="center"/>
        <w:rPr>
          <w:sz w:val="20"/>
          <w:szCs w:val="20"/>
        </w:rPr>
      </w:pPr>
      <w:r>
        <w:rPr>
          <w:sz w:val="20"/>
          <w:szCs w:val="20"/>
        </w:rPr>
        <w:drawing>
          <wp:inline distT="0" distB="0" distL="0" distR="0">
            <wp:extent cx="3810000" cy="3190875"/>
            <wp:effectExtent l="0" t="0" r="0" b="0"/>
            <wp:docPr id="1" name="figs/fig1.jpg" descr="figs/fig1.jpg" title="figs/fi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s/fig1.jpg" descr="figs/fig1.jpg" title="figs/fig1.jpg"/>
                    <pic:cNvPicPr>
                      <a:picLocks noChangeAspect="1" noChangeArrowheads="1"/>
                    </pic:cNvPicPr>
                  </pic:nvPicPr>
                  <pic:blipFill>
                    <a:blip r:embed="rId2"/>
                    <a:stretch>
                      <a:fillRect/>
                    </a:stretch>
                  </pic:blipFill>
                  <pic:spPr bwMode="auto">
                    <a:xfrm>
                      <a:off x="0" y="0"/>
                      <a:ext cx="3810000" cy="3190875"/>
                    </a:xfrm>
                    <a:prstGeom prst="rect">
                      <a:avLst/>
                    </a:prstGeom>
                    <a:noFill/>
                  </pic:spPr>
                </pic:pic>
              </a:graphicData>
            </a:graphic>
          </wp:inline>
        </w:drawing>
      </w:r>
    </w:p>
    <w:p>
      <w:pPr>
        <w:pStyle w:val="Normal"/>
        <w:spacing w:lineRule="auto" w:line="288"/>
        <w:jc w:val="center"/>
        <w:rPr>
          <w:sz w:val="20"/>
          <w:szCs w:val="20"/>
        </w:rPr>
      </w:pPr>
      <w:r>
        <w:rPr>
          <w:i/>
          <w:iCs/>
          <w:sz w:val="20"/>
          <w:szCs w:val="20"/>
        </w:rPr>
        <w:t>Рисунок 1. Зависимость STS Spearman ρ от размерности k.</w:t>
      </w:r>
    </w:p>
    <w:p>
      <w:pPr>
        <w:pStyle w:val="Normal"/>
        <w:spacing w:lineRule="auto" w:line="288"/>
        <w:rPr>
          <w:sz w:val="20"/>
          <w:szCs w:val="20"/>
        </w:rPr>
      </w:pPr>
      <w:r>
        <w:rPr>
          <w:sz w:val="20"/>
          <w:szCs w:val="20"/>
        </w:rPr>
      </w:r>
    </w:p>
    <w:p>
      <w:pPr>
        <w:pStyle w:val="Normal"/>
        <w:spacing w:lineRule="auto" w:line="288"/>
        <w:ind w:firstLine="567"/>
        <w:jc w:val="both"/>
        <w:rPr>
          <w:sz w:val="20"/>
          <w:szCs w:val="20"/>
        </w:rPr>
      </w:pPr>
      <w:r>
        <w:rPr>
          <w:b/>
          <w:bCs/>
          <w:sz w:val="20"/>
          <w:szCs w:val="20"/>
        </w:rPr>
        <w:t xml:space="preserve">Тематическая классификация (20NG). </w:t>
      </w:r>
      <w:r>
        <w:rPr>
          <w:sz w:val="20"/>
          <w:szCs w:val="20"/>
        </w:rPr>
        <w:t>Разрыв между моделями на задаче классификации значительно меньше (Acc = 0.703 у MiniLM против Acc = 0.673 у LSA при k = 300). Близкие значения Accuracy указывают на то, что обе модели работают сопоставимо на всех 20 категориях. LSA успешно справляется с распознаванием общей тематики по ключевым словам.</w:t>
      </w:r>
    </w:p>
    <w:p>
      <w:pPr>
        <w:pStyle w:val="Normal"/>
        <w:spacing w:lineRule="auto" w:line="288"/>
        <w:ind w:firstLine="567"/>
        <w:jc w:val="both"/>
        <w:rPr>
          <w:sz w:val="20"/>
          <w:szCs w:val="20"/>
        </w:rPr>
      </w:pPr>
      <w:r>
        <w:rPr>
          <w:b/>
          <w:bCs/>
          <w:sz w:val="20"/>
          <w:szCs w:val="20"/>
        </w:rPr>
        <w:t xml:space="preserve">Кластеризация (20NG). </w:t>
      </w:r>
      <w:r>
        <w:rPr>
          <w:sz w:val="20"/>
          <w:szCs w:val="20"/>
        </w:rPr>
        <w:t>Наибольший разрыв между моделями обнаруживается в задаче кластеризации: ARI = 0.37 у MiniLM против 0.17 у LSA при k = 300. В отличие от классификации, кластеризация проводится без разметки и оценивает геометрическую структуру пространства напрямую — результат показывает, что LSA недостаточно хорошо разделяет темы геометрически.</w:t>
      </w:r>
    </w:p>
    <w:p>
      <w:pPr>
        <w:pStyle w:val="Normal"/>
        <w:spacing w:lineRule="auto" w:line="288"/>
        <w:ind w:firstLine="567"/>
        <w:jc w:val="both"/>
        <w:rPr>
          <w:sz w:val="20"/>
          <w:szCs w:val="20"/>
        </w:rPr>
      </w:pPr>
      <w:r>
        <w:rPr>
          <w:b/>
          <w:bCs/>
          <w:sz w:val="20"/>
          <w:szCs w:val="20"/>
        </w:rPr>
        <w:t xml:space="preserve">Обнаружение парафраз (MRPC). </w:t>
      </w:r>
      <w:r>
        <w:rPr>
          <w:sz w:val="20"/>
          <w:szCs w:val="20"/>
        </w:rPr>
        <w:t>В задаче обнаружения парафраз разрыв незначительный: F1 = 0.835 у MiniLM против 0.817 у LSA при k = 300. Это связано с природой датасета: MRPC преимущественно содержит перефразировки новостных предложений, где ключевые слова совпадают, что оказывается достаточным для LSA.</w:t>
      </w:r>
    </w:p>
    <w:p>
      <w:pPr>
        <w:pStyle w:val="Normal"/>
        <w:spacing w:lineRule="auto" w:line="288"/>
        <w:rPr>
          <w:sz w:val="20"/>
          <w:szCs w:val="20"/>
        </w:rPr>
      </w:pPr>
      <w:r>
        <w:rPr>
          <w:sz w:val="20"/>
          <w:szCs w:val="20"/>
        </w:rPr>
      </w:r>
    </w:p>
    <w:p>
      <w:pPr>
        <w:pStyle w:val="Normal"/>
        <w:spacing w:lineRule="auto" w:line="288"/>
        <w:jc w:val="center"/>
        <w:rPr>
          <w:sz w:val="20"/>
          <w:szCs w:val="20"/>
        </w:rPr>
      </w:pPr>
      <w:r>
        <w:rPr>
          <w:sz w:val="20"/>
          <w:szCs w:val="20"/>
        </w:rPr>
        <w:drawing>
          <wp:inline distT="0" distB="0" distL="0" distR="0">
            <wp:extent cx="5715000" cy="2171700"/>
            <wp:effectExtent l="0" t="0" r="0" b="0"/>
            <wp:docPr id="2" name="figs/fig2.jpg" descr="figs/fig2.jpg" title="figs/fi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s/fig2.jpg" descr="figs/fig2.jpg" title="figs/fig2.jpg"/>
                    <pic:cNvPicPr>
                      <a:picLocks noChangeAspect="1" noChangeArrowheads="1"/>
                    </pic:cNvPicPr>
                  </pic:nvPicPr>
                  <pic:blipFill>
                    <a:blip r:embed="rId3"/>
                    <a:stretch>
                      <a:fillRect/>
                    </a:stretch>
                  </pic:blipFill>
                  <pic:spPr bwMode="auto">
                    <a:xfrm>
                      <a:off x="0" y="0"/>
                      <a:ext cx="5715000" cy="2171700"/>
                    </a:xfrm>
                    <a:prstGeom prst="rect">
                      <a:avLst/>
                    </a:prstGeom>
                    <a:noFill/>
                  </pic:spPr>
                </pic:pic>
              </a:graphicData>
            </a:graphic>
          </wp:inline>
        </w:drawing>
      </w:r>
    </w:p>
    <w:p>
      <w:pPr>
        <w:pStyle w:val="Normal"/>
        <w:spacing w:lineRule="auto" w:line="288"/>
        <w:jc w:val="center"/>
        <w:rPr>
          <w:sz w:val="20"/>
          <w:szCs w:val="20"/>
        </w:rPr>
      </w:pPr>
      <w:r>
        <w:rPr>
          <w:i/>
          <w:iCs/>
          <w:sz w:val="20"/>
          <w:szCs w:val="20"/>
        </w:rPr>
        <w:t>Рисунок 2. Тепловые карты косинусного сходства LSA (k=300) и all-MiniLM-L6-v2 (20NG, 20 классов).</w:t>
      </w:r>
    </w:p>
    <w:p>
      <w:pPr>
        <w:pStyle w:val="Normal"/>
        <w:spacing w:lineRule="auto" w:line="288"/>
        <w:rPr>
          <w:sz w:val="20"/>
          <w:szCs w:val="20"/>
        </w:rPr>
      </w:pPr>
      <w:r>
        <w:rPr>
          <w:sz w:val="20"/>
          <w:szCs w:val="20"/>
        </w:rPr>
      </w:r>
    </w:p>
    <w:p>
      <w:pPr>
        <w:pStyle w:val="Normal"/>
        <w:spacing w:lineRule="auto" w:line="288"/>
        <w:ind w:firstLine="567"/>
        <w:jc w:val="both"/>
        <w:rPr>
          <w:sz w:val="20"/>
          <w:szCs w:val="20"/>
        </w:rPr>
      </w:pPr>
      <w:r>
        <w:rPr>
          <w:b/>
          <w:bCs/>
          <w:sz w:val="20"/>
          <w:szCs w:val="20"/>
        </w:rPr>
        <w:t xml:space="preserve">Изотропия и прикладное качество. </w:t>
      </w:r>
      <w:r>
        <w:rPr>
          <w:sz w:val="20"/>
          <w:szCs w:val="20"/>
        </w:rPr>
        <w:t>Изотропия MiniLM крайне низкая (IS = 0.001, у LSA — 0.012), хотя результаты на прикладных задачах значительно выше. Это объясняется тем, что дисперсия в пространстве MiniLM сосредоточена в нескольких доминирующих направлениях, в которых и закодирована семантическая информация. Таким образом, IS отражает геометрическую равномерность пространства, но не качество представлений.</w:t>
      </w:r>
    </w:p>
    <w:p>
      <w:pPr>
        <w:pStyle w:val="Normal"/>
        <w:spacing w:lineRule="auto" w:line="288"/>
        <w:ind w:firstLine="567"/>
        <w:jc w:val="both"/>
        <w:rPr>
          <w:sz w:val="20"/>
          <w:szCs w:val="20"/>
        </w:rPr>
      </w:pPr>
      <w:r>
        <w:rPr>
          <w:b/>
          <w:bCs/>
          <w:sz w:val="20"/>
          <w:szCs w:val="20"/>
        </w:rPr>
        <w:t xml:space="preserve">Effective Rank. </w:t>
      </w:r>
      <w:r>
        <w:rPr>
          <w:sz w:val="20"/>
          <w:szCs w:val="20"/>
        </w:rPr>
        <w:t>ER(LSA, k=300) = 284.93 сопоставим с ER(MiniLM) = 312.97, при этом PR(LSA) = 198.60 превышает PR(MiniLM) = 117.85. Это объясняется тем, что усечённое SVD отбирает k компонент с наибольшими сингулярными числами, которые в рамках усечённого подпространства становятся более равномерными. Высокие PR и ER, таким образом, не являются достаточным условием семантического качества.</w:t>
      </w:r>
    </w:p>
    <w:p>
      <w:pPr>
        <w:pStyle w:val="Normal"/>
        <w:spacing w:lineRule="auto" w:line="288"/>
        <w:rPr>
          <w:sz w:val="20"/>
          <w:szCs w:val="20"/>
        </w:rPr>
      </w:pPr>
      <w:r>
        <w:rPr>
          <w:sz w:val="20"/>
          <w:szCs w:val="20"/>
        </w:rPr>
      </w:r>
    </w:p>
    <w:p>
      <w:pPr>
        <w:pStyle w:val="Normal"/>
        <w:spacing w:lineRule="auto" w:line="288"/>
        <w:jc w:val="center"/>
        <w:rPr>
          <w:sz w:val="20"/>
          <w:szCs w:val="20"/>
        </w:rPr>
      </w:pPr>
      <w:r>
        <w:rPr>
          <w:sz w:val="20"/>
          <w:szCs w:val="20"/>
        </w:rPr>
        <w:drawing>
          <wp:inline distT="0" distB="0" distL="0" distR="0">
            <wp:extent cx="4286250" cy="2714625"/>
            <wp:effectExtent l="0" t="0" r="0" b="0"/>
            <wp:docPr id="3" name="figs/fig3.jpg" descr="figs/fig3.jpg" title="figs/fig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s/fig3.jpg" descr="figs/fig3.jpg" title="figs/fig3.jpg"/>
                    <pic:cNvPicPr>
                      <a:picLocks noChangeAspect="1" noChangeArrowheads="1"/>
                    </pic:cNvPicPr>
                  </pic:nvPicPr>
                  <pic:blipFill>
                    <a:blip r:embed="rId4"/>
                    <a:stretch>
                      <a:fillRect/>
                    </a:stretch>
                  </pic:blipFill>
                  <pic:spPr bwMode="auto">
                    <a:xfrm>
                      <a:off x="0" y="0"/>
                      <a:ext cx="4286250" cy="2714625"/>
                    </a:xfrm>
                    <a:prstGeom prst="rect">
                      <a:avLst/>
                    </a:prstGeom>
                    <a:noFill/>
                  </pic:spPr>
                </pic:pic>
              </a:graphicData>
            </a:graphic>
          </wp:inline>
        </w:drawing>
      </w:r>
    </w:p>
    <w:p>
      <w:pPr>
        <w:pStyle w:val="Normal"/>
        <w:spacing w:lineRule="auto" w:line="288"/>
        <w:jc w:val="center"/>
        <w:rPr>
          <w:sz w:val="20"/>
          <w:szCs w:val="20"/>
        </w:rPr>
      </w:pPr>
      <w:r>
        <w:rPr>
          <w:i/>
          <w:iCs/>
          <w:sz w:val="20"/>
          <w:szCs w:val="20"/>
        </w:rPr>
        <w:t>Рисунок 3. Спектр сингулярных чисел.</w:t>
      </w:r>
    </w:p>
    <w:p>
      <w:pPr>
        <w:pStyle w:val="Normal"/>
        <w:spacing w:lineRule="auto" w:line="288"/>
        <w:rPr>
          <w:sz w:val="20"/>
          <w:szCs w:val="20"/>
        </w:rPr>
      </w:pPr>
      <w:r>
        <w:rPr>
          <w:sz w:val="20"/>
          <w:szCs w:val="20"/>
        </w:rPr>
      </w:r>
    </w:p>
    <w:p>
      <w:pPr>
        <w:pStyle w:val="Normal"/>
        <w:spacing w:lineRule="auto" w:line="288"/>
        <w:ind w:firstLine="567"/>
        <w:jc w:val="both"/>
        <w:rPr>
          <w:sz w:val="20"/>
          <w:szCs w:val="20"/>
        </w:rPr>
      </w:pPr>
      <w:r>
        <w:rPr>
          <w:b/>
          <w:bCs/>
          <w:sz w:val="20"/>
          <w:szCs w:val="20"/>
        </w:rPr>
        <w:t xml:space="preserve">Hubness Score. </w:t>
      </w:r>
      <w:r>
        <w:rPr>
          <w:sz w:val="20"/>
          <w:szCs w:val="20"/>
        </w:rPr>
        <w:t>У LSA показатель HS = 3.54 заметно выше, чем у MiniLM (HS = 1.77). Это говорит о том, что в пространстве LSA есть отдельные точки, которые становятся ближайшими соседями для слишком большого числа других точек. В результате расстояния в пространстве LSA хуже отражают реальную близость текстов, что и проявляется в низком качестве на задачах кластеризации и STS.</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Выводы</w:t>
      </w:r>
    </w:p>
    <w:p>
      <w:pPr>
        <w:pStyle w:val="Normal"/>
        <w:spacing w:lineRule="auto" w:line="288"/>
        <w:ind w:firstLine="567"/>
        <w:jc w:val="both"/>
        <w:rPr>
          <w:sz w:val="20"/>
          <w:szCs w:val="20"/>
        </w:rPr>
      </w:pPr>
      <w:r>
        <w:rPr>
          <w:sz w:val="20"/>
          <w:szCs w:val="20"/>
        </w:rPr>
        <w:t>В данной статье было проведено сравнение двух моделей (LSA и MiniLM) по метрикам STS ρ, Accuracy, ARI, PR, ER, IS и HS. Сравнение производилось на датасетах STSb, 20 Newsgroups и MRPC. Результаты показывают различия геометрических свойств пространств и качества обеих моделей на практических задачах: более сфокусированные главные направления и превосходство в семантической обработке у MiniLM и равномерно распределённые направления без учёта контекста у LSA, что ограничивает её в обработке контекстно-зависимых явлений, таких как полисемия [5]. Двунаправленное контекстное предобучение MiniLM позволяет преодолеть это ограничение [6]. В задачах классификации и нахождения парафраз LSA сопоставима с MiniLM, так как эти задачи имеют ключевые слова и не требуют контекста. Вместе с тем сравнение имеет ограничения: MiniLM предобучен на большом корпусе, размерности моделей различаются, а каждый класс представлен одной моделью.</w:t>
      </w:r>
    </w:p>
    <w:p>
      <w:pPr>
        <w:pStyle w:val="Normal"/>
        <w:spacing w:lineRule="auto" w:line="288"/>
        <w:rPr>
          <w:sz w:val="20"/>
          <w:szCs w:val="20"/>
        </w:rPr>
      </w:pPr>
      <w:r>
        <w:rPr>
          <w:sz w:val="20"/>
          <w:szCs w:val="20"/>
        </w:rPr>
      </w:r>
    </w:p>
    <w:p>
      <w:pPr>
        <w:pStyle w:val="Normal"/>
        <w:spacing w:lineRule="auto" w:line="288"/>
        <w:jc w:val="center"/>
        <w:rPr>
          <w:sz w:val="20"/>
          <w:szCs w:val="20"/>
        </w:rPr>
      </w:pPr>
      <w:r>
        <w:rPr>
          <w:b/>
          <w:bCs/>
          <w:sz w:val="20"/>
          <w:szCs w:val="20"/>
        </w:rPr>
        <w:t>Список источников</w:t>
      </w:r>
    </w:p>
    <w:p>
      <w:pPr>
        <w:pStyle w:val="Normal"/>
        <w:spacing w:lineRule="auto" w:line="288"/>
        <w:ind w:hanging="567" w:start="567"/>
        <w:jc w:val="both"/>
        <w:rPr>
          <w:sz w:val="20"/>
          <w:szCs w:val="20"/>
        </w:rPr>
      </w:pPr>
      <w:r>
        <w:rPr>
          <w:sz w:val="20"/>
          <w:szCs w:val="20"/>
        </w:rPr>
        <w:t>1. Deerwester, S. Indexing by Latent Semantic Analysis / S. Deerwester, S. T. Dumais, G. W. Furnas, T. K. Landauer, R. Harshman // Journal of the American Society for Information Science. — 1990. — Vol. 41, no. 6. — P. 391–407.</w:t>
      </w:r>
    </w:p>
    <w:p>
      <w:pPr>
        <w:pStyle w:val="Normal"/>
        <w:spacing w:lineRule="auto" w:line="288"/>
        <w:ind w:hanging="567" w:start="567"/>
        <w:jc w:val="both"/>
        <w:rPr>
          <w:sz w:val="20"/>
          <w:szCs w:val="20"/>
        </w:rPr>
      </w:pPr>
      <w:r>
        <w:rPr>
          <w:sz w:val="20"/>
          <w:szCs w:val="20"/>
        </w:rPr>
        <w:t>2. Landauer, T. K. From paragraph to graph: Latent semantic analysis for information visualization / T. K. Landauer, D. Laham, M. Derr // Proceedings of the National Academy of Sciences. — 2004. — Vol. 101, no. suppl_1. — P. 5214–5219.</w:t>
      </w:r>
    </w:p>
    <w:p>
      <w:pPr>
        <w:pStyle w:val="Normal"/>
        <w:spacing w:lineRule="auto" w:line="288"/>
        <w:ind w:hanging="567" w:start="567"/>
        <w:jc w:val="both"/>
        <w:rPr>
          <w:sz w:val="20"/>
          <w:szCs w:val="20"/>
        </w:rPr>
      </w:pPr>
      <w:r>
        <w:rPr>
          <w:sz w:val="20"/>
          <w:szCs w:val="20"/>
        </w:rPr>
        <w:t>3. Vaswani, A. Attention Is All You Need / A. Vaswani, N. Shazeer, N. Parmar [et al.] // Advances in Neural Information Processing Systems. — 2017. — P. 5998–6008.</w:t>
      </w:r>
    </w:p>
    <w:p>
      <w:pPr>
        <w:pStyle w:val="Normal"/>
        <w:spacing w:lineRule="auto" w:line="288"/>
        <w:ind w:hanging="567" w:start="567"/>
        <w:jc w:val="both"/>
        <w:rPr>
          <w:sz w:val="20"/>
          <w:szCs w:val="20"/>
        </w:rPr>
      </w:pPr>
      <w:r>
        <w:rPr>
          <w:sz w:val="20"/>
          <w:szCs w:val="20"/>
        </w:rPr>
        <w:t>4. Devlin, J. BERT: Pre-training of Deep Bidirectional Transformers for Language Understanding / J. Devlin, M.-W. Chang, K. Lee, K. Toutanova // Proceedings of the 2019 Conference of the North American Chapter of the Association for Computational Linguistics: Human Language Technologies. — 2019. — Vol. 1. — P. 4171–4186.</w:t>
      </w:r>
    </w:p>
    <w:p>
      <w:pPr>
        <w:pStyle w:val="Normal"/>
        <w:spacing w:lineRule="auto" w:line="288"/>
        <w:ind w:hanging="567" w:start="567"/>
        <w:jc w:val="both"/>
        <w:rPr>
          <w:sz w:val="20"/>
          <w:szCs w:val="20"/>
        </w:rPr>
      </w:pPr>
      <w:r>
        <w:rPr>
          <w:sz w:val="20"/>
          <w:szCs w:val="20"/>
        </w:rPr>
        <w:t>5. Hofmann, T. Probabilistic Latent Semantic Analysis / T. Hofmann // Proceedings of the 15th Conference on Uncertainty in Artificial Intelligence (UAI'99). — 1999. — P. 289–296.</w:t>
      </w:r>
    </w:p>
    <w:p>
      <w:pPr>
        <w:pStyle w:val="Normal"/>
        <w:spacing w:lineRule="auto" w:line="288"/>
        <w:ind w:hanging="567" w:start="567"/>
        <w:jc w:val="both"/>
        <w:rPr>
          <w:sz w:val="20"/>
          <w:szCs w:val="20"/>
        </w:rPr>
      </w:pPr>
      <w:r>
        <w:rPr>
          <w:sz w:val="20"/>
          <w:szCs w:val="20"/>
        </w:rPr>
        <w:t>6. Artetxe, M. On the Role of Bidirectionality in Language Model Pre-Training / M. Artetxe, J. Du, N. Goyal [et al.] // Findings of the Association for Computational Linguistics: EMNLP 2022. — 2022. — P. 3973–3985.</w:t>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01" w:characterSet="utf-8"/>
    <w:family w:val="roman"/>
    <w:pitch w:val="variable"/>
  </w:font>
  <w:font w:name="PT Sans Expert">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8"/>
        <w:szCs w:val="28"/>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8"/>
      <w:szCs w:val="28"/>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PT Sans Expert" w:hAnsi="PT Sans Expert" w:eastAsia="PT Sans Expert" w:cs="PT Sans Expert"/>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8"/>
      <w:szCs w:val="28"/>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8"/>
      <w:szCs w:val="28"/>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LibreOffice/26.2.0.3$Linux_X86_64 LibreOffice_project/620$Build-3</Application>
  <AppVersion>15.0000</AppVersion>
  <Pages>8</Pages>
  <Words>2206</Words>
  <Characters>14867</Characters>
  <CharactersWithSpaces>16993</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2026-06-02T05:52:33Z</dcterms:created>
  <dc:creator>Un-named</dc:creator>
  <dc:description/>
  <dc:language>en-US</dc:language>
  <cp:lastModifiedBy/>
  <dcterms:modified xsi:type="dcterms:W3CDTF">2026-06-02T09:24:44Z</dcterms:modified>
  <cp:revision>2</cp:revision>
  <dc:subject/>
  <dc:title/>
</cp:coreProperties>
</file>