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image</w:t>
      </w:r>
      <w:r>
        <w:br/>
      </w:r>
      <w:r>
        <w:rPr>
          <w:smallCaps/>
        </w:rPr>
        <w:t xml:space="preserve">Министерство науки и высшего образования Российской Федерации</w:t>
      </w:r>
      <w:r>
        <w:br/>
      </w:r>
      <w:r>
        <w:t xml:space="preserve">Федеральное государственное бюджетное образовательное учреждение</w:t>
      </w:r>
      <w:r>
        <w:br/>
      </w:r>
      <w:r>
        <w:t xml:space="preserve">высшего образования</w:t>
      </w:r>
      <w:r>
        <w:br/>
      </w:r>
      <w:r>
        <w:rPr>
          <w:bCs/>
          <w:b/>
        </w:rPr>
        <w:t xml:space="preserve">«МИРЭА – Российский технологический университет»</w:t>
      </w:r>
      <w:r>
        <w:br/>
      </w:r>
      <w:r>
        <w:rPr>
          <w:smallCaps/>
        </w:rPr>
        <w:t xml:space="preserve">РТУ МИРЭА</w:t>
      </w:r>
    </w:p>
    <w:p>
      <w:pPr>
        <w:pStyle w:val="BodyText"/>
      </w:pPr>
      <w:r>
        <w:rPr>
          <w:smallCaps/>
        </w:rPr>
        <w:t xml:space="preserve">Кафедра высшей математики ВМ-3</w:t>
      </w:r>
    </w:p>
    <w:p>
      <w:pPr>
        <w:pStyle w:val="BodyText"/>
      </w:pPr>
      <w:r>
        <w:rPr>
          <w:bCs/>
          <w:b/>
        </w:rPr>
        <w:t xml:space="preserve">ПРАКТИКО-ОРИЕНТИРОВАННЫЙ КЕЙС</w:t>
      </w:r>
      <w:r>
        <w:br/>
      </w:r>
      <w:r>
        <w:t xml:space="preserve">по дисциплине</w:t>
      </w:r>
      <w:r>
        <w:t xml:space="preserve"> </w:t>
      </w:r>
      <w:r>
        <w:rPr>
          <w:iCs/>
          <w:i/>
        </w:rPr>
        <w:t xml:space="preserve">&lt;&lt;Математический анализ&gt;&gt;</w:t>
      </w:r>
      <w:r>
        <w:br/>
      </w:r>
      <w:r>
        <w:rPr>
          <w:bCs/>
          <w:b/>
        </w:rPr>
        <w:t xml:space="preserve">Тема: Интеграл Фурье в радиоинформатике</w:t>
      </w:r>
      <w:r>
        <w:br/>
      </w:r>
      <w:r>
        <w:t xml:space="preserve">Спектральный анализ непериодических радиосигналов и оценка полосы пропускания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Направление подготовки: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Радиоинформатика (радиоинформатика, мониторинг и телеметрия)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Семестр: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Вариант работы: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Индивидуально / командная (до 3 человек)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Разработчик: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Кафедра ВМ-3</w:t>
            </w:r>
          </w:p>
        </w:tc>
      </w:tr>
    </w:tbl>
    <w:p>
      <w:pPr>
        <w:pStyle w:val="BodyText"/>
      </w:pPr>
      <w:r>
        <w:t xml:space="preserve">Москва, 2026</w:t>
      </w:r>
    </w:p>
    <w:bookmarkStart w:id="20" w:name="кейс-интеграл-фурье-в-радиоинформатике"/>
    <w:p>
      <w:pPr>
        <w:pStyle w:val="Heading1"/>
      </w:pPr>
      <w:r>
        <w:t xml:space="preserve">Кейс: Интеграл Фурье в радиоинформатике</w:t>
      </w:r>
    </w:p>
    <w:bookmarkEnd w:id="20"/>
    <w:bookmarkStart w:id="21" w:name="паспорт-кейса"/>
    <w:p>
      <w:pPr>
        <w:pStyle w:val="Heading1"/>
      </w:pPr>
      <w:r>
        <w:t xml:space="preserve">Паспорт кейса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Дисциплина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Математический анализ (3 семестр)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Радиоинформатика, телекоммуникации, информационные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Форма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Индивидуальная или командная (до 3 человек, 2–3 занятия по 2 ак. ч.)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Научить студентов применять аппарат интеграла Фурье для спектрального анализа одиночных радиоимпульсов, оценивать эффективную полосу пропускания, анализировать сходимость в точках разрыва (эффект Гиббса) и обосновывать параметры оцифровки и фильтрации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Компетенции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Моделирование физических процессов, расчёт спектральных характеристик сигналов, инженерное обоснование технических решений, работа с несобственными интегралами и условиями сходимости</w:t>
            </w:r>
          </w:p>
        </w:tc>
      </w:tr>
    </w:tbl>
    <w:bookmarkEnd w:id="21"/>
    <w:bookmarkStart w:id="22" w:name="легенда-инженерный-контекст"/>
    <w:p>
      <w:pPr>
        <w:pStyle w:val="Heading1"/>
      </w:pPr>
      <w:r>
        <w:t xml:space="preserve">Легенда (Инженерный контекст)</w:t>
      </w:r>
    </w:p>
    <w:p>
      <w:pPr>
        <w:pStyle w:val="FirstParagraph"/>
      </w:pPr>
      <w:r>
        <w:t xml:space="preserve">В лаборатории разработки импульсных радиолокационных систем тестируется передатчик коротких видеоимпульсов. На осциллографе регистрируется одиночный прямоугольный импульс напряжения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длительностью</w:t>
      </w:r>
      <w:r>
        <w:t xml:space="preserve"> </w:t>
      </w:r>
      <m:oMath>
        <m:r>
          <m:t>τ</m:t>
        </m:r>
      </m:oMath>
      <w:r>
        <w:t xml:space="preserve">, амплитудой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симметричный относительно начала отсчёта. Сигнал не является периодическим, что делает классический ряд Фурье неприменимым.</w:t>
      </w:r>
    </w:p>
    <w:p>
      <w:pPr>
        <w:pStyle w:val="BodyText"/>
      </w:pPr>
      <w:r>
        <w:t xml:space="preserve">Инженеру-разработчику необходимо:</w:t>
      </w:r>
    </w:p>
    <w:p>
      <w:pPr>
        <w:numPr>
          <w:ilvl w:val="0"/>
          <w:numId w:val="1001"/>
        </w:numPr>
      </w:pPr>
      <w:r>
        <w:t xml:space="preserve">Представить сигнал в виде непрерывного спектра частот (интеграл Фурье).</w:t>
      </w:r>
    </w:p>
    <w:p>
      <w:pPr>
        <w:numPr>
          <w:ilvl w:val="0"/>
          <w:numId w:val="1001"/>
        </w:numPr>
      </w:pPr>
      <w:r>
        <w:t xml:space="preserve">Оценить поведение сигнала на фронтах (точки разрыва) и предсказать уровень искажений при цифровой реконструкции.</w:t>
      </w:r>
    </w:p>
    <w:p>
      <w:pPr>
        <w:numPr>
          <w:ilvl w:val="0"/>
          <w:numId w:val="1001"/>
        </w:numPr>
      </w:pPr>
      <w:r>
        <w:t xml:space="preserve">Рассчитать эффективную полосу пропускания антенно-фидерного тракта и частоту дискретизации АЦП.</w:t>
      </w:r>
    </w:p>
    <w:p>
      <w:pPr>
        <w:numPr>
          <w:ilvl w:val="0"/>
          <w:numId w:val="1001"/>
        </w:numPr>
      </w:pPr>
      <w:r>
        <w:t xml:space="preserve">Объяснить, как ограничение спектра фильтром влияет на форму импульса во временной области и на межсимвольную интерференцию.</w:t>
      </w:r>
    </w:p>
    <w:bookmarkEnd w:id="22"/>
    <w:bookmarkStart w:id="23" w:name="исходные-данные"/>
    <w:p>
      <w:pPr>
        <w:pStyle w:val="Heading1"/>
      </w:pPr>
      <w:r>
        <w:t xml:space="preserve">Исходные данные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Форма сигнала: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</m:e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τ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τ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</w:p>
    <w:p>
      <w:pPr>
        <w:numPr>
          <w:ilvl w:val="0"/>
          <w:numId w:val="1002"/>
        </w:numPr>
      </w:pPr>
      <w:r>
        <w:rPr>
          <w:bCs/>
          <w:b/>
        </w:rPr>
        <w:t xml:space="preserve">Параметры: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В,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с (2 мкс).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Сопротивление нагрузки: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Ом (для контекста энергетических оценок).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Допущение:</w:t>
      </w:r>
      <w:r>
        <w:t xml:space="preserve"> </w:t>
      </w:r>
      <w:r>
        <w:t xml:space="preserve">Сигнал продолжается на всю ось чётным образом (симметричная огибающая импульса).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Условия применимости:</w:t>
      </w:r>
      <w:r>
        <w:t xml:space="preserve"> </w:t>
      </w:r>
      <w:r>
        <w:t xml:space="preserve">Функция кусочно-непрерывна, имеет конечное число точек разрыва первого рода и абсолютно интегрируема на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(</w:t>
      </w:r>
      <m:oMath>
        <m:nary>
          <m:naryPr>
            <m:chr m:val="∫"/>
            <m:limLoc m:val="subSup"/>
            <m:subHide m:val="0"/>
            <m:supHide m:val="0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u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e>
            </m:d>
          </m:e>
        </m:nary>
        <m:r>
          <m:t>d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), что гарантирует справедливость теоремы Фурье.</w:t>
      </w:r>
    </w:p>
    <w:bookmarkEnd w:id="23"/>
    <w:bookmarkStart w:id="24" w:name="задания-для-студентов"/>
    <w:p>
      <w:pPr>
        <w:pStyle w:val="Heading1"/>
      </w:pPr>
      <w:r>
        <w:t xml:space="preserve">Задания для студентов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Математическое моделирование.</w:t>
      </w:r>
      <w:r>
        <w:t xml:space="preserve"> </w:t>
      </w:r>
      <w:r>
        <w:t xml:space="preserve">Запишите интеграл Фурье для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вещественной форме. Вычислите спектральные коэффициенты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. Запишите выражение для спектральной плотности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Анализ сходимости.</w:t>
      </w:r>
      <w:r>
        <w:t xml:space="preserve"> </w:t>
      </w:r>
      <w:r>
        <w:t xml:space="preserve">Исследуйте поведение интеграла Фурье в точках разрыва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τ</m:t>
        </m:r>
        <m:r>
          <m:rPr>
            <m:sty m:val="p"/>
          </m:rPr>
          <m:t>/</m:t>
        </m:r>
        <m:r>
          <m:t>2</m:t>
        </m:r>
      </m:oMath>
      <w:r>
        <w:t xml:space="preserve">. Вычислите предельное значение и объясните физический смысл осцилляций вблизи фронта (эффект Гиббса).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Оценка полосы пропускания.</w:t>
      </w:r>
      <w:r>
        <w:t xml:space="preserve"> </w:t>
      </w:r>
      <w:r>
        <w:t xml:space="preserve">Найдите частоту первого нуля спектра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null</m:t>
            </m:r>
          </m:sub>
        </m:sSub>
      </m:oMath>
      <w:r>
        <w:t xml:space="preserve"> </w:t>
      </w:r>
      <w:r>
        <w:t xml:space="preserve">и частоту среза по уровню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дБ (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  <m:r>
              <m:rPr>
                <m:nor/>
                <m:sty m:val="p"/>
              </m:rPr>
              <m:t>dB</m:t>
            </m:r>
          </m:sub>
        </m:sSub>
      </m:oMath>
      <w:r>
        <w:t xml:space="preserve">). Обоснуйте выбор полосы канала для передачи импульса с сохранением формы фронтов.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Инженерное проектирование (АЦП).</w:t>
      </w:r>
      <w:r>
        <w:t xml:space="preserve"> </w:t>
      </w:r>
      <w:r>
        <w:t xml:space="preserve">Рассчитайте минимальную частоту дискретизации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по теореме Котельникова, исходя из эффективной полосы спектра. Учтите запас на антиалиасинговый фильтр.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Визуализация и погрешность.</w:t>
      </w:r>
      <w:r>
        <w:t xml:space="preserve"> </w:t>
      </w:r>
      <w:r>
        <w:t xml:space="preserve">Запишите выражение для частичной суммы интеграла Фурье с ограничением спектра до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null</m:t>
            </m:r>
          </m:sub>
        </m:sSub>
      </m:oMath>
      <w:r>
        <w:t xml:space="preserve">. Оцените максимальное относительное отклонение от прямоугольной формы на фронте.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Фильтрация и искажения.</w:t>
      </w:r>
      <w:r>
        <w:t xml:space="preserve"> </w:t>
      </w:r>
      <w:r>
        <w:t xml:space="preserve">Как изменится временная форма импульса, если он пройдёт через идеальный ФНЧ с полосой</w:t>
      </w:r>
      <w:r>
        <w:t xml:space="preserve"> </w:t>
      </w:r>
      <m:oMath>
        <m:r>
          <m:t>Δ</m:t>
        </m:r>
        <m:r>
          <m:t>f</m:t>
        </m:r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null</m:t>
            </m:r>
          </m:sub>
        </m:sSub>
      </m:oMath>
      <w:r>
        <w:t xml:space="preserve">? Свяжите результат с проблемой межсимвольной интерференции (ISI) в цифровых линиях связи.</w:t>
      </w:r>
    </w:p>
    <w:bookmarkEnd w:id="24"/>
    <w:bookmarkStart w:id="25" w:name="методические-рекомендации"/>
    <w:p>
      <w:pPr>
        <w:pStyle w:val="Heading1"/>
      </w:pPr>
      <w:r>
        <w:t xml:space="preserve">Методические рекомендации</w:t>
      </w:r>
    </w:p>
    <w:p>
      <w:pPr>
        <w:numPr>
          <w:ilvl w:val="0"/>
          <w:numId w:val="1004"/>
        </w:numPr>
      </w:pPr>
      <w:r>
        <w:t xml:space="preserve">Используйте формулы интеграла Фурье для чётной функции из лекции: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t>t</m:t>
            </m:r>
          </m:e>
        </m:d>
        <m:r>
          <m:t>d</m:t>
        </m:r>
        <m:r>
          <m:t>t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Спектральная плотность в инженерной практике часто определяется без множителя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t xml:space="preserve">. В рамках курса строго придерживайтесь лекционного определения: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a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t>t</m:t>
            </m:r>
          </m:e>
        </m:d>
        <m:r>
          <m:t>d</m:t>
        </m:r>
        <m:r>
          <m:t>λ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В точках разрыва первого рода интеграл Фурье сходится к среднему арифметическому односторонних пределов: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0</m:t>
                </m:r>
              </m:e>
            </m:d>
            <m:r>
              <m:rPr>
                <m:sty m:val="p"/>
              </m:rPr>
              <m:t>+</m:t>
            </m:r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</m:e>
            </m:d>
          </m:num>
          <m:den>
            <m:r>
              <m:t>2</m:t>
            </m:r>
          </m:den>
        </m:f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Частота связана с параметром интегрирования соотношением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  <m:r>
          <m:t>π</m:t>
        </m:r>
        <m:r>
          <m:t>f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Эффект Гиббса для прямоугольного разрыва приводит к перерегулированию</w:t>
      </w:r>
      <w:r>
        <w:t xml:space="preserve"> </w:t>
      </w:r>
      <m:oMath>
        <m:r>
          <m:rPr>
            <m:sty m:val="p"/>
          </m:rPr>
          <m:t>≈</m:t>
        </m:r>
        <m:r>
          <m:t>8.95</m:t>
        </m:r>
        <m:r>
          <m:rPr>
            <m:sty m:val="p"/>
          </m:rPr>
          <m:t>%</m:t>
        </m:r>
      </m:oMath>
      <w:r>
        <w:t xml:space="preserve"> </w:t>
      </w:r>
      <w:r>
        <w:t xml:space="preserve">от величины скачка, не зависящему от числа учитываемых гармоник.</w:t>
      </w:r>
    </w:p>
    <w:p>
      <w:pPr>
        <w:numPr>
          <w:ilvl w:val="0"/>
          <w:numId w:val="1004"/>
        </w:numPr>
      </w:pPr>
      <w:r>
        <w:t xml:space="preserve">Теорема Котельникова: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2</m:t>
        </m:r>
        <m:sSub>
          <m:e>
            <m:r>
              <m:t>f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– верхняя граница эффективной полосы спектра.</w:t>
      </w:r>
    </w:p>
    <w:bookmarkEnd w:id="25"/>
    <w:bookmarkStart w:id="32" w:name="подробное-решение-ключевые-этапы"/>
    <w:p>
      <w:pPr>
        <w:pStyle w:val="Heading1"/>
      </w:pPr>
      <w:r>
        <w:t xml:space="preserve">Подробное решение (ключевые этапы)</w:t>
      </w:r>
    </w:p>
    <w:bookmarkStart w:id="26" w:name="спектральное-представление"/>
    <w:p>
      <w:pPr>
        <w:pStyle w:val="Heading2"/>
      </w:pPr>
      <w:r>
        <w:t xml:space="preserve">Спектральное представление</w:t>
      </w:r>
    </w:p>
    <w:p>
      <w:pPr>
        <w:pStyle w:val="FirstParagraph"/>
      </w:pPr>
      <w:r>
        <w:t xml:space="preserve">Функция чётная, следовательно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Вычисляем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t>τ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nary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π</m:t>
              </m:r>
            </m:den>
          </m:f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λ</m:t>
                          </m:r>
                          <m:r>
                            <m:t>t</m:t>
                          </m:r>
                        </m:e>
                      </m:d>
                    </m:num>
                    <m:den>
                      <m:r>
                        <m:t>λ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τ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π</m:t>
              </m:r>
              <m:r>
                <m:t>λ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λ</m:t>
                  </m:r>
                  <m:r>
                    <m:t>τ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Интеграл Фурье: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λ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λ</m:t>
                  </m:r>
                </m:den>
              </m:f>
            </m:e>
          </m:nary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  <m:r>
                <m:t>t</m:t>
              </m:r>
            </m:e>
          </m:d>
          <m:r>
            <m:t>d</m:t>
          </m:r>
          <m:r>
            <m:t>λ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Спектральная плотность имеет вид</w:t>
      </w:r>
      <w:r>
        <w:t xml:space="preserve"> </w:t>
      </w:r>
      <m:oMath>
        <m:r>
          <m:rPr>
            <m:nor/>
            <m:sty m:val="p"/>
          </m:rPr>
          <m:t>sinc</m:t>
        </m:r>
      </m:oMath>
      <w:r>
        <w:t xml:space="preserve">-функции с бесконечными боковыми лепестками.</w:t>
      </w:r>
    </w:p>
    <w:bookmarkEnd w:id="26"/>
    <w:bookmarkStart w:id="27" w:name="анализ-сходимости-в-точках-разрыва"/>
    <w:p>
      <w:pPr>
        <w:pStyle w:val="Heading2"/>
      </w:pPr>
      <w:r>
        <w:t xml:space="preserve">Анализ сходимости в точках разрыва</w:t>
      </w:r>
    </w:p>
    <w:p>
      <w:pPr>
        <w:pStyle w:val="FirstParagraph"/>
      </w:pPr>
      <w:r>
        <w:t xml:space="preserve">В точке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τ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функция имеет разрыв первого рода: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По теореме Фурье интеграл сходится к: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2.5</m:t>
          </m:r>
          <m:r>
            <m:rPr>
              <m:nor/>
              <m:sty m:val="p"/>
            </m:rPr>
            <m:t> В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частичном суммировании (ограничении верхнего предела интегрирования) возникают незатухающие осцилляции. Относительная амплитуда первого выброса составляет</w:t>
      </w:r>
      <w:r>
        <w:t xml:space="preserve"> </w:t>
      </w:r>
      <m:oMath>
        <m:r>
          <m:rPr>
            <m:sty m:val="p"/>
          </m:rPr>
          <m:t>≈</m:t>
        </m:r>
        <m:r>
          <m:t>8.95</m:t>
        </m:r>
        <m:r>
          <m:rPr>
            <m:sty m:val="p"/>
          </m:rPr>
          <m:t>%</m:t>
        </m:r>
      </m:oMath>
      <w:r>
        <w:t xml:space="preserve"> </w:t>
      </w:r>
      <w:r>
        <w:t xml:space="preserve">от величины скачка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 что математически строго следует из свойств интеграла Дирихле.</w:t>
      </w:r>
    </w:p>
    <w:bookmarkEnd w:id="27"/>
    <w:bookmarkStart w:id="28" w:name="оценка-полосы-пропускания"/>
    <w:p>
      <w:pPr>
        <w:pStyle w:val="Heading2"/>
      </w:pPr>
      <w:r>
        <w:t xml:space="preserve">Оценка полосы пропускания</w:t>
      </w:r>
    </w:p>
    <w:p>
      <w:pPr>
        <w:pStyle w:val="FirstParagraph"/>
      </w:pPr>
      <w:r>
        <w:t xml:space="preserve">Первый нуль спектра определяется условием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null</m:t>
            </m:r>
          </m:sub>
        </m:sSub>
        <m:r>
          <m:t>τ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Отсюда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null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τ</m:t>
            </m:r>
          </m:den>
        </m:f>
      </m:oMath>
      <w:r>
        <w:t xml:space="preserve">, а частота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null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λ</m:t>
                </m:r>
              </m:e>
              <m:sub>
                <m:r>
                  <m:rPr>
                    <m:nor/>
                    <m:sty m:val="p"/>
                  </m:rPr>
                  <m:t>null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τ</m:t>
            </m:r>
          </m:den>
        </m:f>
        <m:r>
          <m:rPr>
            <m:sty m:val="p"/>
          </m:rPr>
          <m:t>=</m:t>
        </m:r>
        <m:r>
          <m:t>500</m:t>
        </m:r>
        <m:r>
          <m:rPr>
            <m:nor/>
            <m:sty m:val="p"/>
          </m:rPr>
          <m:t> кГц</m:t>
        </m:r>
      </m:oMath>
      <w:r>
        <w:t xml:space="preserve">.</w:t>
      </w:r>
      <w:r>
        <w:t xml:space="preserve"> </w:t>
      </w:r>
      <w:r>
        <w:t xml:space="preserve">Уровень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дБ соответствует падению амплитуды в</w:t>
      </w:r>
      <w:r>
        <w:t xml:space="preserve"> </w:t>
      </w:r>
      <m:oMath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раз. Численное решение уравнения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nor/>
                <m:sty m:val="p"/>
              </m:rPr>
              <m:t>sinc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даёт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  <m:r>
              <m:rPr>
                <m:nor/>
                <m:sty m:val="p"/>
              </m:rPr>
              <m:t>dB</m:t>
            </m:r>
          </m:sub>
        </m:sSub>
        <m:r>
          <m:rPr>
            <m:sty m:val="p"/>
          </m:rPr>
          <m:t>≈</m:t>
        </m:r>
        <m:r>
          <m:t>0.443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≈</m:t>
        </m:r>
        <m:r>
          <m:t>221.5</m:t>
        </m:r>
        <m:r>
          <m:rPr>
            <m:nor/>
            <m:sty m:val="p"/>
          </m:rPr>
          <m:t> кГц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Инженерный вывод:</w:t>
      </w:r>
      <w:r>
        <w:t xml:space="preserve"> </w:t>
      </w:r>
      <w:r>
        <w:t xml:space="preserve">Для передачи без существенного искажения фронтов требуется полоса не менее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null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кГц.</w:t>
      </w:r>
    </w:p>
    <w:bookmarkEnd w:id="28"/>
    <w:bookmarkStart w:id="29" w:name="расчёт-частоты-дискретизации-ацп"/>
    <w:p>
      <w:pPr>
        <w:pStyle w:val="Heading2"/>
      </w:pPr>
      <w:r>
        <w:t xml:space="preserve">Расчёт частоты дискретизации АЦП</w:t>
      </w:r>
    </w:p>
    <w:p>
      <w:pPr>
        <w:pStyle w:val="FirstParagraph"/>
      </w:pPr>
      <w:r>
        <w:t xml:space="preserve">По теореме Котельникова минимальная частота дискретизации: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2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null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 МГц</m:t>
        </m:r>
      </m:oMath>
      <w:r>
        <w:t xml:space="preserve">.</w:t>
      </w:r>
      <w:r>
        <w:t xml:space="preserve"> </w:t>
      </w:r>
      <w:r>
        <w:t xml:space="preserve">С учётом реальных антиалиасинговых фильтров (скат</w:t>
      </w:r>
      <w:r>
        <w:t xml:space="preserve"> </w:t>
      </w:r>
      <m:oMath>
        <m:r>
          <m:t>20</m:t>
        </m:r>
        <m:r>
          <m:rPr>
            <m:sty m:val="p"/>
          </m:rPr>
          <m:t>−</m:t>
        </m:r>
        <m:r>
          <m:t>40</m:t>
        </m:r>
      </m:oMath>
      <w:r>
        <w:t xml:space="preserve"> </w:t>
      </w:r>
      <w:r>
        <w:t xml:space="preserve">дБ/дек) применяется запас</w:t>
      </w:r>
      <w:r>
        <w:t xml:space="preserve"> </w:t>
      </w:r>
      <m:oMath>
        <m:r>
          <m:t>20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%</m:t>
        </m:r>
      </m:oMath>
      <w:r>
        <w:t xml:space="preserve">: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1.2</m:t>
        </m:r>
        <m:r>
          <m:rPr>
            <m:sty m:val="p"/>
          </m:rPr>
          <m:t>−</m:t>
        </m:r>
        <m:r>
          <m:t>1.3</m:t>
        </m:r>
        <m:r>
          <m:rPr>
            <m:nor/>
            <m:sty m:val="p"/>
          </m:rPr>
          <m:t> МГц</m:t>
        </m:r>
      </m:oMath>
      <w:r>
        <w:t xml:space="preserve">.</w:t>
      </w:r>
    </w:p>
    <w:bookmarkEnd w:id="29"/>
    <w:bookmarkStart w:id="30" w:name="погрешность-реконструкции"/>
    <w:p>
      <w:pPr>
        <w:pStyle w:val="Heading2"/>
      </w:pPr>
      <w:r>
        <w:t xml:space="preserve">Погрешность реконструкции</w:t>
      </w:r>
    </w:p>
    <w:p>
      <w:pPr>
        <w:pStyle w:val="FirstParagraph"/>
      </w:pPr>
      <w:r>
        <w:t xml:space="preserve">Частичная сумма с ограничением спектра до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null</m:t>
            </m:r>
          </m:sub>
        </m:sSub>
      </m:oMath>
      <w:r>
        <w:t xml:space="preserve"> </w:t>
      </w:r>
      <w:r>
        <w:t xml:space="preserve">записывается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Λ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t>Λ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λ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λ</m:t>
                  </m:r>
                </m:den>
              </m:f>
            </m:e>
          </m:nary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  <m:r>
                <m:t>t</m:t>
              </m:r>
            </m:e>
          </m:d>
          <m:r>
            <m:t>d</m:t>
          </m:r>
          <m:r>
            <m:t>λ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Максимальное отклонение наблюдается вблизи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τ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 равно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0.0895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0.45</m:t>
        </m:r>
      </m:oMath>
      <w:r>
        <w:t xml:space="preserve"> </w:t>
      </w:r>
      <w:r>
        <w:t xml:space="preserve">В. Относительная ошибка на фронте</w:t>
      </w:r>
      <w:r>
        <w:t xml:space="preserve"> </w:t>
      </w:r>
      <m:oMath>
        <m:r>
          <m:rPr>
            <m:sty m:val="p"/>
          </m:rPr>
          <m:t>≈</m:t>
        </m:r>
        <m:r>
          <m:t>9</m:t>
        </m:r>
        <m:r>
          <m:rPr>
            <m:sty m:val="p"/>
          </m:rPr>
          <m:t>%</m:t>
        </m:r>
      </m:oMath>
      <w:r>
        <w:t xml:space="preserve">, что требует применения оконных функций или формирования импульсов с плавными фронтами (raised-cosine) в реальных трактах.</w:t>
      </w:r>
    </w:p>
    <w:bookmarkEnd w:id="30"/>
    <w:bookmarkStart w:id="31" w:name="влияние-фильтрации"/>
    <w:p>
      <w:pPr>
        <w:pStyle w:val="Heading2"/>
      </w:pPr>
      <w:r>
        <w:t xml:space="preserve">Влияние фильтрации</w:t>
      </w:r>
    </w:p>
    <w:p>
      <w:pPr>
        <w:pStyle w:val="FirstParagraph"/>
      </w:pPr>
      <w:r>
        <w:t xml:space="preserve">Идеальный ФНЧ с</w:t>
      </w:r>
      <w:r>
        <w:t xml:space="preserve"> </w:t>
      </w:r>
      <m:oMath>
        <m:r>
          <m:t>Δ</m:t>
        </m:r>
        <m:r>
          <m:t>f</m:t>
        </m:r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null</m:t>
            </m:r>
          </m:sub>
        </m:sSub>
      </m:oMath>
      <w:r>
        <w:t xml:space="preserve"> </w:t>
      </w:r>
      <w:r>
        <w:t xml:space="preserve">обрезает высокочастотные компоненты, отвечающие за крутизну фронтов. Во временной области это эквивалентно свёртке прямоугольного импульса с ядром</w:t>
      </w:r>
      <w:r>
        <w:t xml:space="preserve"> </w:t>
      </w:r>
      <m:oMath>
        <m:r>
          <m:rPr>
            <m:nor/>
            <m:sty m:val="p"/>
          </m:rPr>
          <m:t>sinc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f</m:t>
            </m:r>
            <m:r>
              <m:rPr>
                <m:sty m:val="p"/>
              </m:rPr>
              <m:t>⋅</m:t>
            </m:r>
            <m:r>
              <m:t>t</m:t>
            </m:r>
          </m:e>
        </m:d>
      </m:oMath>
      <w:r>
        <w:t xml:space="preserve">. Результат – уширение импульса, появление затухающих осцилляций ("звон") и наложение хвостов на соседние временные слоты (межсимвольная интерференция).</w:t>
      </w:r>
    </w:p>
    <w:p>
      <w:pPr>
        <w:pStyle w:val="BodyText"/>
      </w:pPr>
      <w:r>
        <w:rPr>
          <w:bCs/>
          <w:b/>
        </w:rPr>
        <w:t xml:space="preserve">Инженерный вывод:</w:t>
      </w:r>
      <w:r>
        <w:t xml:space="preserve"> </w:t>
      </w:r>
      <w:r>
        <w:t xml:space="preserve">Это фундаментальное ограничение</w:t>
      </w:r>
      <w:r>
        <w:t xml:space="preserve"> </w:t>
      </w:r>
      <m:oMath>
        <m:r>
          <m:t>T</m:t>
        </m:r>
        <m:r>
          <m:rPr>
            <m:sty m:val="p"/>
          </m:rPr>
          <m:t>⋅</m:t>
        </m:r>
        <m:r>
          <m:t>Δ</m:t>
        </m:r>
        <m:r>
          <m:t>f</m:t>
        </m:r>
        <m:r>
          <m:rPr>
            <m:sty m:val="p"/>
          </m:rPr>
          <m:t>≥</m:t>
        </m:r>
        <m:r>
          <m:rPr>
            <m:nor/>
            <m:sty m:val="p"/>
          </m:rPr>
          <m:t>const</m:t>
        </m:r>
      </m:oMath>
      <w:r>
        <w:t xml:space="preserve"> </w:t>
      </w:r>
      <w:r>
        <w:t xml:space="preserve">диктует необходимость компромисса между скоростью передачи и занимаемой полосой.</w:t>
      </w:r>
    </w:p>
    <w:bookmarkEnd w:id="31"/>
    <w:bookmarkEnd w:id="32"/>
    <w:bookmarkStart w:id="33" w:name="инженерная-интерпретация-и-выводы"/>
    <w:p>
      <w:pPr>
        <w:pStyle w:val="Heading1"/>
      </w:pPr>
      <w:r>
        <w:t xml:space="preserve">Инженерная интерпретация и выводы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Непрерывный спектр vs Дискретный:</w:t>
      </w:r>
      <w:r>
        <w:t xml:space="preserve"> </w:t>
      </w:r>
      <w:r>
        <w:t xml:space="preserve">Непериодичность импульса переводит спектр из набора линий в непрерывную плотность. Это требует расчёта не "гармоник", а эффективной полосы пропускания для согласования трактов.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Гладкость и скорость убывания:</w:t>
      </w:r>
      <w:r>
        <w:t xml:space="preserve"> </w:t>
      </w:r>
      <w:r>
        <w:t xml:space="preserve">Разрыв первой производной (излом) или самой функции (скачок) определяет степенной закон убывания спектра (</w:t>
      </w:r>
      <m:oMath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). Крутые фронты = широкий спектр = высокие требования к линейности усилителей.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Эффект Гиббса в ЦОС:</w:t>
      </w:r>
      <w:r>
        <w:t xml:space="preserve"> </w:t>
      </w:r>
      <w:r>
        <w:t xml:space="preserve">При цифровом синтезе фильтров или восстановлении сигналов через БПФ искусственное усечение спектра неизбежно вызывает перерегулирование</w:t>
      </w:r>
      <w:r>
        <w:t xml:space="preserve"> </w:t>
      </w:r>
      <m:oMath>
        <m:r>
          <m:rPr>
            <m:sty m:val="p"/>
          </m:rPr>
          <m:t>≈</m:t>
        </m:r>
        <m:r>
          <m:t>9</m:t>
        </m:r>
        <m:r>
          <m:rPr>
            <m:sty m:val="p"/>
          </m:rPr>
          <m:t>%</m:t>
        </m:r>
      </m:oMath>
      <w:r>
        <w:t xml:space="preserve">. В радиотехнике это компенсируется оконными функциями (Ханна, Блэкмана) и скруглением фронтов.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Дискретизация и алиасинг:</w:t>
      </w:r>
      <w:r>
        <w:t xml:space="preserve"> </w:t>
      </w:r>
      <w:r>
        <w:t xml:space="preserve">Теорема Котельникова строго вытекает из ограниченности спектра. Пренебрежение запасом по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при наличии бесконечных "хвостов"</w:t>
      </w:r>
      <w:r>
        <w:t xml:space="preserve"> </w:t>
      </w:r>
      <m:oMath>
        <m:r>
          <m:rPr>
            <m:nor/>
            <m:sty m:val="p"/>
          </m:rPr>
          <m:t>sinc</m:t>
        </m:r>
      </m:oMath>
      <w:r>
        <w:t xml:space="preserve">-спектра приводит к необратимым искажениям (наложению спектров).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Связь с практикой:</w:t>
      </w:r>
      <w:r>
        <w:t xml:space="preserve"> </w:t>
      </w:r>
      <w:r>
        <w:t xml:space="preserve">Интеграл Фурье является математическим фундаментом для проектирования согласованных фильтров, расчёта энергетического бюджета канала, оценки вероятности ошибки при когерентном приёме и синтеза импульсных кодов с минимальной внеполосной мощностью.</w:t>
      </w:r>
    </w:p>
    <w:bookmarkEnd w:id="33"/>
    <w:bookmarkStart w:id="34" w:name="критерии-оценки"/>
    <w:p>
      <w:pPr>
        <w:pStyle w:val="Heading1"/>
      </w:pPr>
      <w:r>
        <w:t xml:space="preserve">Критерии оценки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Корректность математических выкладок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Верное применение формул интеграла Фурье, точное вычисление несобственных интегралов, учёт чётности функции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Анализ сходимости и эффекта Гиббса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Строгое применение теоремы Фурье в точках разрыва, корректная оценка перерегулирования, ссылка на интеграл Дирихле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Инженерные расчёты (полоса, АЦП)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Верный переход от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к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обоснованный выбор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с учётом запаса, физическая размерность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Интерпретация фильтрации и ISI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усечения спектра со свёрткой во времени, объяснение уширения и "звона", упоминание компромисса время-полоса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Оформление и выводы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Чёткая структура, наличие графиков/схем, логичные и технически обоснованные рекомендации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Шкала оценивания: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13–15 баллов:</w:t>
      </w:r>
      <w:r>
        <w:t xml:space="preserve"> </w:t>
      </w:r>
      <w:r>
        <w:t xml:space="preserve">Отлично. Глубокая связь математического аппарата с инженерной практикой, безупречные расчёты.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10–12 баллов:</w:t>
      </w:r>
      <w:r>
        <w:t xml:space="preserve"> </w:t>
      </w:r>
      <w:r>
        <w:t xml:space="preserve">Хорошо. Верная математика, поверхностные или частично верные инженерные выводы.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7–9 баллов:</w:t>
      </w:r>
      <w:r>
        <w:t xml:space="preserve"> </w:t>
      </w:r>
      <w:r>
        <w:t xml:space="preserve">Удовлетворительно. Ошибки в вычислении коэффициентов или оценке полосы, слабая интерпретация Гиббса/ISI.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&lt; 7 баллов:</w:t>
      </w:r>
      <w:r>
        <w:t xml:space="preserve"> </w:t>
      </w:r>
      <w:r>
        <w:t xml:space="preserve">Неудовлетворительно. Не выполнено основное задание, нарушены условия теоремы Фурье или теоремы отсчётов.</w:t>
      </w:r>
    </w:p>
    <w:bookmarkEnd w:id="34"/>
    <w:bookmarkStart w:id="35" w:name="вопросы-для-защитыдискуссии"/>
    <w:p>
      <w:pPr>
        <w:pStyle w:val="Heading1"/>
      </w:pPr>
      <w:r>
        <w:t xml:space="preserve">Вопросы для защиты/дискуссии</w:t>
      </w:r>
    </w:p>
    <w:p>
      <w:pPr>
        <w:numPr>
          <w:ilvl w:val="0"/>
          <w:numId w:val="1007"/>
        </w:numPr>
      </w:pPr>
      <w:r>
        <w:t xml:space="preserve">Как изменится вид интеграла Фурье и физический смысл спектра, если сигнал продолжить нечётным образом? Какие артефакты это внесёт в моделирование каузальных радиосигналов?</w:t>
      </w:r>
    </w:p>
    <w:p>
      <w:pPr>
        <w:numPr>
          <w:ilvl w:val="0"/>
          <w:numId w:val="1007"/>
        </w:numPr>
      </w:pPr>
      <w:r>
        <w:t xml:space="preserve">Почему в современных стандартах связи (4G/5G, Wi-Fi) избегают идеальных прямоугольных импульсов? Как математически обосновывается выбор импульсов Найквиста (raised-cosine)?</w:t>
      </w:r>
    </w:p>
    <w:p>
      <w:pPr>
        <w:numPr>
          <w:ilvl w:val="0"/>
          <w:numId w:val="1007"/>
        </w:numPr>
      </w:pPr>
      <w:r>
        <w:t xml:space="preserve">Если длительность импульса уменьшить в 2 раза (</w:t>
      </w:r>
      <m:oMath>
        <m:r>
          <m:t>τ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τ</m:t>
        </m:r>
        <m:r>
          <m:rPr>
            <m:sty m:val="p"/>
          </m:rPr>
          <m:t>/</m:t>
        </m:r>
        <m:r>
          <m:t>2</m:t>
        </m:r>
      </m:oMath>
      <w:r>
        <w:t xml:space="preserve">), как изменится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null</m:t>
            </m:r>
          </m:sub>
        </m:sSub>
      </m:oMath>
      <w:r>
        <w:t xml:space="preserve"> </w:t>
      </w:r>
      <w:r>
        <w:t xml:space="preserve">и требуемая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? Продемонстрируйте свойство подобия преобразования Фурье.</w:t>
      </w:r>
    </w:p>
    <w:p>
      <w:pPr>
        <w:numPr>
          <w:ilvl w:val="0"/>
          <w:numId w:val="1007"/>
        </w:numPr>
      </w:pPr>
      <w:r>
        <w:t xml:space="preserve">Как условие абсолютной интегрируемости</w:t>
      </w:r>
      <w:r>
        <w:t xml:space="preserve"> </w:t>
      </w:r>
      <m:oMath>
        <m:nary>
          <m:naryPr>
            <m:chr m:val="∫"/>
            <m:limLoc m:val="subSup"/>
            <m:subHide m:val="0"/>
            <m:supHide m:val="0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u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e>
            </m:d>
          </m:e>
        </m:nary>
        <m:r>
          <m:t>d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связано с понятием "сигнал с конечной энергией" (energy signal) в радиотехнике? Применим ли аппарат интеграла Фурье к периодической несущей?</w:t>
      </w:r>
    </w:p>
    <w:p>
      <w:pPr>
        <w:numPr>
          <w:ilvl w:val="0"/>
          <w:numId w:val="1007"/>
        </w:numPr>
      </w:pPr>
      <w:r>
        <w:t xml:space="preserve">При каких условиях интеграл Фурье можно дифференцировать почленно? Как это связано с проектированием широкополосных усилителей и оценкой скорости нарастания фронта (slew rate)?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2026-05-17T17:48:09Z</dcterms:created>
  <dcterms:modified xsi:type="dcterms:W3CDTF">2026-05-17T17:48:09Z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