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rPr>
          <w:rFonts w:ascii="Arial" w:cs="Arial" w:eastAsia="Arial" w:hAnsi="Arial"/>
          <w:b/>
          <w:bCs/>
          <w:color w:val="B01319"/>
          <w:spacing w:val="30"/>
          <w:sz w:val="18"/>
          <w:szCs w:val="18"/>
        </w:rPr>
        <w:t xml:space="preserve">DESIGN REVIEW</w:t>
      </w:r>
    </w:p>
    <w:p>
      <w:pPr>
        <w:spacing w:after="120"/>
      </w:pPr>
      <w:r>
        <w:rPr>
          <w:rFonts w:ascii="Arial" w:cs="Arial" w:eastAsia="Arial" w:hAnsi="Arial"/>
          <w:b/>
          <w:bCs/>
          <w:color w:val="0A0A0A"/>
          <w:sz w:val="56"/>
          <w:szCs w:val="56"/>
        </w:rPr>
        <w:t xml:space="preserve">Vitale Bros. Website</w:t>
      </w:r>
    </w:p>
    <w:p>
      <w:pPr>
        <w:spacing w:after="200"/>
      </w:pPr>
      <w:r>
        <w:rPr>
          <w:rFonts w:ascii="Georgia" w:cs="Georgia" w:eastAsia="Georgia" w:hAnsi="Georgia"/>
          <w:i/>
          <w:iCs/>
          <w:color w:val="606060"/>
          <w:sz w:val="24"/>
          <w:szCs w:val="24"/>
        </w:rPr>
        <w:t xml:space="preserve">A review of the in-progress redesign, with prioritized recommendations.</w:t>
      </w:r>
    </w:p>
    <w:p>
      <w:pPr>
        <w:pBdr>
          <w:bottom w:val="single" w:color="B01319" w:sz="12" w:space="6"/>
        </w:pBdr>
        <w:spacing w:after="480"/>
      </w:pPr>
      <w:r>
        <w:rPr>
          <w:rFonts w:ascii="Arial" w:cs="Arial" w:eastAsia="Arial" w:hAnsi="Arial"/>
          <w:color w:val="606060"/>
          <w:sz w:val="18"/>
          <w:szCs w:val="18"/>
        </w:rPr>
        <w:t xml:space="preserve">Prepared for Marianne  |  April 2026</w:t>
      </w:r>
    </w:p>
    <w:p>
      <w:pPr>
        <w:pStyle w:val="Heading1"/>
        <w:spacing w:after="200" w:before="320"/>
      </w:pPr>
      <w:r>
        <w:rPr>
          <w:rFonts w:ascii="Arial" w:cs="Arial" w:eastAsia="Arial" w:hAnsi="Arial"/>
          <w:b/>
          <w:bCs/>
          <w:color w:val="0A0A0A"/>
          <w:sz w:val="36"/>
          <w:szCs w:val="36"/>
        </w:rPr>
        <w:t xml:space="preserve">Executive summary</w:t>
      </w:r>
    </w:p>
    <w:p>
      <w:pPr>
        <w:spacing w:after="160" w:line="320"/>
      </w:pPr>
      <w:r>
        <w:rPr>
          <w:rFonts w:ascii="Georgia" w:cs="Georgia" w:eastAsia="Georgia" w:hAnsi="Georgia"/>
          <w:sz w:val="22"/>
          <w:szCs w:val="22"/>
        </w:rPr>
        <w:t xml:space="preserve">The new site is a meaningful upgrade over a typical small-business website. It has a clear information architecture, a strong brand color, a modern hero treatment, and a consistent visual language across pages. The bones are good. The feeling I suspect you’re picking up on, that something isn’t quite right, comes from two places.</w:t>
      </w:r>
    </w:p>
    <w:p>
      <w:pPr>
        <w:spacing w:after="160" w:line="320"/>
      </w:pPr>
      <w:r>
        <w:rPr>
          <w:rFonts w:ascii="Georgia" w:cs="Georgia" w:eastAsia="Georgia" w:hAnsi="Georgia"/>
          <w:sz w:val="22"/>
          <w:szCs w:val="22"/>
        </w:rPr>
        <w:t xml:space="preserve">First, the aesthetic is pulling too hard from the Apple, Netflix, and Hulu playbook (the stylesheet literally calls this out as inspiration). That vocabulary works beautifully for tech brands selling devices or streaming, but it flattens a brand whose core product is vibrant, outdoor, Floridian, hand-painted color. The site looks like a SaaS company that happens to sell murals. It should look like a mural studio that happens to have a great website.</w:t>
      </w:r>
    </w:p>
    <w:p>
      <w:pPr>
        <w:spacing w:after="160" w:line="320"/>
      </w:pPr>
      <w:r>
        <w:rPr>
          <w:rFonts w:ascii="Georgia" w:cs="Georgia" w:eastAsia="Georgia" w:hAnsi="Georgia"/>
          <w:sz w:val="22"/>
          <w:szCs w:val="22"/>
        </w:rPr>
        <w:t xml:space="preserve">Second, the site is under-told. Vitale Bros. has 30 years of stories, national clients, press coverage, live painting events, a real crew with real faces, and a founding story that starts with a sketch on a napkin. Today’s homepage surfaces maybe 20 percent of that. The testimonials are placeholders. Three projects stand in for 500. The press is hidden on a side page. The crew shows up as two-letter monograms.</w:t>
      </w:r>
    </w:p>
    <w:p>
      <w:pPr>
        <w:spacing w:after="160" w:line="320"/>
      </w:pPr>
      <w:r>
        <w:rPr>
          <w:rFonts w:ascii="Georgia" w:cs="Georgia" w:eastAsia="Georgia" w:hAnsi="Georgia"/>
          <w:sz w:val="22"/>
          <w:szCs w:val="22"/>
        </w:rPr>
        <w:t xml:space="preserve">The good news is that almost none of the fixes require redesigning the site from scratch. Most of this review is about filling in the real content, rebalancing a few layout choices, and letting the art breathe a little more.</w:t>
      </w:r>
    </w:p>
    <w:p>
      <w:pPr>
        <w:pStyle w:val="Heading1"/>
        <w:spacing w:after="200" w:before="320"/>
      </w:pPr>
      <w:r>
        <w:rPr>
          <w:rFonts w:ascii="Arial" w:cs="Arial" w:eastAsia="Arial" w:hAnsi="Arial"/>
          <w:b/>
          <w:bCs/>
          <w:color w:val="0A0A0A"/>
          <w:sz w:val="36"/>
          <w:szCs w:val="36"/>
        </w:rPr>
        <w:t xml:space="preserve">What’s working and should stay</w:t>
      </w:r>
    </w:p>
    <w:p>
      <w:pPr>
        <w:pStyle w:val="Heading3"/>
        <w:spacing w:after="120" w:before="220"/>
      </w:pPr>
      <w:r>
        <w:rPr>
          <w:rFonts w:ascii="Arial" w:cs="Arial" w:eastAsia="Arial" w:hAnsi="Arial"/>
          <w:b/>
          <w:bCs/>
          <w:color w:val="B01319"/>
          <w:sz w:val="24"/>
          <w:szCs w:val="24"/>
        </w:rPr>
        <w:t xml:space="preserve">Clear site structure</w:t>
      </w:r>
    </w:p>
    <w:p>
      <w:pPr>
        <w:spacing w:after="160" w:line="320"/>
      </w:pPr>
      <w:r>
        <w:rPr>
          <w:rFonts w:ascii="Georgia" w:cs="Georgia" w:eastAsia="Georgia" w:hAnsi="Georgia"/>
          <w:sz w:val="22"/>
          <w:szCs w:val="22"/>
        </w:rPr>
        <w:t xml:space="preserve">Home, About, Projects, ArtBeat, Contact is the right shape. ArtBeat as a name is memorable. The nav uses a single prominent CTA (Get in Touch) rather than burying it, which is correct.</w:t>
      </w:r>
    </w:p>
    <w:p>
      <w:pPr>
        <w:pStyle w:val="Heading3"/>
        <w:spacing w:after="120" w:before="220"/>
      </w:pPr>
      <w:r>
        <w:rPr>
          <w:rFonts w:ascii="Arial" w:cs="Arial" w:eastAsia="Arial" w:hAnsi="Arial"/>
          <w:b/>
          <w:bCs/>
          <w:color w:val="B01319"/>
          <w:sz w:val="24"/>
          <w:szCs w:val="24"/>
        </w:rPr>
        <w:t xml:space="preserve">Strong brand color and consistent design system</w:t>
      </w:r>
    </w:p>
    <w:p>
      <w:pPr>
        <w:spacing w:after="160" w:line="320"/>
      </w:pPr>
      <w:r>
        <w:rPr>
          <w:rFonts w:ascii="Georgia" w:cs="Georgia" w:eastAsia="Georgia" w:hAnsi="Georgia"/>
          <w:sz w:val="22"/>
          <w:szCs w:val="22"/>
        </w:rPr>
        <w:t xml:space="preserve">The Vitale red is used with discipline (red = action, link, emphasis; white = text) and the page chrome, buttons, kicker dots, and underline treatments all feel of a piece. That restraint will pay off as more content is added.</w:t>
      </w:r>
    </w:p>
    <w:p>
      <w:pPr>
        <w:pStyle w:val="Heading3"/>
        <w:spacing w:after="120" w:before="220"/>
      </w:pPr>
      <w:r>
        <w:rPr>
          <w:rFonts w:ascii="Arial" w:cs="Arial" w:eastAsia="Arial" w:hAnsi="Arial"/>
          <w:b/>
          <w:bCs/>
          <w:color w:val="B01319"/>
          <w:sz w:val="24"/>
          <w:szCs w:val="24"/>
        </w:rPr>
        <w:t xml:space="preserve">Solid typographic hierarchy</w:t>
      </w:r>
    </w:p>
    <w:p>
      <w:pPr>
        <w:spacing w:after="160" w:line="320"/>
      </w:pPr>
      <w:r>
        <w:rPr>
          <w:rFonts w:ascii="Georgia" w:cs="Georgia" w:eastAsia="Georgia" w:hAnsi="Georgia"/>
          <w:sz w:val="22"/>
          <w:szCs w:val="22"/>
        </w:rPr>
        <w:t xml:space="preserve">Bebas Neue for display, Oswald for subheads, Inter for body is a safe, legible stack. The clamp() type scaling will hold up well across screens.</w:t>
      </w:r>
    </w:p>
    <w:p>
      <w:pPr>
        <w:pStyle w:val="Heading3"/>
        <w:spacing w:after="120" w:before="220"/>
      </w:pPr>
      <w:r>
        <w:rPr>
          <w:rFonts w:ascii="Arial" w:cs="Arial" w:eastAsia="Arial" w:hAnsi="Arial"/>
          <w:b/>
          <w:bCs/>
          <w:color w:val="B01319"/>
          <w:sz w:val="24"/>
          <w:szCs w:val="24"/>
        </w:rPr>
        <w:t xml:space="preserve">Good hero concept (with a caveat)</w:t>
      </w:r>
    </w:p>
    <w:p>
      <w:pPr>
        <w:spacing w:after="160" w:line="320"/>
      </w:pPr>
      <w:r>
        <w:rPr>
          <w:rFonts w:ascii="Georgia" w:cs="Georgia" w:eastAsia="Georgia" w:hAnsi="Georgia"/>
          <w:sz w:val="22"/>
          <w:szCs w:val="22"/>
        </w:rPr>
        <w:t xml:space="preserve">The full-bleed cross-fading slideshow with Ken Burns zoom is the right instinct for this category: let the work introduce itself. The caveat is in the Layout section below.</w:t>
      </w:r>
    </w:p>
    <w:p>
      <w:pPr>
        <w:pStyle w:val="Heading3"/>
        <w:spacing w:after="120" w:before="220"/>
      </w:pPr>
      <w:r>
        <w:rPr>
          <w:rFonts w:ascii="Arial" w:cs="Arial" w:eastAsia="Arial" w:hAnsi="Arial"/>
          <w:b/>
          <w:bCs/>
          <w:color w:val="B01319"/>
          <w:sz w:val="24"/>
          <w:szCs w:val="24"/>
        </w:rPr>
        <w:t xml:space="preserve">Stats row adds instant credibility</w:t>
      </w:r>
    </w:p>
    <w:p>
      <w:pPr>
        <w:spacing w:after="160" w:line="320"/>
      </w:pPr>
      <w:r>
        <w:rPr>
          <w:rFonts w:ascii="Georgia" w:cs="Georgia" w:eastAsia="Georgia" w:hAnsi="Georgia"/>
          <w:sz w:val="22"/>
          <w:szCs w:val="22"/>
        </w:rPr>
        <w:t xml:space="preserve">30+ years, 500+ murals, 100+ brand partners is a clean, punchy social proof strip. It should stay on the homepage.</w:t>
      </w:r>
    </w:p>
    <w:p>
      <w:pPr>
        <w:pStyle w:val="Heading3"/>
        <w:spacing w:after="120" w:before="220"/>
      </w:pPr>
      <w:r>
        <w:rPr>
          <w:rFonts w:ascii="Arial" w:cs="Arial" w:eastAsia="Arial" w:hAnsi="Arial"/>
          <w:b/>
          <w:bCs/>
          <w:color w:val="B01319"/>
          <w:sz w:val="24"/>
          <w:szCs w:val="24"/>
        </w:rPr>
        <w:t xml:space="preserve">Project detail pages set up well</w:t>
      </w:r>
    </w:p>
    <w:p>
      <w:pPr>
        <w:spacing w:after="160" w:line="320"/>
      </w:pPr>
      <w:r>
        <w:rPr>
          <w:rFonts w:ascii="Georgia" w:cs="Georgia" w:eastAsia="Georgia" w:hAnsi="Georgia"/>
          <w:sz w:val="22"/>
          <w:szCs w:val="22"/>
        </w:rPr>
        <w:t xml:space="preserve">The cinematic full-bleed hero pattern on project-rays.html is the right move. Each project becomes a small story rather than a thumbnail, which is how mural work deserves to be shown.</w:t>
      </w:r>
    </w:p>
    <w:p>
      <w:pPr>
        <w:pStyle w:val="Heading1"/>
        <w:spacing w:after="200" w:before="320"/>
      </w:pPr>
      <w:r>
        <w:rPr>
          <w:rFonts w:ascii="Arial" w:cs="Arial" w:eastAsia="Arial" w:hAnsi="Arial"/>
          <w:b/>
          <w:bCs/>
          <w:color w:val="0A0A0A"/>
          <w:sz w:val="36"/>
          <w:szCs w:val="36"/>
        </w:rPr>
        <w:t xml:space="preserve">What to rework</w:t>
      </w:r>
    </w:p>
    <w:p>
      <w:pPr>
        <w:pStyle w:val="Heading2"/>
        <w:spacing w:after="140" w:before="280"/>
      </w:pPr>
      <w:r>
        <w:rPr>
          <w:rFonts w:ascii="Arial" w:cs="Arial" w:eastAsia="Arial" w:hAnsi="Arial"/>
          <w:b/>
          <w:bCs/>
          <w:color w:val="0A0A0A"/>
          <w:sz w:val="28"/>
          <w:szCs w:val="28"/>
        </w:rPr>
        <w:t xml:space="preserve">1. Visual identity</w:t>
      </w:r>
    </w:p>
    <w:p>
      <w:pPr>
        <w:pStyle w:val="Heading3"/>
        <w:spacing w:after="120" w:before="220"/>
      </w:pPr>
      <w:r>
        <w:rPr>
          <w:rFonts w:ascii="Arial" w:cs="Arial" w:eastAsia="Arial" w:hAnsi="Arial"/>
          <w:b/>
          <w:bCs/>
          <w:color w:val="B01319"/>
          <w:sz w:val="24"/>
          <w:szCs w:val="24"/>
        </w:rPr>
        <w:t xml:space="preserve">Lighten the room a little</w:t>
      </w:r>
    </w:p>
    <w:p>
      <w:pPr>
        <w:spacing w:after="160" w:line="320"/>
      </w:pPr>
      <w:r>
        <w:rPr>
          <w:rFonts w:ascii="Georgia" w:cs="Georgia" w:eastAsia="Georgia" w:hAnsi="Georgia"/>
          <w:sz w:val="22"/>
          <w:szCs w:val="22"/>
        </w:rPr>
        <w:t xml:space="preserve">Pure black (#080808) as the dominant background is a design move, not a neutral choice. It cools down the mural photography and drags the mood toward “agency” rather than “artist.” Consider an off-black (something like #161410) or a warm neutral on one or two sections (services and testimonials are good candidates) so the color in the murals does more of the talking.</w:t>
      </w:r>
    </w:p>
    <w:p>
      <w:pPr>
        <w:pStyle w:val="Heading3"/>
        <w:spacing w:after="120" w:before="220"/>
      </w:pPr>
      <w:r>
        <w:rPr>
          <w:rFonts w:ascii="Arial" w:cs="Arial" w:eastAsia="Arial" w:hAnsi="Arial"/>
          <w:b/>
          <w:bCs/>
          <w:color w:val="B01319"/>
          <w:sz w:val="24"/>
          <w:szCs w:val="24"/>
        </w:rPr>
        <w:t xml:space="preserve">Soften the hero scrim</w:t>
      </w:r>
    </w:p>
    <w:p>
      <w:pPr>
        <w:spacing w:after="160" w:line="320"/>
      </w:pPr>
      <w:r>
        <w:rPr>
          <w:rFonts w:ascii="Georgia" w:cs="Georgia" w:eastAsia="Georgia" w:hAnsi="Georgia"/>
          <w:sz w:val="22"/>
          <w:szCs w:val="22"/>
        </w:rPr>
        <w:t xml:space="preserve">The current left-to-right scrim goes from 94% opacity on the left to fully transparent around 78% across. That’s roughly the left half of the screen darkened enough that the underlying mural reads as a ghost. For a business whose value proposition is visual impact, that’s a big concession to text legibility. Options: shrink the scrim to the text column width with a blur-glass panel behind the copy, or drop opacity so the mural stays visible even behind the headline.</w:t>
      </w:r>
    </w:p>
    <w:p>
      <w:pPr>
        <w:pStyle w:val="Heading3"/>
        <w:spacing w:after="120" w:before="220"/>
      </w:pPr>
      <w:r>
        <w:rPr>
          <w:rFonts w:ascii="Arial" w:cs="Arial" w:eastAsia="Arial" w:hAnsi="Arial"/>
          <w:b/>
          <w:bCs/>
          <w:color w:val="B01319"/>
          <w:sz w:val="24"/>
          <w:szCs w:val="24"/>
        </w:rPr>
        <w:t xml:space="preserve">Typography has room to be more ownable</w:t>
      </w:r>
    </w:p>
    <w:p>
      <w:pPr>
        <w:spacing w:after="160" w:line="320"/>
      </w:pPr>
      <w:r>
        <w:rPr>
          <w:rFonts w:ascii="Georgia" w:cs="Georgia" w:eastAsia="Georgia" w:hAnsi="Georgia"/>
          <w:sz w:val="22"/>
          <w:szCs w:val="22"/>
        </w:rPr>
        <w:t xml:space="preserve">Bebas Neue is used on approximately 80% of mural-studio and agency sites in the country. It’s safe. Given that Johnny Vitale started in hand-lettered signs, there’s a real brand opportunity in a display face with more signwriter DNA: something like Monument Grotesk Black, Druk Wide, a condensed Americana (think Alfa, or a paid face like Forma DJR Banner), or even a custom wordmark painted by the studio itself. This is a P3, but it’s the kind of move that makes the brand feel like no one else’s.</w:t>
      </w:r>
    </w:p>
    <w:p>
      <w:pPr>
        <w:pStyle w:val="Heading3"/>
        <w:spacing w:after="120" w:before="220"/>
      </w:pPr>
      <w:r>
        <w:rPr>
          <w:rFonts w:ascii="Arial" w:cs="Arial" w:eastAsia="Arial" w:hAnsi="Arial"/>
          <w:b/>
          <w:bCs/>
          <w:color w:val="B01319"/>
          <w:sz w:val="24"/>
          <w:szCs w:val="24"/>
        </w:rPr>
        <w:t xml:space="preserve">The red is right; the gradient is optional</w:t>
      </w:r>
    </w:p>
    <w:p>
      <w:pPr>
        <w:spacing w:after="160" w:line="320"/>
      </w:pPr>
      <w:r>
        <w:rPr>
          <w:rFonts w:ascii="Georgia" w:cs="Georgia" w:eastAsia="Georgia" w:hAnsi="Georgia"/>
          <w:sz w:val="22"/>
          <w:szCs w:val="22"/>
        </w:rPr>
        <w:t xml:space="preserve">.gradient-text is defined in the stylesheet but currently just resolves to a solid red. That’s a cleaner choice than an actual gradient and I’d keep it, but you might consider subtle variation: brand red on dark sections, a slightly deeper red (#B01319) on light sections to preserve AA contrast.</w:t>
      </w:r>
    </w:p>
    <w:p>
      <w:pPr>
        <w:pStyle w:val="Heading2"/>
        <w:spacing w:after="140" w:before="280"/>
      </w:pPr>
      <w:r>
        <w:rPr>
          <w:rFonts w:ascii="Arial" w:cs="Arial" w:eastAsia="Arial" w:hAnsi="Arial"/>
          <w:b/>
          <w:bCs/>
          <w:color w:val="0A0A0A"/>
          <w:sz w:val="28"/>
          <w:szCs w:val="28"/>
        </w:rPr>
        <w:t xml:space="preserve">2. Layout and user flow</w:t>
      </w:r>
    </w:p>
    <w:p>
      <w:pPr>
        <w:pStyle w:val="Heading3"/>
        <w:spacing w:after="120" w:before="220"/>
      </w:pPr>
      <w:r>
        <w:rPr>
          <w:rFonts w:ascii="Arial" w:cs="Arial" w:eastAsia="Arial" w:hAnsi="Arial"/>
          <w:b/>
          <w:bCs/>
          <w:color w:val="B01319"/>
          <w:sz w:val="24"/>
          <w:szCs w:val="24"/>
        </w:rPr>
        <w:t xml:space="preserve">Services cards all go to the same URL</w:t>
      </w:r>
    </w:p>
    <w:p>
      <w:pPr>
        <w:spacing w:after="160" w:line="320"/>
      </w:pPr>
      <w:r>
        <w:rPr>
          <w:rFonts w:ascii="Georgia" w:cs="Georgia" w:eastAsia="Georgia" w:hAnsi="Georgia"/>
          <w:sz w:val="22"/>
          <w:szCs w:val="22"/>
        </w:rPr>
        <w:t xml:space="preserve">All four service cards (Murals, Branding &amp; Design, Live Painting, Signs &amp; Canvas) link to /projects.html. A user who clicks “Live Painting” lands on a mixed portfolio of exterior commercial murals. That’s a broken expectation. Two options: (a) filter-deep-link each card to a pre-filtered projects view, for example /projects.html#live, and wire that up in JS; or (b) build four small dedicated service pages (Murals, Live Painting, Signs &amp; Canvas, Branding). Option (b) is more work but creates real SEO landing pages for each service, which matters for search.</w:t>
      </w:r>
    </w:p>
    <w:p>
      <w:pPr>
        <w:pStyle w:val="Heading3"/>
        <w:spacing w:after="120" w:before="220"/>
      </w:pPr>
      <w:r>
        <w:rPr>
          <w:rFonts w:ascii="Arial" w:cs="Arial" w:eastAsia="Arial" w:hAnsi="Arial"/>
          <w:b/>
          <w:bCs/>
          <w:color w:val="B01319"/>
          <w:sz w:val="24"/>
          <w:szCs w:val="24"/>
        </w:rPr>
        <w:t xml:space="preserve">Portfolio density is too thin for the story being told</w:t>
      </w:r>
    </w:p>
    <w:p>
      <w:pPr>
        <w:spacing w:after="160" w:line="320"/>
      </w:pPr>
      <w:r>
        <w:rPr>
          <w:rFonts w:ascii="Georgia" w:cs="Georgia" w:eastAsia="Georgia" w:hAnsi="Georgia"/>
          <w:sz w:val="22"/>
          <w:szCs w:val="22"/>
        </w:rPr>
        <w:t xml:space="preserve">Five featured projects cannot represent a 500-mural studio. The projects page ends before the user expects it to. Recommendation: import at least 20 to 40 projects as cards, even if some of them don’t yet have full detail pages. You can let thumbnails link to an image-only lightbox for the ones that aren’t written up yet. The density tells the story on its own.</w:t>
      </w:r>
    </w:p>
    <w:p>
      <w:pPr>
        <w:pStyle w:val="Heading3"/>
        <w:spacing w:after="120" w:before="220"/>
      </w:pPr>
      <w:r>
        <w:rPr>
          <w:rFonts w:ascii="Arial" w:cs="Arial" w:eastAsia="Arial" w:hAnsi="Arial"/>
          <w:b/>
          <w:bCs/>
          <w:color w:val="B01319"/>
          <w:sz w:val="24"/>
          <w:szCs w:val="24"/>
        </w:rPr>
        <w:t xml:space="preserve">Filter UI on /projects.html previews categories that don’t yet have work</w:t>
      </w:r>
    </w:p>
    <w:p>
      <w:pPr>
        <w:spacing w:after="160" w:line="320"/>
      </w:pPr>
      <w:r>
        <w:rPr>
          <w:rFonts w:ascii="Georgia" w:cs="Georgia" w:eastAsia="Georgia" w:hAnsi="Georgia"/>
          <w:sz w:val="22"/>
          <w:szCs w:val="22"/>
        </w:rPr>
        <w:t xml:space="preserve">The filter pills include Residential, Live Painting, Signs &amp; Canvas, but clicking them on the current site produces mostly empty states. Either the filter should hide empty categories, or populate each one before launch.</w:t>
      </w:r>
    </w:p>
    <w:p>
      <w:pPr>
        <w:pStyle w:val="Heading3"/>
        <w:spacing w:after="120" w:before="220"/>
      </w:pPr>
      <w:r>
        <w:rPr>
          <w:rFonts w:ascii="Arial" w:cs="Arial" w:eastAsia="Arial" w:hAnsi="Arial"/>
          <w:b/>
          <w:bCs/>
          <w:color w:val="B01319"/>
          <w:sz w:val="24"/>
          <w:szCs w:val="24"/>
        </w:rPr>
        <w:t xml:space="preserve">Team section underwhelms</w:t>
      </w:r>
    </w:p>
    <w:p>
      <w:pPr>
        <w:spacing w:after="160" w:line="320"/>
      </w:pPr>
      <w:r>
        <w:rPr>
          <w:rFonts w:ascii="Georgia" w:cs="Georgia" w:eastAsia="Georgia" w:hAnsi="Georgia"/>
          <w:sz w:val="22"/>
          <w:szCs w:val="22"/>
        </w:rPr>
        <w:t xml:space="preserve">Three cards with two-letter monograms (JV, SV, JK) is the correct placeholder and a bad final state. Swap in real photos and two to three sentences per person. For an artist-led brand, people buy the people.</w:t>
      </w:r>
    </w:p>
    <w:p>
      <w:pPr>
        <w:pStyle w:val="Heading3"/>
        <w:spacing w:after="120" w:before="220"/>
      </w:pPr>
      <w:r>
        <w:rPr>
          <w:rFonts w:ascii="Arial" w:cs="Arial" w:eastAsia="Arial" w:hAnsi="Arial"/>
          <w:b/>
          <w:bCs/>
          <w:color w:val="B01319"/>
          <w:sz w:val="24"/>
          <w:szCs w:val="24"/>
        </w:rPr>
        <w:t xml:space="preserve">Contact page icons are slightly off</w:t>
      </w:r>
    </w:p>
    <w:p>
      <w:pPr>
        <w:spacing w:after="160" w:line="320"/>
      </w:pPr>
      <w:r>
        <w:rPr>
          <w:rFonts w:ascii="Georgia" w:cs="Georgia" w:eastAsia="Georgia" w:hAnsi="Georgia"/>
          <w:sz w:val="22"/>
          <w:szCs w:val="22"/>
        </w:rPr>
        <w:t xml:space="preserve">The “Phone” label says “Studio Manager - Shelli” which is friendly and on-brand. The rest of the label column could match that warmth (for example “Drop us a line” for email, “From the studio” for location). Small thing, but it connects.</w:t>
      </w:r>
    </w:p>
    <w:p>
      <w:pPr>
        <w:pStyle w:val="Heading2"/>
        <w:spacing w:after="140" w:before="280"/>
      </w:pPr>
      <w:r>
        <w:rPr>
          <w:rFonts w:ascii="Arial" w:cs="Arial" w:eastAsia="Arial" w:hAnsi="Arial"/>
          <w:b/>
          <w:bCs/>
          <w:color w:val="0A0A0A"/>
          <w:sz w:val="28"/>
          <w:szCs w:val="28"/>
        </w:rPr>
        <w:t xml:space="preserve">3. Content and messaging</w:t>
      </w:r>
    </w:p>
    <w:p>
      <w:pPr>
        <w:pStyle w:val="Heading3"/>
        <w:spacing w:after="120" w:before="220"/>
      </w:pPr>
      <w:r>
        <w:rPr>
          <w:rFonts w:ascii="Arial" w:cs="Arial" w:eastAsia="Arial" w:hAnsi="Arial"/>
          <w:b/>
          <w:bCs/>
          <w:color w:val="B01319"/>
          <w:sz w:val="24"/>
          <w:szCs w:val="24"/>
        </w:rPr>
        <w:t xml:space="preserve">The hero headline is functional, not memorable</w:t>
      </w:r>
    </w:p>
    <w:p>
      <w:pPr>
        <w:spacing w:after="160" w:line="320"/>
      </w:pPr>
      <w:r>
        <w:rPr>
          <w:rFonts w:ascii="Georgia" w:cs="Georgia" w:eastAsia="Georgia" w:hAnsi="Georgia"/>
          <w:sz w:val="22"/>
          <w:szCs w:val="22"/>
        </w:rPr>
        <w:t xml:space="preserve">“Making Walls Come Alive” is clear and on-topic. It’s also something roughly 200 mural companies say in some form. The strongest line in the current site is actually tucked into the About preview: “Built on Hustle &amp; Heart.” That’s a differentiated, ownable line rooted in the actual origin story. Consider promoting “Hustle &amp; Heart” (or a close cousin) to the hero, and demoting the descriptive subhead to support.</w:t>
      </w:r>
    </w:p>
    <w:p>
      <w:pPr>
        <w:pStyle w:val="Heading3"/>
        <w:spacing w:after="120" w:before="220"/>
      </w:pPr>
      <w:r>
        <w:rPr>
          <w:rFonts w:ascii="Arial" w:cs="Arial" w:eastAsia="Arial" w:hAnsi="Arial"/>
          <w:b/>
          <w:bCs/>
          <w:color w:val="B01319"/>
          <w:sz w:val="24"/>
          <w:szCs w:val="24"/>
        </w:rPr>
        <w:t xml:space="preserve">The subhead is trying to reach everyone at once</w:t>
      </w:r>
    </w:p>
    <w:p>
      <w:pPr>
        <w:spacing w:after="160" w:line="320"/>
      </w:pPr>
      <w:r>
        <w:rPr>
          <w:rFonts w:ascii="Georgia" w:cs="Georgia" w:eastAsia="Georgia" w:hAnsi="Georgia"/>
          <w:sz w:val="22"/>
          <w:szCs w:val="22"/>
        </w:rPr>
        <w:t xml:space="preserve">“Tampa Bay’s premier mural studio, turning blank surfaces into bold, lasting stories for brands, stadiums, businesses, and homes since 1992” packs five audiences into one breath. The result is that no single audience feels addressed. A tighter version: “Commercial and residential murals across Tampa Bay since 1992.” Audiences get spelled out further down the page, where they belong.</w:t>
      </w:r>
    </w:p>
    <w:p>
      <w:pPr>
        <w:pStyle w:val="Heading3"/>
        <w:spacing w:after="120" w:before="220"/>
      </w:pPr>
      <w:r>
        <w:rPr>
          <w:rFonts w:ascii="Arial" w:cs="Arial" w:eastAsia="Arial" w:hAnsi="Arial"/>
          <w:b/>
          <w:bCs/>
          <w:color w:val="B01319"/>
          <w:sz w:val="24"/>
          <w:szCs w:val="24"/>
        </w:rPr>
        <w:t xml:space="preserve">Press and client logos are hidden</w:t>
      </w:r>
    </w:p>
    <w:p>
      <w:pPr>
        <w:spacing w:after="160" w:line="320"/>
      </w:pPr>
      <w:r>
        <w:rPr>
          <w:rFonts w:ascii="Georgia" w:cs="Georgia" w:eastAsia="Georgia" w:hAnsi="Georgia"/>
          <w:sz w:val="22"/>
          <w:szCs w:val="22"/>
        </w:rPr>
        <w:t xml:space="preserve">The ArtBeat pages show coverage from Fox 13, St. Pete Catalyst, Creative Loafing, Eyes on the Streets, ilovetheburg, and the Tampa Bay Times. Those names are social proof gold and currently live two clicks deep. A single row of logos on the homepage, under the hero or the stats, would change the trust signal materially. Same for client logos: Rays, Bucs, L’Oreal’s SalonCentric are buried in prose on the About page. They belong on the homepage, prominent and early.</w:t>
      </w:r>
    </w:p>
    <w:p>
      <w:pPr>
        <w:pStyle w:val="Heading3"/>
        <w:spacing w:after="120" w:before="220"/>
      </w:pPr>
      <w:r>
        <w:rPr>
          <w:rFonts w:ascii="Arial" w:cs="Arial" w:eastAsia="Arial" w:hAnsi="Arial"/>
          <w:b/>
          <w:bCs/>
          <w:color w:val="B01319"/>
          <w:sz w:val="24"/>
          <w:szCs w:val="24"/>
        </w:rPr>
        <w:t xml:space="preserve">No process, no pricing hint, no FAQ</w:t>
      </w:r>
    </w:p>
    <w:p>
      <w:pPr>
        <w:spacing w:after="160" w:line="320"/>
      </w:pPr>
      <w:r>
        <w:rPr>
          <w:rFonts w:ascii="Georgia" w:cs="Georgia" w:eastAsia="Georgia" w:hAnsi="Georgia"/>
          <w:sz w:val="22"/>
          <w:szCs w:val="22"/>
        </w:rPr>
        <w:t xml:space="preserve">A lot of mural buyers are first-time mural buyers. They don’t know whether a wall costs $2,000 or $30,000, whether it takes a weekend or a month, whether it survives Florida sun, whether they need permits. You don’t need to publish prices, but a short process section (“Here’s how a Vitale project usually goes”) plus a six-question FAQ removes friction and wins trust.</w:t>
      </w:r>
    </w:p>
    <w:p>
      <w:pPr>
        <w:pStyle w:val="Heading3"/>
        <w:spacing w:after="120" w:before="220"/>
      </w:pPr>
      <w:r>
        <w:rPr>
          <w:rFonts w:ascii="Arial" w:cs="Arial" w:eastAsia="Arial" w:hAnsi="Arial"/>
          <w:b/>
          <w:bCs/>
          <w:color w:val="B01319"/>
          <w:sz w:val="24"/>
          <w:szCs w:val="24"/>
        </w:rPr>
        <w:t xml:space="preserve">Testimonials read as placeholder</w:t>
      </w:r>
    </w:p>
    <w:p>
      <w:pPr>
        <w:spacing w:after="160" w:line="320"/>
      </w:pPr>
      <w:r>
        <w:rPr>
          <w:rFonts w:ascii="Georgia" w:cs="Georgia" w:eastAsia="Georgia" w:hAnsi="Georgia"/>
          <w:sz w:val="22"/>
          <w:szCs w:val="22"/>
        </w:rPr>
        <w:t xml:space="preserve">“Michael R.” and “Sarah L.” with two-letter avatars look like copy the designer added to fill space. Real quotes from named clients, with company names, break this problem entirely. Even two real testimonials beat three fake-looking ones.</w:t>
      </w:r>
    </w:p>
    <w:p>
      <w:pPr>
        <w:pStyle w:val="Heading3"/>
        <w:spacing w:after="120" w:before="220"/>
      </w:pPr>
      <w:r>
        <w:rPr>
          <w:rFonts w:ascii="Arial" w:cs="Arial" w:eastAsia="Arial" w:hAnsi="Arial"/>
          <w:b/>
          <w:bCs/>
          <w:color w:val="B01319"/>
          <w:sz w:val="24"/>
          <w:szCs w:val="24"/>
        </w:rPr>
        <w:t xml:space="preserve">Footer says 2025</w:t>
      </w:r>
    </w:p>
    <w:p>
      <w:pPr>
        <w:spacing w:after="160" w:line="320"/>
      </w:pPr>
      <w:r>
        <w:rPr>
          <w:rFonts w:ascii="Georgia" w:cs="Georgia" w:eastAsia="Georgia" w:hAnsi="Georgia"/>
          <w:sz w:val="22"/>
          <w:szCs w:val="22"/>
        </w:rPr>
        <w:t xml:space="preserve">Small thing, but the current footer hardcodes © 2025. Either update to 2026 now, or switch to a JS-generated year so it takes care of itself.</w:t>
      </w:r>
    </w:p>
    <w:p>
      <w:pPr>
        <w:pStyle w:val="Heading3"/>
        <w:spacing w:after="120" w:before="220"/>
      </w:pPr>
      <w:r>
        <w:rPr>
          <w:rFonts w:ascii="Arial" w:cs="Arial" w:eastAsia="Arial" w:hAnsi="Arial"/>
          <w:b/>
          <w:bCs/>
          <w:color w:val="B01319"/>
          <w:sz w:val="24"/>
          <w:szCs w:val="24"/>
        </w:rPr>
        <w:t xml:space="preserve">Contact form posts to nowhere</w:t>
      </w:r>
    </w:p>
    <w:p>
      <w:pPr>
        <w:spacing w:after="160" w:line="320"/>
      </w:pPr>
      <w:r>
        <w:rPr>
          <w:rFonts w:ascii="Georgia" w:cs="Georgia" w:eastAsia="Georgia" w:hAnsi="Georgia"/>
          <w:sz w:val="22"/>
          <w:szCs w:val="22"/>
        </w:rPr>
        <w:t xml:space="preserve">Form action=”#” means the form submits back to the current page and loses data. This is the single most important bug on the site. Wire it to a backend (Formspree, Netlify Forms, or a simple PHP/Node endpoint), and add a basic honeypot or reCAPTCHA to manage spam.</w:t>
      </w:r>
    </w:p>
    <w:p>
      <w:pPr>
        <w:pStyle w:val="Heading1"/>
        <w:spacing w:after="200" w:before="320"/>
      </w:pPr>
      <w:r>
        <w:rPr>
          <w:rFonts w:ascii="Arial" w:cs="Arial" w:eastAsia="Arial" w:hAnsi="Arial"/>
          <w:b/>
          <w:bCs/>
          <w:color w:val="0A0A0A"/>
          <w:sz w:val="36"/>
          <w:szCs w:val="36"/>
        </w:rPr>
        <w:t xml:space="preserve">Prioritized recommendations</w:t>
      </w:r>
    </w:p>
    <w:p>
      <w:pPr>
        <w:spacing w:after="160" w:line="320"/>
      </w:pPr>
      <w:r>
        <w:rPr>
          <w:rFonts w:ascii="Georgia" w:cs="Georgia" w:eastAsia="Georgia" w:hAnsi="Georgia"/>
          <w:sz w:val="22"/>
          <w:szCs w:val="22"/>
        </w:rPr>
        <w:t xml:space="preserve">Ordered by expected impact. P0 items are launch-blockers or near-blockers; P1 lifts the site from “fine” to “memorable”; P2 is polish; P3 is future-looking.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3260"/>
        <w:gridCol w:w="2100"/>
      </w:tblGrid>
      <w:tr>
        <w:trPr>
          <w:tblHeader/>
        </w:trPr>
        <w:tc>
          <w:tcPr>
            <w:tcW w:type="dxa" w:w="1300"/>
            <w:tcBorders>
              <w:top w:val="single" w:color="D0D0D0" w:sz="4"/>
              <w:left w:val="single" w:color="D0D0D0" w:sz="4"/>
              <w:bottom w:val="single" w:color="D0D0D0" w:sz="4"/>
              <w:right w:val="single" w:color="D0D0D0" w:sz="4"/>
            </w:tcBorders>
            <w:shd w:fill="0A0A0A" w:color="auto" w:val="clear"/>
            <w:tcMar>
              <w:top w:type="dxa" w:w="120"/>
              <w:left w:type="dxa" w:w="160"/>
              <w:bottom w:type="dxa" w:w="120"/>
              <w:right w:type="dxa" w:w="160"/>
            </w:tcMar>
          </w:tcPr>
          <w:p>
            <w:r>
              <w:rPr>
                <w:rFonts w:ascii="Arial" w:cs="Arial" w:eastAsia="Arial" w:hAnsi="Arial"/>
                <w:b/>
                <w:bCs/>
                <w:color w:val="FFFFFF"/>
                <w:sz w:val="20"/>
                <w:szCs w:val="20"/>
              </w:rPr>
              <w:t xml:space="preserve">Priority</w:t>
            </w:r>
          </w:p>
        </w:tc>
        <w:tc>
          <w:tcPr>
            <w:tcW w:type="dxa" w:w="2700"/>
            <w:tcBorders>
              <w:top w:val="single" w:color="D0D0D0" w:sz="4"/>
              <w:left w:val="single" w:color="D0D0D0" w:sz="4"/>
              <w:bottom w:val="single" w:color="D0D0D0" w:sz="4"/>
              <w:right w:val="single" w:color="D0D0D0" w:sz="4"/>
            </w:tcBorders>
            <w:shd w:fill="0A0A0A" w:color="auto" w:val="clear"/>
            <w:tcMar>
              <w:top w:type="dxa" w:w="120"/>
              <w:left w:type="dxa" w:w="160"/>
              <w:bottom w:type="dxa" w:w="120"/>
              <w:right w:type="dxa" w:w="160"/>
            </w:tcMar>
          </w:tcPr>
          <w:p>
            <w:r>
              <w:rPr>
                <w:rFonts w:ascii="Arial" w:cs="Arial" w:eastAsia="Arial" w:hAnsi="Arial"/>
                <w:b/>
                <w:bCs/>
                <w:color w:val="FFFFFF"/>
                <w:sz w:val="20"/>
                <w:szCs w:val="20"/>
              </w:rPr>
              <w:t xml:space="preserve">Recommendation</w:t>
            </w:r>
          </w:p>
        </w:tc>
        <w:tc>
          <w:tcPr>
            <w:tcW w:type="dxa" w:w="3260"/>
            <w:tcBorders>
              <w:top w:val="single" w:color="D0D0D0" w:sz="4"/>
              <w:left w:val="single" w:color="D0D0D0" w:sz="4"/>
              <w:bottom w:val="single" w:color="D0D0D0" w:sz="4"/>
              <w:right w:val="single" w:color="D0D0D0" w:sz="4"/>
            </w:tcBorders>
            <w:shd w:fill="0A0A0A" w:color="auto" w:val="clear"/>
            <w:tcMar>
              <w:top w:type="dxa" w:w="120"/>
              <w:left w:type="dxa" w:w="160"/>
              <w:bottom w:type="dxa" w:w="120"/>
              <w:right w:type="dxa" w:w="160"/>
            </w:tcMar>
          </w:tcPr>
          <w:p>
            <w:r>
              <w:rPr>
                <w:rFonts w:ascii="Arial" w:cs="Arial" w:eastAsia="Arial" w:hAnsi="Arial"/>
                <w:b/>
                <w:bCs/>
                <w:color w:val="FFFFFF"/>
                <w:sz w:val="20"/>
                <w:szCs w:val="20"/>
              </w:rPr>
              <w:t xml:space="preserve">Why it matters</w:t>
            </w:r>
          </w:p>
        </w:tc>
        <w:tc>
          <w:tcPr>
            <w:tcW w:type="dxa" w:w="2100"/>
            <w:tcBorders>
              <w:top w:val="single" w:color="D0D0D0" w:sz="4"/>
              <w:left w:val="single" w:color="D0D0D0" w:sz="4"/>
              <w:bottom w:val="single" w:color="D0D0D0" w:sz="4"/>
              <w:right w:val="single" w:color="D0D0D0" w:sz="4"/>
            </w:tcBorders>
            <w:shd w:fill="0A0A0A" w:color="auto" w:val="clear"/>
            <w:tcMar>
              <w:top w:type="dxa" w:w="120"/>
              <w:left w:type="dxa" w:w="160"/>
              <w:bottom w:type="dxa" w:w="120"/>
              <w:right w:type="dxa" w:w="160"/>
            </w:tcMar>
          </w:tcPr>
          <w:p>
            <w:r>
              <w:rPr>
                <w:rFonts w:ascii="Arial" w:cs="Arial" w:eastAsia="Arial" w:hAnsi="Arial"/>
                <w:b/>
                <w:bCs/>
                <w:color w:val="FFFFFF"/>
                <w:sz w:val="20"/>
                <w:szCs w:val="20"/>
              </w:rPr>
              <w:t xml:space="preserve">Effort</w:t>
            </w:r>
          </w:p>
        </w:tc>
      </w:tr>
      <w:tr>
        <w:tc>
          <w:tcPr>
            <w:tcW w:type="dxa" w:w="1300"/>
            <w:tcBorders>
              <w:top w:val="single" w:color="D0D0D0" w:sz="4"/>
              <w:left w:val="single" w:color="D0D0D0" w:sz="4"/>
              <w:bottom w:val="single" w:color="D0D0D0" w:sz="4"/>
              <w:right w:val="single" w:color="D0D0D0" w:sz="4"/>
            </w:tcBorders>
            <w:shd w:fill="FCE4E6" w:color="auto" w:val="clear"/>
            <w:tcMar>
              <w:top w:type="dxa" w:w="120"/>
              <w:left w:type="dxa" w:w="160"/>
              <w:bottom w:type="dxa" w:w="120"/>
              <w:right w:type="dxa" w:w="160"/>
            </w:tcMar>
          </w:tcPr>
          <w:p>
            <w:r>
              <w:rPr>
                <w:rFonts w:ascii="Arial" w:cs="Arial" w:eastAsia="Arial" w:hAnsi="Arial"/>
                <w:b/>
                <w:bCs/>
                <w:sz w:val="20"/>
                <w:szCs w:val="20"/>
              </w:rPr>
              <w:t xml:space="preserve">P0</w:t>
            </w:r>
          </w:p>
        </w:tc>
        <w:tc>
          <w:tcPr>
            <w:tcW w:type="dxa" w:w="2700"/>
            <w:tcBorders>
              <w:top w:val="single" w:color="D0D0D0" w:sz="4"/>
              <w:left w:val="single" w:color="D0D0D0" w:sz="4"/>
              <w:bottom w:val="single" w:color="D0D0D0" w:sz="4"/>
              <w:right w:val="single" w:color="D0D0D0" w:sz="4"/>
            </w:tcBorders>
            <w:tcMar>
              <w:top w:type="dxa" w:w="120"/>
              <w:left w:type="dxa" w:w="160"/>
              <w:bottom w:type="dxa" w:w="120"/>
              <w:right w:type="dxa" w:w="160"/>
            </w:tcMar>
          </w:tcPr>
          <w:p>
            <w:r>
              <w:rPr>
                <w:rFonts w:ascii="Georgia" w:cs="Georgia" w:eastAsia="Georgia" w:hAnsi="Georgia"/>
                <w:sz w:val="20"/>
                <w:szCs w:val="20"/>
              </w:rPr>
              <w:t xml:space="preserve">Replace placeholder testimonials with real, attributed quotes</w:t>
            </w:r>
          </w:p>
        </w:tc>
        <w:tc>
          <w:tcPr>
            <w:tcW w:type="dxa" w:w="3260"/>
            <w:tcBorders>
              <w:top w:val="single" w:color="D0D0D0" w:sz="4"/>
              <w:left w:val="single" w:color="D0D0D0" w:sz="4"/>
              <w:bottom w:val="single" w:color="D0D0D0" w:sz="4"/>
              <w:right w:val="single" w:color="D0D0D0" w:sz="4"/>
            </w:tcBorders>
            <w:tcMar>
              <w:top w:type="dxa" w:w="120"/>
              <w:left w:type="dxa" w:w="160"/>
              <w:bottom w:type="dxa" w:w="120"/>
              <w:right w:type="dxa" w:w="160"/>
            </w:tcMar>
          </w:tcPr>
          <w:p>
            <w:r>
              <w:rPr>
                <w:rFonts w:ascii="Georgia" w:cs="Georgia" w:eastAsia="Georgia" w:hAnsi="Georgia"/>
                <w:sz w:val="20"/>
                <w:szCs w:val="20"/>
              </w:rPr>
              <w:t xml:space="preserve">Generic names like “Michael R.” and “Sarah L.” read as stock copy and undermine a studio with 30+ years of genuine client stories.</w:t>
            </w:r>
          </w:p>
        </w:tc>
        <w:tc>
          <w:tcPr>
            <w:tcW w:type="dxa" w:w="2100"/>
            <w:tcBorders>
              <w:top w:val="single" w:color="D0D0D0" w:sz="4"/>
              <w:left w:val="single" w:color="D0D0D0" w:sz="4"/>
              <w:bottom w:val="single" w:color="D0D0D0" w:sz="4"/>
              <w:right w:val="single" w:color="D0D0D0" w:sz="4"/>
            </w:tcBorders>
            <w:tcMar>
              <w:top w:type="dxa" w:w="120"/>
              <w:left w:type="dxa" w:w="160"/>
              <w:bottom w:type="dxa" w:w="120"/>
              <w:right w:type="dxa" w:w="160"/>
            </w:tcMar>
          </w:tcPr>
          <w:p>
            <w:r>
              <w:rPr>
                <w:rFonts w:ascii="Georgia" w:cs="Georgia" w:eastAsia="Georgia" w:hAnsi="Georgia"/>
                <w:sz w:val="20"/>
                <w:szCs w:val="20"/>
              </w:rPr>
              <w:t xml:space="preserve">Low</w:t>
            </w:r>
          </w:p>
        </w:tc>
      </w:tr>
      <w:tr>
        <w:tc>
          <w:tcPr>
            <w:tcW w:type="dxa" w:w="1300"/>
            <w:tcBorders>
              <w:top w:val="single" w:color="D0D0D0" w:sz="4"/>
              <w:left w:val="single" w:color="D0D0D0" w:sz="4"/>
              <w:bottom w:val="single" w:color="D0D0D0" w:sz="4"/>
              <w:right w:val="single" w:color="D0D0D0" w:sz="4"/>
            </w:tcBorders>
            <w:shd w:fill="FCE4E6" w:color="auto" w:val="clear"/>
            <w:tcMar>
              <w:top w:type="dxa" w:w="120"/>
              <w:left w:type="dxa" w:w="160"/>
              <w:bottom w:type="dxa" w:w="120"/>
              <w:right w:type="dxa" w:w="160"/>
            </w:tcMar>
          </w:tcPr>
          <w:p>
            <w:r>
              <w:rPr>
                <w:rFonts w:ascii="Arial" w:cs="Arial" w:eastAsia="Arial" w:hAnsi="Arial"/>
                <w:b/>
                <w:bCs/>
                <w:sz w:val="20"/>
                <w:szCs w:val="20"/>
              </w:rPr>
              <w:t xml:space="preserve">P0</w:t>
            </w:r>
          </w:p>
        </w:tc>
        <w:tc>
          <w:tcPr>
            <w:tcW w:type="dxa" w:w="2700"/>
            <w:tcBorders>
              <w:top w:val="single" w:color="D0D0D0" w:sz="4"/>
              <w:left w:val="single" w:color="D0D0D0" w:sz="4"/>
              <w:bottom w:val="single" w:color="D0D0D0" w:sz="4"/>
              <w:right w:val="single" w:color="D0D0D0" w:sz="4"/>
            </w:tcBorders>
            <w:tcMar>
              <w:top w:type="dxa" w:w="120"/>
              <w:left w:type="dxa" w:w="160"/>
              <w:bottom w:type="dxa" w:w="120"/>
              <w:right w:type="dxa" w:w="160"/>
            </w:tcMar>
          </w:tcPr>
          <w:p>
            <w:r>
              <w:rPr>
                <w:rFonts w:ascii="Georgia" w:cs="Georgia" w:eastAsia="Georgia" w:hAnsi="Georgia"/>
                <w:sz w:val="20"/>
                <w:szCs w:val="20"/>
              </w:rPr>
              <w:t xml:space="preserve">Wire up the contact form to an actual inbox (and add spam protection)</w:t>
            </w:r>
          </w:p>
        </w:tc>
        <w:tc>
          <w:tcPr>
            <w:tcW w:type="dxa" w:w="3260"/>
            <w:tcBorders>
              <w:top w:val="single" w:color="D0D0D0" w:sz="4"/>
              <w:left w:val="single" w:color="D0D0D0" w:sz="4"/>
              <w:bottom w:val="single" w:color="D0D0D0" w:sz="4"/>
              <w:right w:val="single" w:color="D0D0D0" w:sz="4"/>
            </w:tcBorders>
            <w:tcMar>
              <w:top w:type="dxa" w:w="120"/>
              <w:left w:type="dxa" w:w="160"/>
              <w:bottom w:type="dxa" w:w="120"/>
              <w:right w:type="dxa" w:w="160"/>
            </w:tcMar>
          </w:tcPr>
          <w:p>
            <w:r>
              <w:rPr>
                <w:rFonts w:ascii="Georgia" w:cs="Georgia" w:eastAsia="Georgia" w:hAnsi="Georgia"/>
                <w:sz w:val="20"/>
                <w:szCs w:val="20"/>
              </w:rPr>
              <w:t xml:space="preserve">The form currently posts to “#”, so no submissions reach Vitale Bros. This is the single biggest lead-loss risk on the site.</w:t>
            </w:r>
          </w:p>
        </w:tc>
        <w:tc>
          <w:tcPr>
            <w:tcW w:type="dxa" w:w="2100"/>
            <w:tcBorders>
              <w:top w:val="single" w:color="D0D0D0" w:sz="4"/>
              <w:left w:val="single" w:color="D0D0D0" w:sz="4"/>
              <w:bottom w:val="single" w:color="D0D0D0" w:sz="4"/>
              <w:right w:val="single" w:color="D0D0D0" w:sz="4"/>
            </w:tcBorders>
            <w:tcMar>
              <w:top w:type="dxa" w:w="120"/>
              <w:left w:type="dxa" w:w="160"/>
              <w:bottom w:type="dxa" w:w="120"/>
              <w:right w:type="dxa" w:w="160"/>
            </w:tcMar>
          </w:tcPr>
          <w:p>
            <w:r>
              <w:rPr>
                <w:rFonts w:ascii="Georgia" w:cs="Georgia" w:eastAsia="Georgia" w:hAnsi="Georgia"/>
                <w:sz w:val="20"/>
                <w:szCs w:val="20"/>
              </w:rPr>
              <w:t xml:space="preserve">Low</w:t>
            </w:r>
          </w:p>
        </w:tc>
      </w:tr>
      <w:tr>
        <w:tc>
          <w:tcPr>
            <w:tcW w:type="dxa" w:w="1300"/>
            <w:tcBorders>
              <w:top w:val="single" w:color="D0D0D0" w:sz="4"/>
              <w:left w:val="single" w:color="D0D0D0" w:sz="4"/>
              <w:bottom w:val="single" w:color="D0D0D0" w:sz="4"/>
              <w:right w:val="single" w:color="D0D0D0" w:sz="4"/>
            </w:tcBorders>
            <w:shd w:fill="FCE4E6" w:color="auto" w:val="clear"/>
            <w:tcMar>
              <w:top w:type="dxa" w:w="120"/>
              <w:left w:type="dxa" w:w="160"/>
              <w:bottom w:type="dxa" w:w="120"/>
              <w:right w:type="dxa" w:w="160"/>
            </w:tcMar>
          </w:tcPr>
          <w:p>
            <w:r>
              <w:rPr>
                <w:rFonts w:ascii="Arial" w:cs="Arial" w:eastAsia="Arial" w:hAnsi="Arial"/>
                <w:b/>
                <w:bCs/>
                <w:sz w:val="20"/>
                <w:szCs w:val="20"/>
              </w:rPr>
              <w:t xml:space="preserve">P0</w:t>
            </w:r>
          </w:p>
        </w:tc>
        <w:tc>
          <w:tcPr>
            <w:tcW w:type="dxa" w:w="2700"/>
            <w:tcBorders>
              <w:top w:val="single" w:color="D0D0D0" w:sz="4"/>
              <w:left w:val="single" w:color="D0D0D0" w:sz="4"/>
              <w:bottom w:val="single" w:color="D0D0D0" w:sz="4"/>
              <w:right w:val="single" w:color="D0D0D0" w:sz="4"/>
            </w:tcBorders>
            <w:tcMar>
              <w:top w:type="dxa" w:w="120"/>
              <w:left w:type="dxa" w:w="160"/>
              <w:bottom w:type="dxa" w:w="120"/>
              <w:right w:type="dxa" w:w="160"/>
            </w:tcMar>
          </w:tcPr>
          <w:p>
            <w:r>
              <w:rPr>
                <w:rFonts w:ascii="Georgia" w:cs="Georgia" w:eastAsia="Georgia" w:hAnsi="Georgia"/>
                <w:sz w:val="20"/>
                <w:szCs w:val="20"/>
              </w:rPr>
              <w:t xml:space="preserve">Add a client logo row on the homepage (Rays, Bucs, SalonCentric/L’Oreal)</w:t>
            </w:r>
          </w:p>
        </w:tc>
        <w:tc>
          <w:tcPr>
            <w:tcW w:type="dxa" w:w="3260"/>
            <w:tcBorders>
              <w:top w:val="single" w:color="D0D0D0" w:sz="4"/>
              <w:left w:val="single" w:color="D0D0D0" w:sz="4"/>
              <w:bottom w:val="single" w:color="D0D0D0" w:sz="4"/>
              <w:right w:val="single" w:color="D0D0D0" w:sz="4"/>
            </w:tcBorders>
            <w:tcMar>
              <w:top w:type="dxa" w:w="120"/>
              <w:left w:type="dxa" w:w="160"/>
              <w:bottom w:type="dxa" w:w="120"/>
              <w:right w:type="dxa" w:w="160"/>
            </w:tcMar>
          </w:tcPr>
          <w:p>
            <w:r>
              <w:rPr>
                <w:rFonts w:ascii="Georgia" w:cs="Georgia" w:eastAsia="Georgia" w:hAnsi="Georgia"/>
                <w:sz w:val="20"/>
                <w:szCs w:val="20"/>
              </w:rPr>
              <w:t xml:space="preserve">These names are the studio’s strongest trust signals. They belong above the fold, not buried in prose on the About page.</w:t>
            </w:r>
          </w:p>
        </w:tc>
        <w:tc>
          <w:tcPr>
            <w:tcW w:type="dxa" w:w="2100"/>
            <w:tcBorders>
              <w:top w:val="single" w:color="D0D0D0" w:sz="4"/>
              <w:left w:val="single" w:color="D0D0D0" w:sz="4"/>
              <w:bottom w:val="single" w:color="D0D0D0" w:sz="4"/>
              <w:right w:val="single" w:color="D0D0D0" w:sz="4"/>
            </w:tcBorders>
            <w:tcMar>
              <w:top w:type="dxa" w:w="120"/>
              <w:left w:type="dxa" w:w="160"/>
              <w:bottom w:type="dxa" w:w="120"/>
              <w:right w:type="dxa" w:w="160"/>
            </w:tcMar>
          </w:tcPr>
          <w:p>
            <w:r>
              <w:rPr>
                <w:rFonts w:ascii="Georgia" w:cs="Georgia" w:eastAsia="Georgia" w:hAnsi="Georgia"/>
                <w:sz w:val="20"/>
                <w:szCs w:val="20"/>
              </w:rPr>
              <w:t xml:space="preserve">Low</w:t>
            </w:r>
          </w:p>
        </w:tc>
      </w:tr>
      <w:tr>
        <w:tc>
          <w:tcPr>
            <w:tcW w:type="dxa" w:w="1300"/>
            <w:tcBorders>
              <w:top w:val="single" w:color="D0D0D0" w:sz="4"/>
              <w:left w:val="single" w:color="D0D0D0" w:sz="4"/>
              <w:bottom w:val="single" w:color="D0D0D0" w:sz="4"/>
              <w:right w:val="single" w:color="D0D0D0" w:sz="4"/>
            </w:tcBorders>
            <w:shd w:fill="FCE4E6" w:color="auto" w:val="clear"/>
            <w:tcMar>
              <w:top w:type="dxa" w:w="120"/>
              <w:left w:type="dxa" w:w="160"/>
              <w:bottom w:type="dxa" w:w="120"/>
              <w:right w:type="dxa" w:w="160"/>
            </w:tcMar>
          </w:tcPr>
          <w:p>
            <w:r>
              <w:rPr>
                <w:rFonts w:ascii="Arial" w:cs="Arial" w:eastAsia="Arial" w:hAnsi="Arial"/>
                <w:b/>
                <w:bCs/>
                <w:sz w:val="20"/>
                <w:szCs w:val="20"/>
              </w:rPr>
              <w:t xml:space="preserve">P0</w:t>
            </w:r>
          </w:p>
        </w:tc>
        <w:tc>
          <w:tcPr>
            <w:tcW w:type="dxa" w:w="2700"/>
            <w:tcBorders>
              <w:top w:val="single" w:color="D0D0D0" w:sz="4"/>
              <w:left w:val="single" w:color="D0D0D0" w:sz="4"/>
              <w:bottom w:val="single" w:color="D0D0D0" w:sz="4"/>
              <w:right w:val="single" w:color="D0D0D0" w:sz="4"/>
            </w:tcBorders>
            <w:tcMar>
              <w:top w:type="dxa" w:w="120"/>
              <w:left w:type="dxa" w:w="160"/>
              <w:bottom w:type="dxa" w:w="120"/>
              <w:right w:type="dxa" w:w="160"/>
            </w:tcMar>
          </w:tcPr>
          <w:p>
            <w:r>
              <w:rPr>
                <w:rFonts w:ascii="Georgia" w:cs="Georgia" w:eastAsia="Georgia" w:hAnsi="Georgia"/>
                <w:sz w:val="20"/>
                <w:szCs w:val="20"/>
              </w:rPr>
              <w:t xml:space="preserve">Add a press logo bar (Fox 13, St. Pete Catalyst, Creative Loafing, ilovetheburg, Tampa Bay Times)</w:t>
            </w:r>
          </w:p>
        </w:tc>
        <w:tc>
          <w:tcPr>
            <w:tcW w:type="dxa" w:w="3260"/>
            <w:tcBorders>
              <w:top w:val="single" w:color="D0D0D0" w:sz="4"/>
              <w:left w:val="single" w:color="D0D0D0" w:sz="4"/>
              <w:bottom w:val="single" w:color="D0D0D0" w:sz="4"/>
              <w:right w:val="single" w:color="D0D0D0" w:sz="4"/>
            </w:tcBorders>
            <w:tcMar>
              <w:top w:type="dxa" w:w="120"/>
              <w:left w:type="dxa" w:w="160"/>
              <w:bottom w:type="dxa" w:w="120"/>
              <w:right w:type="dxa" w:w="160"/>
            </w:tcMar>
          </w:tcPr>
          <w:p>
            <w:r>
              <w:rPr>
                <w:rFonts w:ascii="Georgia" w:cs="Georgia" w:eastAsia="Georgia" w:hAnsi="Georgia"/>
                <w:sz w:val="20"/>
                <w:szCs w:val="20"/>
              </w:rPr>
              <w:t xml:space="preserve">The ArtBeat pages already contain this material. Surfacing a “Featured in” strip on the homepage converts buried content into social proof.</w:t>
            </w:r>
          </w:p>
        </w:tc>
        <w:tc>
          <w:tcPr>
            <w:tcW w:type="dxa" w:w="2100"/>
            <w:tcBorders>
              <w:top w:val="single" w:color="D0D0D0" w:sz="4"/>
              <w:left w:val="single" w:color="D0D0D0" w:sz="4"/>
              <w:bottom w:val="single" w:color="D0D0D0" w:sz="4"/>
              <w:right w:val="single" w:color="D0D0D0" w:sz="4"/>
            </w:tcBorders>
            <w:tcMar>
              <w:top w:type="dxa" w:w="120"/>
              <w:left w:type="dxa" w:w="160"/>
              <w:bottom w:type="dxa" w:w="120"/>
              <w:right w:type="dxa" w:w="160"/>
            </w:tcMar>
          </w:tcPr>
          <w:p>
            <w:r>
              <w:rPr>
                <w:rFonts w:ascii="Georgia" w:cs="Georgia" w:eastAsia="Georgia" w:hAnsi="Georgia"/>
                <w:sz w:val="20"/>
                <w:szCs w:val="20"/>
              </w:rPr>
              <w:t xml:space="preserve">Low</w:t>
            </w:r>
          </w:p>
        </w:tc>
      </w:tr>
      <w:tr>
        <w:tc>
          <w:tcPr>
            <w:tcW w:type="dxa" w:w="1300"/>
            <w:tcBorders>
              <w:top w:val="single" w:color="D0D0D0" w:sz="4"/>
              <w:left w:val="single" w:color="D0D0D0" w:sz="4"/>
              <w:bottom w:val="single" w:color="D0D0D0" w:sz="4"/>
              <w:right w:val="single" w:color="D0D0D0" w:sz="4"/>
            </w:tcBorders>
            <w:shd w:fill="FCE4E6" w:color="auto" w:val="clear"/>
            <w:tcMar>
              <w:top w:type="dxa" w:w="120"/>
              <w:left w:type="dxa" w:w="160"/>
              <w:bottom w:type="dxa" w:w="120"/>
              <w:right w:type="dxa" w:w="160"/>
            </w:tcMar>
          </w:tcPr>
          <w:p>
            <w:r>
              <w:rPr>
                <w:rFonts w:ascii="Arial" w:cs="Arial" w:eastAsia="Arial" w:hAnsi="Arial"/>
                <w:b/>
                <w:bCs/>
                <w:sz w:val="20"/>
                <w:szCs w:val="20"/>
              </w:rPr>
              <w:t xml:space="preserve">P0</w:t>
            </w:r>
          </w:p>
        </w:tc>
        <w:tc>
          <w:tcPr>
            <w:tcW w:type="dxa" w:w="2700"/>
            <w:tcBorders>
              <w:top w:val="single" w:color="D0D0D0" w:sz="4"/>
              <w:left w:val="single" w:color="D0D0D0" w:sz="4"/>
              <w:bottom w:val="single" w:color="D0D0D0" w:sz="4"/>
              <w:right w:val="single" w:color="D0D0D0" w:sz="4"/>
            </w:tcBorders>
            <w:tcMar>
              <w:top w:type="dxa" w:w="120"/>
              <w:left w:type="dxa" w:w="160"/>
              <w:bottom w:type="dxa" w:w="120"/>
              <w:right w:type="dxa" w:w="160"/>
            </w:tcMar>
          </w:tcPr>
          <w:p>
            <w:r>
              <w:rPr>
                <w:rFonts w:ascii="Georgia" w:cs="Georgia" w:eastAsia="Georgia" w:hAnsi="Georgia"/>
                <w:sz w:val="20"/>
                <w:szCs w:val="20"/>
              </w:rPr>
              <w:t xml:space="preserve">Expand the portfolio from 5 projects to 20–40+</w:t>
            </w:r>
          </w:p>
        </w:tc>
        <w:tc>
          <w:tcPr>
            <w:tcW w:type="dxa" w:w="3260"/>
            <w:tcBorders>
              <w:top w:val="single" w:color="D0D0D0" w:sz="4"/>
              <w:left w:val="single" w:color="D0D0D0" w:sz="4"/>
              <w:bottom w:val="single" w:color="D0D0D0" w:sz="4"/>
              <w:right w:val="single" w:color="D0D0D0" w:sz="4"/>
            </w:tcBorders>
            <w:tcMar>
              <w:top w:type="dxa" w:w="120"/>
              <w:left w:type="dxa" w:w="160"/>
              <w:bottom w:type="dxa" w:w="120"/>
              <w:right w:type="dxa" w:w="160"/>
            </w:tcMar>
          </w:tcPr>
          <w:p>
            <w:r>
              <w:rPr>
                <w:rFonts w:ascii="Georgia" w:cs="Georgia" w:eastAsia="Georgia" w:hAnsi="Georgia"/>
                <w:sz w:val="20"/>
                <w:szCs w:val="20"/>
              </w:rPr>
              <w:t xml:space="preserve">A studio with 500+ murals that shows only five projects leaves money on the table. Visual density tells the story before any copy does.</w:t>
            </w:r>
          </w:p>
        </w:tc>
        <w:tc>
          <w:tcPr>
            <w:tcW w:type="dxa" w:w="2100"/>
            <w:tcBorders>
              <w:top w:val="single" w:color="D0D0D0" w:sz="4"/>
              <w:left w:val="single" w:color="D0D0D0" w:sz="4"/>
              <w:bottom w:val="single" w:color="D0D0D0" w:sz="4"/>
              <w:right w:val="single" w:color="D0D0D0" w:sz="4"/>
            </w:tcBorders>
            <w:tcMar>
              <w:top w:type="dxa" w:w="120"/>
              <w:left w:type="dxa" w:w="160"/>
              <w:bottom w:type="dxa" w:w="120"/>
              <w:right w:type="dxa" w:w="160"/>
            </w:tcMar>
          </w:tcPr>
          <w:p>
            <w:r>
              <w:rPr>
                <w:rFonts w:ascii="Georgia" w:cs="Georgia" w:eastAsia="Georgia" w:hAnsi="Georgia"/>
                <w:sz w:val="20"/>
                <w:szCs w:val="20"/>
              </w:rPr>
              <w:t xml:space="preserve">Medium</w:t>
            </w:r>
          </w:p>
        </w:tc>
      </w:tr>
      <w:tr>
        <w:tc>
          <w:tcPr>
            <w:tcW w:type="dxa" w:w="1300"/>
            <w:tcBorders>
              <w:top w:val="single" w:color="D0D0D0" w:sz="4"/>
              <w:left w:val="single" w:color="D0D0D0" w:sz="4"/>
              <w:bottom w:val="single" w:color="D0D0D0" w:sz="4"/>
              <w:right w:val="single" w:color="D0D0D0" w:sz="4"/>
            </w:tcBorders>
            <w:shd w:fill="FFF4E5" w:color="auto" w:val="clear"/>
            <w:tcMar>
              <w:top w:type="dxa" w:w="120"/>
              <w:left w:type="dxa" w:w="160"/>
              <w:bottom w:type="dxa" w:w="120"/>
              <w:right w:type="dxa" w:w="160"/>
            </w:tcMar>
          </w:tcPr>
          <w:p>
            <w:r>
              <w:rPr>
                <w:rFonts w:ascii="Arial" w:cs="Arial" w:eastAsia="Arial" w:hAnsi="Arial"/>
                <w:b/>
                <w:bCs/>
                <w:sz w:val="20"/>
                <w:szCs w:val="20"/>
              </w:rPr>
              <w:t xml:space="preserve">P1</w:t>
            </w:r>
          </w:p>
        </w:tc>
        <w:tc>
          <w:tcPr>
            <w:tcW w:type="dxa" w:w="2700"/>
            <w:tcBorders>
              <w:top w:val="single" w:color="D0D0D0" w:sz="4"/>
              <w:left w:val="single" w:color="D0D0D0" w:sz="4"/>
              <w:bottom w:val="single" w:color="D0D0D0" w:sz="4"/>
              <w:right w:val="single" w:color="D0D0D0" w:sz="4"/>
            </w:tcBorders>
            <w:tcMar>
              <w:top w:type="dxa" w:w="120"/>
              <w:left w:type="dxa" w:w="160"/>
              <w:bottom w:type="dxa" w:w="120"/>
              <w:right w:type="dxa" w:w="160"/>
            </w:tcMar>
          </w:tcPr>
          <w:p>
            <w:r>
              <w:rPr>
                <w:rFonts w:ascii="Georgia" w:cs="Georgia" w:eastAsia="Georgia" w:hAnsi="Georgia"/>
                <w:sz w:val="20"/>
                <w:szCs w:val="20"/>
              </w:rPr>
              <w:t xml:space="preserve">Give each service its own destination (not a shared link to /projects.html)</w:t>
            </w:r>
          </w:p>
        </w:tc>
        <w:tc>
          <w:tcPr>
            <w:tcW w:type="dxa" w:w="3260"/>
            <w:tcBorders>
              <w:top w:val="single" w:color="D0D0D0" w:sz="4"/>
              <w:left w:val="single" w:color="D0D0D0" w:sz="4"/>
              <w:bottom w:val="single" w:color="D0D0D0" w:sz="4"/>
              <w:right w:val="single" w:color="D0D0D0" w:sz="4"/>
            </w:tcBorders>
            <w:tcMar>
              <w:top w:type="dxa" w:w="120"/>
              <w:left w:type="dxa" w:w="160"/>
              <w:bottom w:type="dxa" w:w="120"/>
              <w:right w:type="dxa" w:w="160"/>
            </w:tcMar>
          </w:tcPr>
          <w:p>
            <w:r>
              <w:rPr>
                <w:rFonts w:ascii="Georgia" w:cs="Georgia" w:eastAsia="Georgia" w:hAnsi="Georgia"/>
                <w:sz w:val="20"/>
                <w:szCs w:val="20"/>
              </w:rPr>
              <w:t xml:space="preserve">Today all four service cards route to the same page. Clicking “Live Painting” should show live painting work, or the card is a broken promise.</w:t>
            </w:r>
          </w:p>
        </w:tc>
        <w:tc>
          <w:tcPr>
            <w:tcW w:type="dxa" w:w="2100"/>
            <w:tcBorders>
              <w:top w:val="single" w:color="D0D0D0" w:sz="4"/>
              <w:left w:val="single" w:color="D0D0D0" w:sz="4"/>
              <w:bottom w:val="single" w:color="D0D0D0" w:sz="4"/>
              <w:right w:val="single" w:color="D0D0D0" w:sz="4"/>
            </w:tcBorders>
            <w:tcMar>
              <w:top w:type="dxa" w:w="120"/>
              <w:left w:type="dxa" w:w="160"/>
              <w:bottom w:type="dxa" w:w="120"/>
              <w:right w:type="dxa" w:w="160"/>
            </w:tcMar>
          </w:tcPr>
          <w:p>
            <w:r>
              <w:rPr>
                <w:rFonts w:ascii="Georgia" w:cs="Georgia" w:eastAsia="Georgia" w:hAnsi="Georgia"/>
                <w:sz w:val="20"/>
                <w:szCs w:val="20"/>
              </w:rPr>
              <w:t xml:space="preserve">Medium</w:t>
            </w:r>
          </w:p>
        </w:tc>
      </w:tr>
      <w:tr>
        <w:tc>
          <w:tcPr>
            <w:tcW w:type="dxa" w:w="1300"/>
            <w:tcBorders>
              <w:top w:val="single" w:color="D0D0D0" w:sz="4"/>
              <w:left w:val="single" w:color="D0D0D0" w:sz="4"/>
              <w:bottom w:val="single" w:color="D0D0D0" w:sz="4"/>
              <w:right w:val="single" w:color="D0D0D0" w:sz="4"/>
            </w:tcBorders>
            <w:shd w:fill="FFF4E5" w:color="auto" w:val="clear"/>
            <w:tcMar>
              <w:top w:type="dxa" w:w="120"/>
              <w:left w:type="dxa" w:w="160"/>
              <w:bottom w:type="dxa" w:w="120"/>
              <w:right w:type="dxa" w:w="160"/>
            </w:tcMar>
          </w:tcPr>
          <w:p>
            <w:r>
              <w:rPr>
                <w:rFonts w:ascii="Arial" w:cs="Arial" w:eastAsia="Arial" w:hAnsi="Arial"/>
                <w:b/>
                <w:bCs/>
                <w:sz w:val="20"/>
                <w:szCs w:val="20"/>
              </w:rPr>
              <w:t xml:space="preserve">P1</w:t>
            </w:r>
          </w:p>
        </w:tc>
        <w:tc>
          <w:tcPr>
            <w:tcW w:type="dxa" w:w="2700"/>
            <w:tcBorders>
              <w:top w:val="single" w:color="D0D0D0" w:sz="4"/>
              <w:left w:val="single" w:color="D0D0D0" w:sz="4"/>
              <w:bottom w:val="single" w:color="D0D0D0" w:sz="4"/>
              <w:right w:val="single" w:color="D0D0D0" w:sz="4"/>
            </w:tcBorders>
            <w:tcMar>
              <w:top w:type="dxa" w:w="120"/>
              <w:left w:type="dxa" w:w="160"/>
              <w:bottom w:type="dxa" w:w="120"/>
              <w:right w:type="dxa" w:w="160"/>
            </w:tcMar>
          </w:tcPr>
          <w:p>
            <w:r>
              <w:rPr>
                <w:rFonts w:ascii="Georgia" w:cs="Georgia" w:eastAsia="Georgia" w:hAnsi="Georgia"/>
                <w:sz w:val="20"/>
                <w:szCs w:val="20"/>
              </w:rPr>
              <w:t xml:space="preserve">Replace team avatar initials with real photos</w:t>
            </w:r>
          </w:p>
        </w:tc>
        <w:tc>
          <w:tcPr>
            <w:tcW w:type="dxa" w:w="3260"/>
            <w:tcBorders>
              <w:top w:val="single" w:color="D0D0D0" w:sz="4"/>
              <w:left w:val="single" w:color="D0D0D0" w:sz="4"/>
              <w:bottom w:val="single" w:color="D0D0D0" w:sz="4"/>
              <w:right w:val="single" w:color="D0D0D0" w:sz="4"/>
            </w:tcBorders>
            <w:tcMar>
              <w:top w:type="dxa" w:w="120"/>
              <w:left w:type="dxa" w:w="160"/>
              <w:bottom w:type="dxa" w:w="120"/>
              <w:right w:type="dxa" w:w="160"/>
            </w:tcMar>
          </w:tcPr>
          <w:p>
            <w:r>
              <w:rPr>
                <w:rFonts w:ascii="Georgia" w:cs="Georgia" w:eastAsia="Georgia" w:hAnsi="Georgia"/>
                <w:sz w:val="20"/>
                <w:szCs w:val="20"/>
              </w:rPr>
              <w:t xml:space="preserve">Artist brands live or die on personality. “JV,” “SV,” “JK” feel placeholder; faces and a short bio will humanize the studio.</w:t>
            </w:r>
          </w:p>
        </w:tc>
        <w:tc>
          <w:tcPr>
            <w:tcW w:type="dxa" w:w="2100"/>
            <w:tcBorders>
              <w:top w:val="single" w:color="D0D0D0" w:sz="4"/>
              <w:left w:val="single" w:color="D0D0D0" w:sz="4"/>
              <w:bottom w:val="single" w:color="D0D0D0" w:sz="4"/>
              <w:right w:val="single" w:color="D0D0D0" w:sz="4"/>
            </w:tcBorders>
            <w:tcMar>
              <w:top w:type="dxa" w:w="120"/>
              <w:left w:type="dxa" w:w="160"/>
              <w:bottom w:type="dxa" w:w="120"/>
              <w:right w:type="dxa" w:w="160"/>
            </w:tcMar>
          </w:tcPr>
          <w:p>
            <w:r>
              <w:rPr>
                <w:rFonts w:ascii="Georgia" w:cs="Georgia" w:eastAsia="Georgia" w:hAnsi="Georgia"/>
                <w:sz w:val="20"/>
                <w:szCs w:val="20"/>
              </w:rPr>
              <w:t xml:space="preserve">Low</w:t>
            </w:r>
          </w:p>
        </w:tc>
      </w:tr>
      <w:tr>
        <w:tc>
          <w:tcPr>
            <w:tcW w:type="dxa" w:w="1300"/>
            <w:tcBorders>
              <w:top w:val="single" w:color="D0D0D0" w:sz="4"/>
              <w:left w:val="single" w:color="D0D0D0" w:sz="4"/>
              <w:bottom w:val="single" w:color="D0D0D0" w:sz="4"/>
              <w:right w:val="single" w:color="D0D0D0" w:sz="4"/>
            </w:tcBorders>
            <w:shd w:fill="FFF4E5" w:color="auto" w:val="clear"/>
            <w:tcMar>
              <w:top w:type="dxa" w:w="120"/>
              <w:left w:type="dxa" w:w="160"/>
              <w:bottom w:type="dxa" w:w="120"/>
              <w:right w:type="dxa" w:w="160"/>
            </w:tcMar>
          </w:tcPr>
          <w:p>
            <w:r>
              <w:rPr>
                <w:rFonts w:ascii="Arial" w:cs="Arial" w:eastAsia="Arial" w:hAnsi="Arial"/>
                <w:b/>
                <w:bCs/>
                <w:sz w:val="20"/>
                <w:szCs w:val="20"/>
              </w:rPr>
              <w:t xml:space="preserve">P1</w:t>
            </w:r>
          </w:p>
        </w:tc>
        <w:tc>
          <w:tcPr>
            <w:tcW w:type="dxa" w:w="2700"/>
            <w:tcBorders>
              <w:top w:val="single" w:color="D0D0D0" w:sz="4"/>
              <w:left w:val="single" w:color="D0D0D0" w:sz="4"/>
              <w:bottom w:val="single" w:color="D0D0D0" w:sz="4"/>
              <w:right w:val="single" w:color="D0D0D0" w:sz="4"/>
            </w:tcBorders>
            <w:tcMar>
              <w:top w:type="dxa" w:w="120"/>
              <w:left w:type="dxa" w:w="160"/>
              <w:bottom w:type="dxa" w:w="120"/>
              <w:right w:type="dxa" w:w="160"/>
            </w:tcMar>
          </w:tcPr>
          <w:p>
            <w:r>
              <w:rPr>
                <w:rFonts w:ascii="Georgia" w:cs="Georgia" w:eastAsia="Georgia" w:hAnsi="Georgia"/>
                <w:sz w:val="20"/>
                <w:szCs w:val="20"/>
              </w:rPr>
              <w:t xml:space="preserve">Soften the hero scrim so more of the mural art shows through</w:t>
            </w:r>
          </w:p>
        </w:tc>
        <w:tc>
          <w:tcPr>
            <w:tcW w:type="dxa" w:w="3260"/>
            <w:tcBorders>
              <w:top w:val="single" w:color="D0D0D0" w:sz="4"/>
              <w:left w:val="single" w:color="D0D0D0" w:sz="4"/>
              <w:bottom w:val="single" w:color="D0D0D0" w:sz="4"/>
              <w:right w:val="single" w:color="D0D0D0" w:sz="4"/>
            </w:tcBorders>
            <w:tcMar>
              <w:top w:type="dxa" w:w="120"/>
              <w:left w:type="dxa" w:w="160"/>
              <w:bottom w:type="dxa" w:w="120"/>
              <w:right w:type="dxa" w:w="160"/>
            </w:tcMar>
          </w:tcPr>
          <w:p>
            <w:r>
              <w:rPr>
                <w:rFonts w:ascii="Georgia" w:cs="Georgia" w:eastAsia="Georgia" w:hAnsi="Georgia"/>
                <w:sz w:val="20"/>
                <w:szCs w:val="20"/>
              </w:rPr>
              <w:t xml:space="preserve">The current left-weighted scrim covers roughly 44% of the viewport before it fades. For a mural company, that’s the equivalent of painting over the painting.</w:t>
            </w:r>
          </w:p>
        </w:tc>
        <w:tc>
          <w:tcPr>
            <w:tcW w:type="dxa" w:w="2100"/>
            <w:tcBorders>
              <w:top w:val="single" w:color="D0D0D0" w:sz="4"/>
              <w:left w:val="single" w:color="D0D0D0" w:sz="4"/>
              <w:bottom w:val="single" w:color="D0D0D0" w:sz="4"/>
              <w:right w:val="single" w:color="D0D0D0" w:sz="4"/>
            </w:tcBorders>
            <w:tcMar>
              <w:top w:type="dxa" w:w="120"/>
              <w:left w:type="dxa" w:w="160"/>
              <w:bottom w:type="dxa" w:w="120"/>
              <w:right w:type="dxa" w:w="160"/>
            </w:tcMar>
          </w:tcPr>
          <w:p>
            <w:r>
              <w:rPr>
                <w:rFonts w:ascii="Georgia" w:cs="Georgia" w:eastAsia="Georgia" w:hAnsi="Georgia"/>
                <w:sz w:val="20"/>
                <w:szCs w:val="20"/>
              </w:rPr>
              <w:t xml:space="preserve">Low</w:t>
            </w:r>
          </w:p>
        </w:tc>
      </w:tr>
      <w:tr>
        <w:tc>
          <w:tcPr>
            <w:tcW w:type="dxa" w:w="1300"/>
            <w:tcBorders>
              <w:top w:val="single" w:color="D0D0D0" w:sz="4"/>
              <w:left w:val="single" w:color="D0D0D0" w:sz="4"/>
              <w:bottom w:val="single" w:color="D0D0D0" w:sz="4"/>
              <w:right w:val="single" w:color="D0D0D0" w:sz="4"/>
            </w:tcBorders>
            <w:shd w:fill="FFF4E5" w:color="auto" w:val="clear"/>
            <w:tcMar>
              <w:top w:type="dxa" w:w="120"/>
              <w:left w:type="dxa" w:w="160"/>
              <w:bottom w:type="dxa" w:w="120"/>
              <w:right w:type="dxa" w:w="160"/>
            </w:tcMar>
          </w:tcPr>
          <w:p>
            <w:r>
              <w:rPr>
                <w:rFonts w:ascii="Arial" w:cs="Arial" w:eastAsia="Arial" w:hAnsi="Arial"/>
                <w:b/>
                <w:bCs/>
                <w:sz w:val="20"/>
                <w:szCs w:val="20"/>
              </w:rPr>
              <w:t xml:space="preserve">P1</w:t>
            </w:r>
          </w:p>
        </w:tc>
        <w:tc>
          <w:tcPr>
            <w:tcW w:type="dxa" w:w="2700"/>
            <w:tcBorders>
              <w:top w:val="single" w:color="D0D0D0" w:sz="4"/>
              <w:left w:val="single" w:color="D0D0D0" w:sz="4"/>
              <w:bottom w:val="single" w:color="D0D0D0" w:sz="4"/>
              <w:right w:val="single" w:color="D0D0D0" w:sz="4"/>
            </w:tcBorders>
            <w:tcMar>
              <w:top w:type="dxa" w:w="120"/>
              <w:left w:type="dxa" w:w="160"/>
              <w:bottom w:type="dxa" w:w="120"/>
              <w:right w:type="dxa" w:w="160"/>
            </w:tcMar>
          </w:tcPr>
          <w:p>
            <w:r>
              <w:rPr>
                <w:rFonts w:ascii="Georgia" w:cs="Georgia" w:eastAsia="Georgia" w:hAnsi="Georgia"/>
                <w:sz w:val="20"/>
                <w:szCs w:val="20"/>
              </w:rPr>
              <w:t xml:space="preserve">Reconsider the full-black palette</w:t>
            </w:r>
          </w:p>
        </w:tc>
        <w:tc>
          <w:tcPr>
            <w:tcW w:type="dxa" w:w="3260"/>
            <w:tcBorders>
              <w:top w:val="single" w:color="D0D0D0" w:sz="4"/>
              <w:left w:val="single" w:color="D0D0D0" w:sz="4"/>
              <w:bottom w:val="single" w:color="D0D0D0" w:sz="4"/>
              <w:right w:val="single" w:color="D0D0D0" w:sz="4"/>
            </w:tcBorders>
            <w:tcMar>
              <w:top w:type="dxa" w:w="120"/>
              <w:left w:type="dxa" w:w="160"/>
              <w:bottom w:type="dxa" w:w="120"/>
              <w:right w:type="dxa" w:w="160"/>
            </w:tcMar>
          </w:tcPr>
          <w:p>
            <w:r>
              <w:rPr>
                <w:rFonts w:ascii="Georgia" w:cs="Georgia" w:eastAsia="Georgia" w:hAnsi="Georgia"/>
                <w:sz w:val="20"/>
                <w:szCs w:val="20"/>
              </w:rPr>
              <w:t xml:space="preserve">Apple/Netflix dark mode can flatten vibrant mural photography. An off-black or warm neutral with brand red accents would let color-forward murals pop.</w:t>
            </w:r>
          </w:p>
        </w:tc>
        <w:tc>
          <w:tcPr>
            <w:tcW w:type="dxa" w:w="2100"/>
            <w:tcBorders>
              <w:top w:val="single" w:color="D0D0D0" w:sz="4"/>
              <w:left w:val="single" w:color="D0D0D0" w:sz="4"/>
              <w:bottom w:val="single" w:color="D0D0D0" w:sz="4"/>
              <w:right w:val="single" w:color="D0D0D0" w:sz="4"/>
            </w:tcBorders>
            <w:tcMar>
              <w:top w:type="dxa" w:w="120"/>
              <w:left w:type="dxa" w:w="160"/>
              <w:bottom w:type="dxa" w:w="120"/>
              <w:right w:type="dxa" w:w="160"/>
            </w:tcMar>
          </w:tcPr>
          <w:p>
            <w:r>
              <w:rPr>
                <w:rFonts w:ascii="Georgia" w:cs="Georgia" w:eastAsia="Georgia" w:hAnsi="Georgia"/>
                <w:sz w:val="20"/>
                <w:szCs w:val="20"/>
              </w:rPr>
              <w:t xml:space="preserve">Medium</w:t>
            </w:r>
          </w:p>
        </w:tc>
      </w:tr>
      <w:tr>
        <w:tc>
          <w:tcPr>
            <w:tcW w:type="dxa" w:w="1300"/>
            <w:tcBorders>
              <w:top w:val="single" w:color="D0D0D0" w:sz="4"/>
              <w:left w:val="single" w:color="D0D0D0" w:sz="4"/>
              <w:bottom w:val="single" w:color="D0D0D0" w:sz="4"/>
              <w:right w:val="single" w:color="D0D0D0" w:sz="4"/>
            </w:tcBorders>
            <w:shd w:fill="FFF4E5" w:color="auto" w:val="clear"/>
            <w:tcMar>
              <w:top w:type="dxa" w:w="120"/>
              <w:left w:type="dxa" w:w="160"/>
              <w:bottom w:type="dxa" w:w="120"/>
              <w:right w:type="dxa" w:w="160"/>
            </w:tcMar>
          </w:tcPr>
          <w:p>
            <w:r>
              <w:rPr>
                <w:rFonts w:ascii="Arial" w:cs="Arial" w:eastAsia="Arial" w:hAnsi="Arial"/>
                <w:b/>
                <w:bCs/>
                <w:sz w:val="20"/>
                <w:szCs w:val="20"/>
              </w:rPr>
              <w:t xml:space="preserve">P1</w:t>
            </w:r>
          </w:p>
        </w:tc>
        <w:tc>
          <w:tcPr>
            <w:tcW w:type="dxa" w:w="2700"/>
            <w:tcBorders>
              <w:top w:val="single" w:color="D0D0D0" w:sz="4"/>
              <w:left w:val="single" w:color="D0D0D0" w:sz="4"/>
              <w:bottom w:val="single" w:color="D0D0D0" w:sz="4"/>
              <w:right w:val="single" w:color="D0D0D0" w:sz="4"/>
            </w:tcBorders>
            <w:tcMar>
              <w:top w:type="dxa" w:w="120"/>
              <w:left w:type="dxa" w:w="160"/>
              <w:bottom w:type="dxa" w:w="120"/>
              <w:right w:type="dxa" w:w="160"/>
            </w:tcMar>
          </w:tcPr>
          <w:p>
            <w:r>
              <w:rPr>
                <w:rFonts w:ascii="Georgia" w:cs="Georgia" w:eastAsia="Georgia" w:hAnsi="Georgia"/>
                <w:sz w:val="20"/>
                <w:szCs w:val="20"/>
              </w:rPr>
              <w:t xml:space="preserve">Add a simple “How we work” section</w:t>
            </w:r>
          </w:p>
        </w:tc>
        <w:tc>
          <w:tcPr>
            <w:tcW w:type="dxa" w:w="3260"/>
            <w:tcBorders>
              <w:top w:val="single" w:color="D0D0D0" w:sz="4"/>
              <w:left w:val="single" w:color="D0D0D0" w:sz="4"/>
              <w:bottom w:val="single" w:color="D0D0D0" w:sz="4"/>
              <w:right w:val="single" w:color="D0D0D0" w:sz="4"/>
            </w:tcBorders>
            <w:tcMar>
              <w:top w:type="dxa" w:w="120"/>
              <w:left w:type="dxa" w:w="160"/>
              <w:bottom w:type="dxa" w:w="120"/>
              <w:right w:type="dxa" w:w="160"/>
            </w:tcMar>
          </w:tcPr>
          <w:p>
            <w:r>
              <w:rPr>
                <w:rFonts w:ascii="Georgia" w:cs="Georgia" w:eastAsia="Georgia" w:hAnsi="Georgia"/>
                <w:sz w:val="20"/>
                <w:szCs w:val="20"/>
              </w:rPr>
              <w:t xml:space="preserve">First-time mural buyers don’t know how the process runs. A short step-by-step (sketch, approval, paint, unveil) reduces friction and sets expectations.</w:t>
            </w:r>
          </w:p>
        </w:tc>
        <w:tc>
          <w:tcPr>
            <w:tcW w:type="dxa" w:w="2100"/>
            <w:tcBorders>
              <w:top w:val="single" w:color="D0D0D0" w:sz="4"/>
              <w:left w:val="single" w:color="D0D0D0" w:sz="4"/>
              <w:bottom w:val="single" w:color="D0D0D0" w:sz="4"/>
              <w:right w:val="single" w:color="D0D0D0" w:sz="4"/>
            </w:tcBorders>
            <w:tcMar>
              <w:top w:type="dxa" w:w="120"/>
              <w:left w:type="dxa" w:w="160"/>
              <w:bottom w:type="dxa" w:w="120"/>
              <w:right w:type="dxa" w:w="160"/>
            </w:tcMar>
          </w:tcPr>
          <w:p>
            <w:r>
              <w:rPr>
                <w:rFonts w:ascii="Georgia" w:cs="Georgia" w:eastAsia="Georgia" w:hAnsi="Georgia"/>
                <w:sz w:val="20"/>
                <w:szCs w:val="20"/>
              </w:rPr>
              <w:t xml:space="preserve">Low</w:t>
            </w:r>
          </w:p>
        </w:tc>
      </w:tr>
      <w:tr>
        <w:tc>
          <w:tcPr>
            <w:tcW w:type="dxa" w:w="1300"/>
            <w:tcBorders>
              <w:top w:val="single" w:color="D0D0D0" w:sz="4"/>
              <w:left w:val="single" w:color="D0D0D0" w:sz="4"/>
              <w:bottom w:val="single" w:color="D0D0D0" w:sz="4"/>
              <w:right w:val="single" w:color="D0D0D0" w:sz="4"/>
            </w:tcBorders>
            <w:shd w:fill="FFF9E5" w:color="auto" w:val="clear"/>
            <w:tcMar>
              <w:top w:type="dxa" w:w="120"/>
              <w:left w:type="dxa" w:w="160"/>
              <w:bottom w:type="dxa" w:w="120"/>
              <w:right w:type="dxa" w:w="160"/>
            </w:tcMar>
          </w:tcPr>
          <w:p>
            <w:r>
              <w:rPr>
                <w:rFonts w:ascii="Arial" w:cs="Arial" w:eastAsia="Arial" w:hAnsi="Arial"/>
                <w:b/>
                <w:bCs/>
                <w:sz w:val="20"/>
                <w:szCs w:val="20"/>
              </w:rPr>
              <w:t xml:space="preserve">P2</w:t>
            </w:r>
          </w:p>
        </w:tc>
        <w:tc>
          <w:tcPr>
            <w:tcW w:type="dxa" w:w="2700"/>
            <w:tcBorders>
              <w:top w:val="single" w:color="D0D0D0" w:sz="4"/>
              <w:left w:val="single" w:color="D0D0D0" w:sz="4"/>
              <w:bottom w:val="single" w:color="D0D0D0" w:sz="4"/>
              <w:right w:val="single" w:color="D0D0D0" w:sz="4"/>
            </w:tcBorders>
            <w:tcMar>
              <w:top w:type="dxa" w:w="120"/>
              <w:left w:type="dxa" w:w="160"/>
              <w:bottom w:type="dxa" w:w="120"/>
              <w:right w:type="dxa" w:w="160"/>
            </w:tcMar>
          </w:tcPr>
          <w:p>
            <w:r>
              <w:rPr>
                <w:rFonts w:ascii="Georgia" w:cs="Georgia" w:eastAsia="Georgia" w:hAnsi="Georgia"/>
                <w:sz w:val="20"/>
                <w:szCs w:val="20"/>
              </w:rPr>
              <w:t xml:space="preserve">Add time-lapse or process video to project detail pages</w:t>
            </w:r>
          </w:p>
        </w:tc>
        <w:tc>
          <w:tcPr>
            <w:tcW w:type="dxa" w:w="3260"/>
            <w:tcBorders>
              <w:top w:val="single" w:color="D0D0D0" w:sz="4"/>
              <w:left w:val="single" w:color="D0D0D0" w:sz="4"/>
              <w:bottom w:val="single" w:color="D0D0D0" w:sz="4"/>
              <w:right w:val="single" w:color="D0D0D0" w:sz="4"/>
            </w:tcBorders>
            <w:tcMar>
              <w:top w:type="dxa" w:w="120"/>
              <w:left w:type="dxa" w:w="160"/>
              <w:bottom w:type="dxa" w:w="120"/>
              <w:right w:type="dxa" w:w="160"/>
            </w:tcMar>
          </w:tcPr>
          <w:p>
            <w:r>
              <w:rPr>
                <w:rFonts w:ascii="Georgia" w:cs="Georgia" w:eastAsia="Georgia" w:hAnsi="Georgia"/>
                <w:sz w:val="20"/>
                <w:szCs w:val="20"/>
              </w:rPr>
              <w:t xml:space="preserve">Murals are born to be filmed. Even a 20-second loop per project transforms the portfolio from static to alive.</w:t>
            </w:r>
          </w:p>
        </w:tc>
        <w:tc>
          <w:tcPr>
            <w:tcW w:type="dxa" w:w="2100"/>
            <w:tcBorders>
              <w:top w:val="single" w:color="D0D0D0" w:sz="4"/>
              <w:left w:val="single" w:color="D0D0D0" w:sz="4"/>
              <w:bottom w:val="single" w:color="D0D0D0" w:sz="4"/>
              <w:right w:val="single" w:color="D0D0D0" w:sz="4"/>
            </w:tcBorders>
            <w:tcMar>
              <w:top w:type="dxa" w:w="120"/>
              <w:left w:type="dxa" w:w="160"/>
              <w:bottom w:type="dxa" w:w="120"/>
              <w:right w:type="dxa" w:w="160"/>
            </w:tcMar>
          </w:tcPr>
          <w:p>
            <w:r>
              <w:rPr>
                <w:rFonts w:ascii="Georgia" w:cs="Georgia" w:eastAsia="Georgia" w:hAnsi="Georgia"/>
                <w:sz w:val="20"/>
                <w:szCs w:val="20"/>
              </w:rPr>
              <w:t xml:space="preserve">Medium</w:t>
            </w:r>
          </w:p>
        </w:tc>
      </w:tr>
      <w:tr>
        <w:tc>
          <w:tcPr>
            <w:tcW w:type="dxa" w:w="1300"/>
            <w:tcBorders>
              <w:top w:val="single" w:color="D0D0D0" w:sz="4"/>
              <w:left w:val="single" w:color="D0D0D0" w:sz="4"/>
              <w:bottom w:val="single" w:color="D0D0D0" w:sz="4"/>
              <w:right w:val="single" w:color="D0D0D0" w:sz="4"/>
            </w:tcBorders>
            <w:shd w:fill="FFF9E5" w:color="auto" w:val="clear"/>
            <w:tcMar>
              <w:top w:type="dxa" w:w="120"/>
              <w:left w:type="dxa" w:w="160"/>
              <w:bottom w:type="dxa" w:w="120"/>
              <w:right w:type="dxa" w:w="160"/>
            </w:tcMar>
          </w:tcPr>
          <w:p>
            <w:r>
              <w:rPr>
                <w:rFonts w:ascii="Arial" w:cs="Arial" w:eastAsia="Arial" w:hAnsi="Arial"/>
                <w:b/>
                <w:bCs/>
                <w:sz w:val="20"/>
                <w:szCs w:val="20"/>
              </w:rPr>
              <w:t xml:space="preserve">P2</w:t>
            </w:r>
          </w:p>
        </w:tc>
        <w:tc>
          <w:tcPr>
            <w:tcW w:type="dxa" w:w="2700"/>
            <w:tcBorders>
              <w:top w:val="single" w:color="D0D0D0" w:sz="4"/>
              <w:left w:val="single" w:color="D0D0D0" w:sz="4"/>
              <w:bottom w:val="single" w:color="D0D0D0" w:sz="4"/>
              <w:right w:val="single" w:color="D0D0D0" w:sz="4"/>
            </w:tcBorders>
            <w:tcMar>
              <w:top w:type="dxa" w:w="120"/>
              <w:left w:type="dxa" w:w="160"/>
              <w:bottom w:type="dxa" w:w="120"/>
              <w:right w:type="dxa" w:w="160"/>
            </w:tcMar>
          </w:tcPr>
          <w:p>
            <w:r>
              <w:rPr>
                <w:rFonts w:ascii="Georgia" w:cs="Georgia" w:eastAsia="Georgia" w:hAnsi="Georgia"/>
                <w:sz w:val="20"/>
                <w:szCs w:val="20"/>
              </w:rPr>
              <w:t xml:space="preserve">Pull in an Instagram grid or recent posts</w:t>
            </w:r>
          </w:p>
        </w:tc>
        <w:tc>
          <w:tcPr>
            <w:tcW w:type="dxa" w:w="3260"/>
            <w:tcBorders>
              <w:top w:val="single" w:color="D0D0D0" w:sz="4"/>
              <w:left w:val="single" w:color="D0D0D0" w:sz="4"/>
              <w:bottom w:val="single" w:color="D0D0D0" w:sz="4"/>
              <w:right w:val="single" w:color="D0D0D0" w:sz="4"/>
            </w:tcBorders>
            <w:tcMar>
              <w:top w:type="dxa" w:w="120"/>
              <w:left w:type="dxa" w:w="160"/>
              <w:bottom w:type="dxa" w:w="120"/>
              <w:right w:type="dxa" w:w="160"/>
            </w:tcMar>
          </w:tcPr>
          <w:p>
            <w:r>
              <w:rPr>
                <w:rFonts w:ascii="Georgia" w:cs="Georgia" w:eastAsia="Georgia" w:hAnsi="Georgia"/>
                <w:sz w:val="20"/>
                <w:szCs w:val="20"/>
              </w:rPr>
              <w:t xml:space="preserve">The @vitalebros account is active. Embedding recent posts proves the studio is currently working and creates reasons to return.</w:t>
            </w:r>
          </w:p>
        </w:tc>
        <w:tc>
          <w:tcPr>
            <w:tcW w:type="dxa" w:w="2100"/>
            <w:tcBorders>
              <w:top w:val="single" w:color="D0D0D0" w:sz="4"/>
              <w:left w:val="single" w:color="D0D0D0" w:sz="4"/>
              <w:bottom w:val="single" w:color="D0D0D0" w:sz="4"/>
              <w:right w:val="single" w:color="D0D0D0" w:sz="4"/>
            </w:tcBorders>
            <w:tcMar>
              <w:top w:type="dxa" w:w="120"/>
              <w:left w:type="dxa" w:w="160"/>
              <w:bottom w:type="dxa" w:w="120"/>
              <w:right w:type="dxa" w:w="160"/>
            </w:tcMar>
          </w:tcPr>
          <w:p>
            <w:r>
              <w:rPr>
                <w:rFonts w:ascii="Georgia" w:cs="Georgia" w:eastAsia="Georgia" w:hAnsi="Georgia"/>
                <w:sz w:val="20"/>
                <w:szCs w:val="20"/>
              </w:rPr>
              <w:t xml:space="preserve">Low</w:t>
            </w:r>
          </w:p>
        </w:tc>
      </w:tr>
      <w:tr>
        <w:tc>
          <w:tcPr>
            <w:tcW w:type="dxa" w:w="1300"/>
            <w:tcBorders>
              <w:top w:val="single" w:color="D0D0D0" w:sz="4"/>
              <w:left w:val="single" w:color="D0D0D0" w:sz="4"/>
              <w:bottom w:val="single" w:color="D0D0D0" w:sz="4"/>
              <w:right w:val="single" w:color="D0D0D0" w:sz="4"/>
            </w:tcBorders>
            <w:shd w:fill="FFF9E5" w:color="auto" w:val="clear"/>
            <w:tcMar>
              <w:top w:type="dxa" w:w="120"/>
              <w:left w:type="dxa" w:w="160"/>
              <w:bottom w:type="dxa" w:w="120"/>
              <w:right w:type="dxa" w:w="160"/>
            </w:tcMar>
          </w:tcPr>
          <w:p>
            <w:r>
              <w:rPr>
                <w:rFonts w:ascii="Arial" w:cs="Arial" w:eastAsia="Arial" w:hAnsi="Arial"/>
                <w:b/>
                <w:bCs/>
                <w:sz w:val="20"/>
                <w:szCs w:val="20"/>
              </w:rPr>
              <w:t xml:space="preserve">P2</w:t>
            </w:r>
          </w:p>
        </w:tc>
        <w:tc>
          <w:tcPr>
            <w:tcW w:type="dxa" w:w="2700"/>
            <w:tcBorders>
              <w:top w:val="single" w:color="D0D0D0" w:sz="4"/>
              <w:left w:val="single" w:color="D0D0D0" w:sz="4"/>
              <w:bottom w:val="single" w:color="D0D0D0" w:sz="4"/>
              <w:right w:val="single" w:color="D0D0D0" w:sz="4"/>
            </w:tcBorders>
            <w:tcMar>
              <w:top w:type="dxa" w:w="120"/>
              <w:left w:type="dxa" w:w="160"/>
              <w:bottom w:type="dxa" w:w="120"/>
              <w:right w:type="dxa" w:w="160"/>
            </w:tcMar>
          </w:tcPr>
          <w:p>
            <w:r>
              <w:rPr>
                <w:rFonts w:ascii="Georgia" w:cs="Georgia" w:eastAsia="Georgia" w:hAnsi="Georgia"/>
                <w:sz w:val="20"/>
                <w:szCs w:val="20"/>
              </w:rPr>
              <w:t xml:space="preserve">Add a short FAQ (cost range, timeline, durability, permits)</w:t>
            </w:r>
          </w:p>
        </w:tc>
        <w:tc>
          <w:tcPr>
            <w:tcW w:type="dxa" w:w="3260"/>
            <w:tcBorders>
              <w:top w:val="single" w:color="D0D0D0" w:sz="4"/>
              <w:left w:val="single" w:color="D0D0D0" w:sz="4"/>
              <w:bottom w:val="single" w:color="D0D0D0" w:sz="4"/>
              <w:right w:val="single" w:color="D0D0D0" w:sz="4"/>
            </w:tcBorders>
            <w:tcMar>
              <w:top w:type="dxa" w:w="120"/>
              <w:left w:type="dxa" w:w="160"/>
              <w:bottom w:type="dxa" w:w="120"/>
              <w:right w:type="dxa" w:w="160"/>
            </w:tcMar>
          </w:tcPr>
          <w:p>
            <w:r>
              <w:rPr>
                <w:rFonts w:ascii="Georgia" w:cs="Georgia" w:eastAsia="Georgia" w:hAnsi="Georgia"/>
                <w:sz w:val="20"/>
                <w:szCs w:val="20"/>
              </w:rPr>
              <w:t xml:space="preserve">Prospects Google these questions before they call. Answering them on-page builds trust and improves search visibility.</w:t>
            </w:r>
          </w:p>
        </w:tc>
        <w:tc>
          <w:tcPr>
            <w:tcW w:type="dxa" w:w="2100"/>
            <w:tcBorders>
              <w:top w:val="single" w:color="D0D0D0" w:sz="4"/>
              <w:left w:val="single" w:color="D0D0D0" w:sz="4"/>
              <w:bottom w:val="single" w:color="D0D0D0" w:sz="4"/>
              <w:right w:val="single" w:color="D0D0D0" w:sz="4"/>
            </w:tcBorders>
            <w:tcMar>
              <w:top w:type="dxa" w:w="120"/>
              <w:left w:type="dxa" w:w="160"/>
              <w:bottom w:type="dxa" w:w="120"/>
              <w:right w:type="dxa" w:w="160"/>
            </w:tcMar>
          </w:tcPr>
          <w:p>
            <w:r>
              <w:rPr>
                <w:rFonts w:ascii="Georgia" w:cs="Georgia" w:eastAsia="Georgia" w:hAnsi="Georgia"/>
                <w:sz w:val="20"/>
                <w:szCs w:val="20"/>
              </w:rPr>
              <w:t xml:space="preserve">Low</w:t>
            </w:r>
          </w:p>
        </w:tc>
      </w:tr>
      <w:tr>
        <w:tc>
          <w:tcPr>
            <w:tcW w:type="dxa" w:w="1300"/>
            <w:tcBorders>
              <w:top w:val="single" w:color="D0D0D0" w:sz="4"/>
              <w:left w:val="single" w:color="D0D0D0" w:sz="4"/>
              <w:bottom w:val="single" w:color="D0D0D0" w:sz="4"/>
              <w:right w:val="single" w:color="D0D0D0" w:sz="4"/>
            </w:tcBorders>
            <w:shd w:fill="FFF9E5" w:color="auto" w:val="clear"/>
            <w:tcMar>
              <w:top w:type="dxa" w:w="120"/>
              <w:left w:type="dxa" w:w="160"/>
              <w:bottom w:type="dxa" w:w="120"/>
              <w:right w:type="dxa" w:w="160"/>
            </w:tcMar>
          </w:tcPr>
          <w:p>
            <w:r>
              <w:rPr>
                <w:rFonts w:ascii="Arial" w:cs="Arial" w:eastAsia="Arial" w:hAnsi="Arial"/>
                <w:b/>
                <w:bCs/>
                <w:sz w:val="20"/>
                <w:szCs w:val="20"/>
              </w:rPr>
              <w:t xml:space="preserve">P2</w:t>
            </w:r>
          </w:p>
        </w:tc>
        <w:tc>
          <w:tcPr>
            <w:tcW w:type="dxa" w:w="2700"/>
            <w:tcBorders>
              <w:top w:val="single" w:color="D0D0D0" w:sz="4"/>
              <w:left w:val="single" w:color="D0D0D0" w:sz="4"/>
              <w:bottom w:val="single" w:color="D0D0D0" w:sz="4"/>
              <w:right w:val="single" w:color="D0D0D0" w:sz="4"/>
            </w:tcBorders>
            <w:tcMar>
              <w:top w:type="dxa" w:w="120"/>
              <w:left w:type="dxa" w:w="160"/>
              <w:bottom w:type="dxa" w:w="120"/>
              <w:right w:type="dxa" w:w="160"/>
            </w:tcMar>
          </w:tcPr>
          <w:p>
            <w:r>
              <w:rPr>
                <w:rFonts w:ascii="Georgia" w:cs="Georgia" w:eastAsia="Georgia" w:hAnsi="Georgia"/>
                <w:sz w:val="20"/>
                <w:szCs w:val="20"/>
              </w:rPr>
              <w:t xml:space="preserve">Revisit the hero headline</w:t>
            </w:r>
          </w:p>
        </w:tc>
        <w:tc>
          <w:tcPr>
            <w:tcW w:type="dxa" w:w="3260"/>
            <w:tcBorders>
              <w:top w:val="single" w:color="D0D0D0" w:sz="4"/>
              <w:left w:val="single" w:color="D0D0D0" w:sz="4"/>
              <w:bottom w:val="single" w:color="D0D0D0" w:sz="4"/>
              <w:right w:val="single" w:color="D0D0D0" w:sz="4"/>
            </w:tcBorders>
            <w:tcMar>
              <w:top w:type="dxa" w:w="120"/>
              <w:left w:type="dxa" w:w="160"/>
              <w:bottom w:type="dxa" w:w="120"/>
              <w:right w:type="dxa" w:w="160"/>
            </w:tcMar>
          </w:tcPr>
          <w:p>
            <w:r>
              <w:rPr>
                <w:rFonts w:ascii="Georgia" w:cs="Georgia" w:eastAsia="Georgia" w:hAnsi="Georgia"/>
                <w:sz w:val="20"/>
                <w:szCs w:val="20"/>
              </w:rPr>
              <w:t xml:space="preserve">“Making Walls Come Alive” is clear but generic for the category. The “Hustle &amp; Heart” / napkin-sketch story is more ownable.</w:t>
            </w:r>
          </w:p>
        </w:tc>
        <w:tc>
          <w:tcPr>
            <w:tcW w:type="dxa" w:w="2100"/>
            <w:tcBorders>
              <w:top w:val="single" w:color="D0D0D0" w:sz="4"/>
              <w:left w:val="single" w:color="D0D0D0" w:sz="4"/>
              <w:bottom w:val="single" w:color="D0D0D0" w:sz="4"/>
              <w:right w:val="single" w:color="D0D0D0" w:sz="4"/>
            </w:tcBorders>
            <w:tcMar>
              <w:top w:type="dxa" w:w="120"/>
              <w:left w:type="dxa" w:w="160"/>
              <w:bottom w:type="dxa" w:w="120"/>
              <w:right w:type="dxa" w:w="160"/>
            </w:tcMar>
          </w:tcPr>
          <w:p>
            <w:r>
              <w:rPr>
                <w:rFonts w:ascii="Georgia" w:cs="Georgia" w:eastAsia="Georgia" w:hAnsi="Georgia"/>
                <w:sz w:val="20"/>
                <w:szCs w:val="20"/>
              </w:rPr>
              <w:t xml:space="preserve">Low</w:t>
            </w:r>
          </w:p>
        </w:tc>
      </w:tr>
      <w:tr>
        <w:tc>
          <w:tcPr>
            <w:tcW w:type="dxa" w:w="1300"/>
            <w:tcBorders>
              <w:top w:val="single" w:color="D0D0D0" w:sz="4"/>
              <w:left w:val="single" w:color="D0D0D0" w:sz="4"/>
              <w:bottom w:val="single" w:color="D0D0D0" w:sz="4"/>
              <w:right w:val="single" w:color="D0D0D0" w:sz="4"/>
            </w:tcBorders>
            <w:shd w:fill="FFF9E5" w:color="auto" w:val="clear"/>
            <w:tcMar>
              <w:top w:type="dxa" w:w="120"/>
              <w:left w:type="dxa" w:w="160"/>
              <w:bottom w:type="dxa" w:w="120"/>
              <w:right w:type="dxa" w:w="160"/>
            </w:tcMar>
          </w:tcPr>
          <w:p>
            <w:r>
              <w:rPr>
                <w:rFonts w:ascii="Arial" w:cs="Arial" w:eastAsia="Arial" w:hAnsi="Arial"/>
                <w:b/>
                <w:bCs/>
                <w:sz w:val="20"/>
                <w:szCs w:val="20"/>
              </w:rPr>
              <w:t xml:space="preserve">P2</w:t>
            </w:r>
          </w:p>
        </w:tc>
        <w:tc>
          <w:tcPr>
            <w:tcW w:type="dxa" w:w="2700"/>
            <w:tcBorders>
              <w:top w:val="single" w:color="D0D0D0" w:sz="4"/>
              <w:left w:val="single" w:color="D0D0D0" w:sz="4"/>
              <w:bottom w:val="single" w:color="D0D0D0" w:sz="4"/>
              <w:right w:val="single" w:color="D0D0D0" w:sz="4"/>
            </w:tcBorders>
            <w:tcMar>
              <w:top w:type="dxa" w:w="120"/>
              <w:left w:type="dxa" w:w="160"/>
              <w:bottom w:type="dxa" w:w="120"/>
              <w:right w:type="dxa" w:w="160"/>
            </w:tcMar>
          </w:tcPr>
          <w:p>
            <w:r>
              <w:rPr>
                <w:rFonts w:ascii="Georgia" w:cs="Georgia" w:eastAsia="Georgia" w:hAnsi="Georgia"/>
                <w:sz w:val="20"/>
                <w:szCs w:val="20"/>
              </w:rPr>
              <w:t xml:space="preserve">Add LocalBusiness structured data and proper OG images for SEO</w:t>
            </w:r>
          </w:p>
        </w:tc>
        <w:tc>
          <w:tcPr>
            <w:tcW w:type="dxa" w:w="3260"/>
            <w:tcBorders>
              <w:top w:val="single" w:color="D0D0D0" w:sz="4"/>
              <w:left w:val="single" w:color="D0D0D0" w:sz="4"/>
              <w:bottom w:val="single" w:color="D0D0D0" w:sz="4"/>
              <w:right w:val="single" w:color="D0D0D0" w:sz="4"/>
            </w:tcBorders>
            <w:tcMar>
              <w:top w:type="dxa" w:w="120"/>
              <w:left w:type="dxa" w:w="160"/>
              <w:bottom w:type="dxa" w:w="120"/>
              <w:right w:type="dxa" w:w="160"/>
            </w:tcMar>
          </w:tcPr>
          <w:p>
            <w:r>
              <w:rPr>
                <w:rFonts w:ascii="Georgia" w:cs="Georgia" w:eastAsia="Georgia" w:hAnsi="Georgia"/>
                <w:sz w:val="20"/>
                <w:szCs w:val="20"/>
              </w:rPr>
              <w:t xml:space="preserve">A local studio with 30+ years of work should rank strongly for “muralist St. Petersburg” and related terms. Schema and OG make that possible.</w:t>
            </w:r>
          </w:p>
        </w:tc>
        <w:tc>
          <w:tcPr>
            <w:tcW w:type="dxa" w:w="2100"/>
            <w:tcBorders>
              <w:top w:val="single" w:color="D0D0D0" w:sz="4"/>
              <w:left w:val="single" w:color="D0D0D0" w:sz="4"/>
              <w:bottom w:val="single" w:color="D0D0D0" w:sz="4"/>
              <w:right w:val="single" w:color="D0D0D0" w:sz="4"/>
            </w:tcBorders>
            <w:tcMar>
              <w:top w:type="dxa" w:w="120"/>
              <w:left w:type="dxa" w:w="160"/>
              <w:bottom w:type="dxa" w:w="120"/>
              <w:right w:type="dxa" w:w="160"/>
            </w:tcMar>
          </w:tcPr>
          <w:p>
            <w:r>
              <w:rPr>
                <w:rFonts w:ascii="Georgia" w:cs="Georgia" w:eastAsia="Georgia" w:hAnsi="Georgia"/>
                <w:sz w:val="20"/>
                <w:szCs w:val="20"/>
              </w:rPr>
              <w:t xml:space="preserve">Low</w:t>
            </w:r>
          </w:p>
        </w:tc>
      </w:tr>
      <w:tr>
        <w:tc>
          <w:tcPr>
            <w:tcW w:type="dxa" w:w="1300"/>
            <w:tcBorders>
              <w:top w:val="single" w:color="D0D0D0" w:sz="4"/>
              <w:left w:val="single" w:color="D0D0D0" w:sz="4"/>
              <w:bottom w:val="single" w:color="D0D0D0" w:sz="4"/>
              <w:right w:val="single" w:color="D0D0D0" w:sz="4"/>
            </w:tcBorders>
            <w:shd w:fill="F2F2F2" w:color="auto" w:val="clear"/>
            <w:tcMar>
              <w:top w:type="dxa" w:w="120"/>
              <w:left w:type="dxa" w:w="160"/>
              <w:bottom w:type="dxa" w:w="120"/>
              <w:right w:type="dxa" w:w="160"/>
            </w:tcMar>
          </w:tcPr>
          <w:p>
            <w:r>
              <w:rPr>
                <w:rFonts w:ascii="Arial" w:cs="Arial" w:eastAsia="Arial" w:hAnsi="Arial"/>
                <w:b/>
                <w:bCs/>
                <w:sz w:val="20"/>
                <w:szCs w:val="20"/>
              </w:rPr>
              <w:t xml:space="preserve">P3</w:t>
            </w:r>
          </w:p>
        </w:tc>
        <w:tc>
          <w:tcPr>
            <w:tcW w:type="dxa" w:w="2700"/>
            <w:tcBorders>
              <w:top w:val="single" w:color="D0D0D0" w:sz="4"/>
              <w:left w:val="single" w:color="D0D0D0" w:sz="4"/>
              <w:bottom w:val="single" w:color="D0D0D0" w:sz="4"/>
              <w:right w:val="single" w:color="D0D0D0" w:sz="4"/>
            </w:tcBorders>
            <w:tcMar>
              <w:top w:type="dxa" w:w="120"/>
              <w:left w:type="dxa" w:w="160"/>
              <w:bottom w:type="dxa" w:w="120"/>
              <w:right w:type="dxa" w:w="160"/>
            </w:tcMar>
          </w:tcPr>
          <w:p>
            <w:r>
              <w:rPr>
                <w:rFonts w:ascii="Georgia" w:cs="Georgia" w:eastAsia="Georgia" w:hAnsi="Georgia"/>
                <w:sz w:val="20"/>
                <w:szCs w:val="20"/>
              </w:rPr>
              <w:t xml:space="preserve">Build a “Mural Map” of Vitale work around Tampa Bay</w:t>
            </w:r>
          </w:p>
        </w:tc>
        <w:tc>
          <w:tcPr>
            <w:tcW w:type="dxa" w:w="3260"/>
            <w:tcBorders>
              <w:top w:val="single" w:color="D0D0D0" w:sz="4"/>
              <w:left w:val="single" w:color="D0D0D0" w:sz="4"/>
              <w:bottom w:val="single" w:color="D0D0D0" w:sz="4"/>
              <w:right w:val="single" w:color="D0D0D0" w:sz="4"/>
            </w:tcBorders>
            <w:tcMar>
              <w:top w:type="dxa" w:w="120"/>
              <w:left w:type="dxa" w:w="160"/>
              <w:bottom w:type="dxa" w:w="120"/>
              <w:right w:type="dxa" w:w="160"/>
            </w:tcMar>
          </w:tcPr>
          <w:p>
            <w:r>
              <w:rPr>
                <w:rFonts w:ascii="Georgia" w:cs="Georgia" w:eastAsia="Georgia" w:hAnsi="Georgia"/>
                <w:sz w:val="20"/>
                <w:szCs w:val="20"/>
              </w:rPr>
              <w:t xml:space="preserve">A gift to locals and tourists, and an easy content flywheel. Also a standout feature compared to peer studios.</w:t>
            </w:r>
          </w:p>
        </w:tc>
        <w:tc>
          <w:tcPr>
            <w:tcW w:type="dxa" w:w="2100"/>
            <w:tcBorders>
              <w:top w:val="single" w:color="D0D0D0" w:sz="4"/>
              <w:left w:val="single" w:color="D0D0D0" w:sz="4"/>
              <w:bottom w:val="single" w:color="D0D0D0" w:sz="4"/>
              <w:right w:val="single" w:color="D0D0D0" w:sz="4"/>
            </w:tcBorders>
            <w:tcMar>
              <w:top w:type="dxa" w:w="120"/>
              <w:left w:type="dxa" w:w="160"/>
              <w:bottom w:type="dxa" w:w="120"/>
              <w:right w:type="dxa" w:w="160"/>
            </w:tcMar>
          </w:tcPr>
          <w:p>
            <w:r>
              <w:rPr>
                <w:rFonts w:ascii="Georgia" w:cs="Georgia" w:eastAsia="Georgia" w:hAnsi="Georgia"/>
                <w:sz w:val="20"/>
                <w:szCs w:val="20"/>
              </w:rPr>
              <w:t xml:space="preserve">High</w:t>
            </w:r>
          </w:p>
        </w:tc>
      </w:tr>
      <w:tr>
        <w:tc>
          <w:tcPr>
            <w:tcW w:type="dxa" w:w="1300"/>
            <w:tcBorders>
              <w:top w:val="single" w:color="D0D0D0" w:sz="4"/>
              <w:left w:val="single" w:color="D0D0D0" w:sz="4"/>
              <w:bottom w:val="single" w:color="D0D0D0" w:sz="4"/>
              <w:right w:val="single" w:color="D0D0D0" w:sz="4"/>
            </w:tcBorders>
            <w:shd w:fill="F2F2F2" w:color="auto" w:val="clear"/>
            <w:tcMar>
              <w:top w:type="dxa" w:w="120"/>
              <w:left w:type="dxa" w:w="160"/>
              <w:bottom w:type="dxa" w:w="120"/>
              <w:right w:type="dxa" w:w="160"/>
            </w:tcMar>
          </w:tcPr>
          <w:p>
            <w:r>
              <w:rPr>
                <w:rFonts w:ascii="Arial" w:cs="Arial" w:eastAsia="Arial" w:hAnsi="Arial"/>
                <w:b/>
                <w:bCs/>
                <w:sz w:val="20"/>
                <w:szCs w:val="20"/>
              </w:rPr>
              <w:t xml:space="preserve">P3</w:t>
            </w:r>
          </w:p>
        </w:tc>
        <w:tc>
          <w:tcPr>
            <w:tcW w:type="dxa" w:w="2700"/>
            <w:tcBorders>
              <w:top w:val="single" w:color="D0D0D0" w:sz="4"/>
              <w:left w:val="single" w:color="D0D0D0" w:sz="4"/>
              <w:bottom w:val="single" w:color="D0D0D0" w:sz="4"/>
              <w:right w:val="single" w:color="D0D0D0" w:sz="4"/>
            </w:tcBorders>
            <w:tcMar>
              <w:top w:type="dxa" w:w="120"/>
              <w:left w:type="dxa" w:w="160"/>
              <w:bottom w:type="dxa" w:w="120"/>
              <w:right w:type="dxa" w:w="160"/>
            </w:tcMar>
          </w:tcPr>
          <w:p>
            <w:r>
              <w:rPr>
                <w:rFonts w:ascii="Georgia" w:cs="Georgia" w:eastAsia="Georgia" w:hAnsi="Georgia"/>
                <w:sz w:val="20"/>
                <w:szCs w:val="20"/>
              </w:rPr>
              <w:t xml:space="preserve">Typography study: explore a characterful display face</w:t>
            </w:r>
          </w:p>
        </w:tc>
        <w:tc>
          <w:tcPr>
            <w:tcW w:type="dxa" w:w="3260"/>
            <w:tcBorders>
              <w:top w:val="single" w:color="D0D0D0" w:sz="4"/>
              <w:left w:val="single" w:color="D0D0D0" w:sz="4"/>
              <w:bottom w:val="single" w:color="D0D0D0" w:sz="4"/>
              <w:right w:val="single" w:color="D0D0D0" w:sz="4"/>
            </w:tcBorders>
            <w:tcMar>
              <w:top w:type="dxa" w:w="120"/>
              <w:left w:type="dxa" w:w="160"/>
              <w:bottom w:type="dxa" w:w="120"/>
              <w:right w:type="dxa" w:w="160"/>
            </w:tcMar>
          </w:tcPr>
          <w:p>
            <w:r>
              <w:rPr>
                <w:rFonts w:ascii="Georgia" w:cs="Georgia" w:eastAsia="Georgia" w:hAnsi="Georgia"/>
                <w:sz w:val="20"/>
                <w:szCs w:val="20"/>
              </w:rPr>
              <w:t xml:space="preserve">Bebas Neue is safe. A more hand-lettered or signwriter-inspired face would echo Johnny’s sign-painting roots and feel more distinctly Vitale.</w:t>
            </w:r>
          </w:p>
        </w:tc>
        <w:tc>
          <w:tcPr>
            <w:tcW w:type="dxa" w:w="2100"/>
            <w:tcBorders>
              <w:top w:val="single" w:color="D0D0D0" w:sz="4"/>
              <w:left w:val="single" w:color="D0D0D0" w:sz="4"/>
              <w:bottom w:val="single" w:color="D0D0D0" w:sz="4"/>
              <w:right w:val="single" w:color="D0D0D0" w:sz="4"/>
            </w:tcBorders>
            <w:tcMar>
              <w:top w:type="dxa" w:w="120"/>
              <w:left w:type="dxa" w:w="160"/>
              <w:bottom w:type="dxa" w:w="120"/>
              <w:right w:type="dxa" w:w="160"/>
            </w:tcMar>
          </w:tcPr>
          <w:p>
            <w:r>
              <w:rPr>
                <w:rFonts w:ascii="Georgia" w:cs="Georgia" w:eastAsia="Georgia" w:hAnsi="Georgia"/>
                <w:sz w:val="20"/>
                <w:szCs w:val="20"/>
              </w:rPr>
              <w:t xml:space="preserve">Medium</w:t>
            </w:r>
          </w:p>
        </w:tc>
      </w:tr>
    </w:tbl>
    <w:p>
      <w:pPr>
        <w:spacing w:after="200"/>
      </w:pPr>
      <w:r>
        <w:t xml:space="preserve"/>
      </w:r>
    </w:p>
    <w:p>
      <w:pPr>
        <w:pStyle w:val="Heading1"/>
        <w:spacing w:after="200" w:before="320"/>
      </w:pPr>
      <w:r>
        <w:rPr>
          <w:rFonts w:ascii="Arial" w:cs="Arial" w:eastAsia="Arial" w:hAnsi="Arial"/>
          <w:b/>
          <w:bCs/>
          <w:color w:val="0A0A0A"/>
          <w:sz w:val="36"/>
          <w:szCs w:val="36"/>
        </w:rPr>
        <w:t xml:space="preserve">A suggested phasing plan</w:t>
      </w:r>
    </w:p>
    <w:p>
      <w:pPr>
        <w:pStyle w:val="Heading3"/>
        <w:spacing w:after="120" w:before="220"/>
      </w:pPr>
      <w:r>
        <w:rPr>
          <w:rFonts w:ascii="Arial" w:cs="Arial" w:eastAsia="Arial" w:hAnsi="Arial"/>
          <w:b/>
          <w:bCs/>
          <w:color w:val="B01319"/>
          <w:sz w:val="24"/>
          <w:szCs w:val="24"/>
        </w:rPr>
        <w:t xml:space="preserve">Phase 1, this week</w:t>
      </w:r>
    </w:p>
    <w:p>
      <w:pPr>
        <w:spacing w:after="160" w:line="320"/>
      </w:pPr>
      <w:r>
        <w:rPr>
          <w:rFonts w:ascii="Georgia" w:cs="Georgia" w:eastAsia="Georgia" w:hAnsi="Georgia"/>
          <w:sz w:val="22"/>
          <w:szCs w:val="22"/>
        </w:rPr>
        <w:t xml:space="preserve">Focus on credibility and conversion. Wire the contact form. Replace placeholder testimonials with two or three real quotes. Add a client logo row and a press logo row to the homepage. Update the copyright year. If possible, shoot and drop in photos of the crew. No layout changes yet.</w:t>
      </w:r>
    </w:p>
    <w:p>
      <w:pPr>
        <w:pStyle w:val="Heading3"/>
        <w:spacing w:after="120" w:before="220"/>
      </w:pPr>
      <w:r>
        <w:rPr>
          <w:rFonts w:ascii="Arial" w:cs="Arial" w:eastAsia="Arial" w:hAnsi="Arial"/>
          <w:b/>
          <w:bCs/>
          <w:color w:val="B01319"/>
          <w:sz w:val="24"/>
          <w:szCs w:val="24"/>
        </w:rPr>
        <w:t xml:space="preserve">Phase 2, the next two weeks</w:t>
      </w:r>
    </w:p>
    <w:p>
      <w:pPr>
        <w:spacing w:after="160" w:line="320"/>
      </w:pPr>
      <w:r>
        <w:rPr>
          <w:rFonts w:ascii="Georgia" w:cs="Georgia" w:eastAsia="Georgia" w:hAnsi="Georgia"/>
          <w:sz w:val="22"/>
          <w:szCs w:val="22"/>
        </w:rPr>
        <w:t xml:space="preserve">Focus on depth. Import 20 to 40 portfolio entries (thumbnails and tags are enough to start). Wire each service card to either a filtered view or a dedicated page. Build a short How We Work section and a six-question FAQ. Swap the hero scrim to a panel-behind-text treatment so more art shows.</w:t>
      </w:r>
    </w:p>
    <w:p>
      <w:pPr>
        <w:pStyle w:val="Heading3"/>
        <w:spacing w:after="120" w:before="220"/>
      </w:pPr>
      <w:r>
        <w:rPr>
          <w:rFonts w:ascii="Arial" w:cs="Arial" w:eastAsia="Arial" w:hAnsi="Arial"/>
          <w:b/>
          <w:bCs/>
          <w:color w:val="B01319"/>
          <w:sz w:val="24"/>
          <w:szCs w:val="24"/>
        </w:rPr>
        <w:t xml:space="preserve">Phase 3, the month after</w:t>
      </w:r>
    </w:p>
    <w:p>
      <w:pPr>
        <w:spacing w:after="160" w:line="320"/>
      </w:pPr>
      <w:r>
        <w:rPr>
          <w:rFonts w:ascii="Georgia" w:cs="Georgia" w:eastAsia="Georgia" w:hAnsi="Georgia"/>
          <w:sz w:val="22"/>
          <w:szCs w:val="22"/>
        </w:rPr>
        <w:t xml:space="preserve">Focus on voice. Experiment with a more ownable headline tied to Hustle &amp; Heart. Prototype an off-black or warm-neutral palette on one or two sections. Pilot a typography alternative on the hero only. Add time-lapse or process video on two or three flagship project pages.</w:t>
      </w:r>
    </w:p>
    <w:p>
      <w:pPr>
        <w:pStyle w:val="Heading3"/>
        <w:spacing w:after="120" w:before="220"/>
      </w:pPr>
      <w:r>
        <w:rPr>
          <w:rFonts w:ascii="Arial" w:cs="Arial" w:eastAsia="Arial" w:hAnsi="Arial"/>
          <w:b/>
          <w:bCs/>
          <w:color w:val="B01319"/>
          <w:sz w:val="24"/>
          <w:szCs w:val="24"/>
        </w:rPr>
        <w:t xml:space="preserve">Phase 4, ongoing</w:t>
      </w:r>
    </w:p>
    <w:p>
      <w:pPr>
        <w:spacing w:after="160" w:line="320"/>
      </w:pPr>
      <w:r>
        <w:rPr>
          <w:rFonts w:ascii="Georgia" w:cs="Georgia" w:eastAsia="Georgia" w:hAnsi="Georgia"/>
          <w:sz w:val="22"/>
          <w:szCs w:val="22"/>
        </w:rPr>
        <w:t xml:space="preserve">Build the mural map. Grow the ArtBeat blog into a real content engine (one post a month is enough). Consider an email capture on ArtBeat for fans and prospective clients.</w:t>
      </w:r>
    </w:p>
    <w:p>
      <w:pPr>
        <w:pStyle w:val="Heading1"/>
        <w:spacing w:after="200" w:before="320"/>
      </w:pPr>
      <w:r>
        <w:rPr>
          <w:rFonts w:ascii="Arial" w:cs="Arial" w:eastAsia="Arial" w:hAnsi="Arial"/>
          <w:b/>
          <w:bCs/>
          <w:color w:val="0A0A0A"/>
          <w:sz w:val="36"/>
          <w:szCs w:val="36"/>
        </w:rPr>
        <w:t xml:space="preserve">New site vs. current live site</w:t>
      </w:r>
    </w:p>
    <w:p>
      <w:pPr>
        <w:spacing w:after="160" w:line="320"/>
      </w:pPr>
      <w:r>
        <w:rPr>
          <w:rFonts w:ascii="Georgia" w:cs="Georgia" w:eastAsia="Georgia" w:hAnsi="Georgia"/>
          <w:sz w:val="22"/>
          <w:szCs w:val="22"/>
        </w:rPr>
        <w:t xml:space="preserve">After comparing the two side by side, a few things on the live site are actually stronger than the new version and should be carried forward, not left behind.</w:t>
      </w:r>
    </w:p>
    <w:p>
      <w:pPr>
        <w:pStyle w:val="Heading3"/>
        <w:spacing w:after="120" w:before="220"/>
      </w:pPr>
      <w:r>
        <w:rPr>
          <w:rFonts w:ascii="Arial" w:cs="Arial" w:eastAsia="Arial" w:hAnsi="Arial"/>
          <w:b/>
          <w:bCs/>
          <w:color w:val="B01319"/>
          <w:sz w:val="24"/>
          <w:szCs w:val="24"/>
        </w:rPr>
        <w:t xml:space="preserve">Real testimonials with real names</w:t>
      </w:r>
    </w:p>
    <w:p>
      <w:pPr>
        <w:spacing w:after="160" w:line="320"/>
      </w:pPr>
      <w:r>
        <w:rPr>
          <w:rFonts w:ascii="Georgia" w:cs="Georgia" w:eastAsia="Georgia" w:hAnsi="Georgia"/>
          <w:sz w:val="22"/>
          <w:szCs w:val="22"/>
        </w:rPr>
        <w:t xml:space="preserve">The live site already has a full 8-quote carousel with real named clients: Ashley Cantero, Dan Pemberton (Pesky Pelican), Michael Sheehan, Melissa Phillips, Mitchell Rogers, Elizabeth Young, AirBorn Kiss, and Amanda Hargett. These are gold. The quotes are specific, warm, and mention the studio’s impact on the St. Pete community. They should be imported directly into the new site, replacing the placeholder trio. I’ve pulled five of them into the HTML prototype as a starting point.</w:t>
      </w:r>
    </w:p>
    <w:p>
      <w:pPr>
        <w:pStyle w:val="Heading3"/>
        <w:spacing w:after="120" w:before="220"/>
      </w:pPr>
      <w:r>
        <w:rPr>
          <w:rFonts w:ascii="Arial" w:cs="Arial" w:eastAsia="Arial" w:hAnsi="Arial"/>
          <w:b/>
          <w:bCs/>
          <w:color w:val="B01319"/>
          <w:sz w:val="24"/>
          <w:szCs w:val="24"/>
        </w:rPr>
        <w:t xml:space="preserve">Instagram “Daily Art Feed”</w:t>
      </w:r>
    </w:p>
    <w:p>
      <w:pPr>
        <w:spacing w:after="160" w:line="320"/>
      </w:pPr>
      <w:r>
        <w:rPr>
          <w:rFonts w:ascii="Georgia" w:cs="Georgia" w:eastAsia="Georgia" w:hAnsi="Georgia"/>
          <w:sz w:val="22"/>
          <w:szCs w:val="22"/>
        </w:rPr>
        <w:t xml:space="preserve">The live homepage embeds a live Instagram grid from @vitalebros labeled “Daily Art Feed.” The new site removes this entirely, which is a regression. The feed does three things at once: it proves the studio is actively working, it surfaces fresh content without any CMS work, and it gives visitors a reason to come back. The new site should restore it (the easiest path is a free widget like Elfsight, or a simple oEmbed grid fed by the IG Graph API).</w:t>
      </w:r>
    </w:p>
    <w:p>
      <w:pPr>
        <w:pStyle w:val="Heading3"/>
        <w:spacing w:after="120" w:before="220"/>
      </w:pPr>
      <w:r>
        <w:rPr>
          <w:rFonts w:ascii="Arial" w:cs="Arial" w:eastAsia="Arial" w:hAnsi="Arial"/>
          <w:b/>
          <w:bCs/>
          <w:color w:val="B01319"/>
          <w:sz w:val="24"/>
          <w:szCs w:val="24"/>
        </w:rPr>
        <w:t xml:space="preserve">Intro video</w:t>
      </w:r>
    </w:p>
    <w:p>
      <w:pPr>
        <w:spacing w:after="160" w:line="320"/>
      </w:pPr>
      <w:r>
        <w:rPr>
          <w:rFonts w:ascii="Georgia" w:cs="Georgia" w:eastAsia="Georgia" w:hAnsi="Georgia"/>
          <w:sz w:val="22"/>
          <w:szCs w:val="22"/>
        </w:rPr>
        <w:t xml:space="preserve">The live site has a “Play Video” button in the hero area. The new site has no video anywhere. For mural work, motion is the single best medium: time-lapse reveals, transitions from blank wall to finished mural, live painting clips. At minimum, reintroduce a short studio reel. Ideally, add time-lapse loops on flagship project pages.</w:t>
      </w:r>
    </w:p>
    <w:p>
      <w:pPr>
        <w:pStyle w:val="Heading3"/>
        <w:spacing w:after="120" w:before="220"/>
      </w:pPr>
      <w:r>
        <w:rPr>
          <w:rFonts w:ascii="Arial" w:cs="Arial" w:eastAsia="Arial" w:hAnsi="Arial"/>
          <w:b/>
          <w:bCs/>
          <w:color w:val="B01319"/>
          <w:sz w:val="24"/>
          <w:szCs w:val="24"/>
        </w:rPr>
        <w:t xml:space="preserve">Different service categories</w:t>
      </w:r>
    </w:p>
    <w:p>
      <w:pPr>
        <w:spacing w:after="160" w:line="320"/>
      </w:pPr>
      <w:r>
        <w:rPr>
          <w:rFonts w:ascii="Georgia" w:cs="Georgia" w:eastAsia="Georgia" w:hAnsi="Georgia"/>
          <w:sz w:val="22"/>
          <w:szCs w:val="22"/>
        </w:rPr>
        <w:t xml:space="preserve">The live site’s service buckets are Murals, Branding, Community Street Art, and Retail. The new site trades Community Street Art and Retail for Live Painting and Signs &amp; Canvas. Neither is wrong, but “Community Street Art” is a meaningful brand positioning: it ties Vitale to St. Pete’s public art scene (SHINE, the Woodson Museum BLM mural, Downtown Tampa parking garages) and is harder for competitors to copy. Consider keeping “Community” or “Civic” as a visible service track alongside commercial and residential.</w:t>
      </w:r>
    </w:p>
    <w:p>
      <w:pPr>
        <w:pStyle w:val="Heading3"/>
        <w:spacing w:after="120" w:before="220"/>
      </w:pPr>
      <w:r>
        <w:rPr>
          <w:rFonts w:ascii="Arial" w:cs="Arial" w:eastAsia="Arial" w:hAnsi="Arial"/>
          <w:b/>
          <w:bCs/>
          <w:color w:val="B01319"/>
          <w:sz w:val="24"/>
          <w:szCs w:val="24"/>
        </w:rPr>
        <w:t xml:space="preserve">Copyright is already out of date on the live site too</w:t>
      </w:r>
    </w:p>
    <w:p>
      <w:pPr>
        <w:spacing w:after="160" w:line="320"/>
      </w:pPr>
      <w:r>
        <w:rPr>
          <w:rFonts w:ascii="Georgia" w:cs="Georgia" w:eastAsia="Georgia" w:hAnsi="Georgia"/>
          <w:sz w:val="22"/>
          <w:szCs w:val="22"/>
        </w:rPr>
        <w:t xml:space="preserve">The live site footer reads “Copyright Vitale Bros. 2024.” Make sure whichever site ships runs a dynamic year so this doesn’t keep drifting.</w:t>
      </w:r>
    </w:p>
    <w:p>
      <w:pPr>
        <w:pStyle w:val="Heading3"/>
        <w:spacing w:after="120" w:before="220"/>
      </w:pPr>
      <w:r>
        <w:rPr>
          <w:rFonts w:ascii="Arial" w:cs="Arial" w:eastAsia="Arial" w:hAnsi="Arial"/>
          <w:b/>
          <w:bCs/>
          <w:color w:val="B01319"/>
          <w:sz w:val="24"/>
          <w:szCs w:val="24"/>
        </w:rPr>
        <w:t xml:space="preserve">What the new site does better</w:t>
      </w:r>
    </w:p>
    <w:p>
      <w:pPr>
        <w:spacing w:after="160" w:line="320"/>
      </w:pPr>
      <w:r>
        <w:rPr>
          <w:rFonts w:ascii="Georgia" w:cs="Georgia" w:eastAsia="Georgia" w:hAnsi="Georgia"/>
          <w:sz w:val="22"/>
          <w:szCs w:val="22"/>
        </w:rPr>
        <w:t xml:space="preserve">The new site’s hero is more cinematic and dense with information (stats, dual CTAs, slideshow). The project detail pages (especially rays, bucs, backyard-escapes) are a clear step up in storytelling. The ArtBeat aggregator is a better container for press than the live site’s treatment. And the information architecture is cleaner. None of this should be thrown out.</w:t>
      </w:r>
    </w:p>
    <w:p>
      <w:pPr>
        <w:pStyle w:val="Heading1"/>
        <w:spacing w:after="200" w:before="320"/>
      </w:pPr>
      <w:r>
        <w:rPr>
          <w:rFonts w:ascii="Arial" w:cs="Arial" w:eastAsia="Arial" w:hAnsi="Arial"/>
          <w:b/>
          <w:bCs/>
          <w:color w:val="0A0A0A"/>
          <w:sz w:val="36"/>
          <w:szCs w:val="36"/>
        </w:rPr>
        <w:t xml:space="preserve">A note on direction</w:t>
      </w:r>
    </w:p>
    <w:p>
      <w:pPr>
        <w:spacing w:after="160" w:line="320"/>
      </w:pPr>
      <w:r>
        <w:rPr>
          <w:rFonts w:ascii="Georgia" w:cs="Georgia" w:eastAsia="Georgia" w:hAnsi="Georgia"/>
          <w:sz w:val="22"/>
          <w:szCs w:val="22"/>
        </w:rPr>
        <w:t xml:space="preserve">If the question driving this review is “Should I ship the new site or start over?”, my answer is ship it, but not yet. The design system is good enough that starting over would be a waste. What the site is missing isn’t craft; it’s content and a small number of intentional choices (palette warmth, hero balance, services routing) that make it feel less like a template and more like Vitale Bros. Work through the P0 list and you’ll already be in better shape than the live site. Work through P0 and P1 and you’ll have something the studio is proud to link to.</w:t>
      </w:r>
    </w:p>
    <w:p>
      <w:pPr>
        <w:spacing w:after="160" w:line="320"/>
      </w:pPr>
      <w:r>
        <w:rPr>
          <w:rFonts w:ascii="Georgia" w:cs="Georgia" w:eastAsia="Georgia" w:hAnsi="Georgia"/>
          <w:sz w:val="22"/>
          <w:szCs w:val="22"/>
        </w:rPr>
        <w:t xml:space="preserve">I’ve also put together a working HTML prototype of a reworked homepage so you can see the ideas rather than just read them. It lives alongside this document.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08080"/>
        <w:sz w:val="16"/>
        <w:szCs w:val="16"/>
      </w:rPr>
      <w:t xml:space="preserve">Vitale Bros. Design Review   |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0A0A0A"/>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0A0A0A"/>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B0131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Vitale Bros. Website Design Review</dc:title>
  <dc:creator>Claude</dc:creator>
  <cp:lastModifiedBy>Un-named</cp:lastModifiedBy>
  <cp:revision>1</cp:revision>
  <dcterms:created xsi:type="dcterms:W3CDTF">2026-04-17T23:45:40.574Z</dcterms:created>
  <dcterms:modified xsi:type="dcterms:W3CDTF">2026-04-17T23:45:40.574Z</dcterms:modified>
</cp:coreProperties>
</file>

<file path=docProps/custom.xml><?xml version="1.0" encoding="utf-8"?>
<Properties xmlns="http://schemas.openxmlformats.org/officeDocument/2006/custom-properties" xmlns:vt="http://schemas.openxmlformats.org/officeDocument/2006/docPropsVTypes"/>
</file>