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Default="0044115B">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is entered into on _</w:t>
      </w:r>
      <w:r>
        <w:rPr>
          <w:rStyle w:val="pln"/>
          <w:rFonts w:ascii="Segoe UI" w:hAnsi="Segoe UI" w:cs="Segoe UI"/>
          <w:color w:val="000000"/>
          <w:sz w:val="23"/>
          <w:szCs w:val="23"/>
        </w:rPr>
        <w:t>$</w:t>
      </w:r>
      <w:r>
        <w:rPr>
          <w:rStyle w:val="pun"/>
          <w:rFonts w:ascii="Segoe UI" w:hAnsi="Segoe UI" w:cs="Segoe UI"/>
          <w:color w:val="666600"/>
          <w:sz w:val="23"/>
          <w:szCs w:val="23"/>
        </w:rPr>
        <w:t>{</w:t>
      </w:r>
      <w:proofErr w:type="spellStart"/>
      <w:r>
        <w:rPr>
          <w:rStyle w:val="pln"/>
          <w:rFonts w:ascii="Segoe UI" w:hAnsi="Segoe UI" w:cs="Segoe UI"/>
          <w:color w:val="000000"/>
          <w:sz w:val="23"/>
          <w:szCs w:val="23"/>
        </w:rPr>
        <w:t>firstname</w:t>
      </w:r>
      <w:proofErr w:type="spellEnd"/>
      <w:r>
        <w:rPr>
          <w:rStyle w:val="pun"/>
          <w:rFonts w:ascii="Segoe UI" w:hAnsi="Segoe UI" w:cs="Segoe UI"/>
          <w:color w:val="666600"/>
          <w:sz w:val="23"/>
          <w:szCs w:val="23"/>
        </w:rPr>
        <w:t>}</w:t>
      </w:r>
      <w:r>
        <w:rPr>
          <w:rFonts w:ascii="Times New Roman" w:eastAsia="Times New Roman" w:hAnsi="Times New Roman" w:cs="Times New Roman"/>
          <w:color w:val="000000"/>
          <w:sz w:val="24"/>
          <w:szCs w:val="24"/>
        </w:rPr>
        <w:t xml:space="preserve">_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by and between _</w:t>
      </w:r>
      <w:r>
        <w:rPr>
          <w:rStyle w:val="pln"/>
          <w:rFonts w:ascii="Segoe UI" w:hAnsi="Segoe UI" w:cs="Segoe UI"/>
          <w:color w:val="000000"/>
          <w:sz w:val="23"/>
          <w:szCs w:val="23"/>
        </w:rPr>
        <w:t>$</w:t>
      </w:r>
      <w:r>
        <w:rPr>
          <w:rStyle w:val="pun"/>
          <w:rFonts w:ascii="Segoe UI" w:hAnsi="Segoe UI" w:cs="Segoe UI"/>
          <w:color w:val="666600"/>
          <w:sz w:val="23"/>
          <w:szCs w:val="23"/>
        </w:rPr>
        <w:t>{</w:t>
      </w:r>
      <w:r>
        <w:rPr>
          <w:rStyle w:val="pln"/>
          <w:rFonts w:ascii="Segoe UI" w:hAnsi="Segoe UI" w:cs="Segoe UI"/>
          <w:color w:val="000000"/>
          <w:sz w:val="23"/>
          <w:szCs w:val="23"/>
        </w:rPr>
        <w:t>lastname</w:t>
      </w:r>
      <w:r>
        <w:rPr>
          <w:rStyle w:val="pun"/>
          <w:rFonts w:ascii="Segoe UI" w:hAnsi="Segoe UI" w:cs="Segoe UI"/>
          <w:color w:val="666600"/>
          <w:sz w:val="23"/>
          <w:szCs w:val="23"/>
        </w:rPr>
        <w:t>}</w:t>
      </w:r>
      <w:bookmarkStart w:id="0" w:name="_GoBack"/>
      <w:bookmarkEnd w:id="0"/>
      <w:r>
        <w:rPr>
          <w:rFonts w:ascii="Times New Roman" w:eastAsia="Times New Roman" w:hAnsi="Times New Roman" w:cs="Times New Roman"/>
          <w:color w:val="000000"/>
          <w:sz w:val="24"/>
          <w:szCs w:val="24"/>
        </w:rPr>
        <w:t xml:space="preserve">_, with an address of ________________,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________________, with an address of ________________,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(collectively referred to a</w:t>
      </w:r>
      <w:r>
        <w:rPr>
          <w:rFonts w:ascii="Times New Roman" w:eastAsia="Times New Roman" w:hAnsi="Times New Roman" w:cs="Times New Roman"/>
          <w:color w:val="000000"/>
          <w:sz w:val="24"/>
          <w:szCs w:val="24"/>
        </w:rPr>
        <w:t xml:space="preserve">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44115B">
      <w:pPr>
        <w:numPr>
          <w:ilvl w:val="0"/>
          <w:numId w:val="2"/>
        </w:numPr>
        <w:pBdr>
          <w:top w:val="nil"/>
          <w:left w:val="nil"/>
          <w:bottom w:val="nil"/>
          <w:right w:val="nil"/>
          <w:between w:val="nil"/>
        </w:pBdr>
        <w:spacing w:after="200"/>
        <w:jc w:val="both"/>
        <w:rPr>
          <w:sz w:val="24"/>
          <w:szCs w:val="24"/>
        </w:rPr>
      </w:pPr>
      <w:hyperlink r:id="rId6">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w:t>
      </w:r>
      <w:r>
        <w:rPr>
          <w:rFonts w:ascii="Times New Roman" w:eastAsia="Times New Roman" w:hAnsi="Times New Roman" w:cs="Times New Roman"/>
          <w:sz w:val="24"/>
          <w:szCs w:val="24"/>
        </w:rPr>
        <w:t>sis.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SERVICES PROVIDED</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Hereby, the Consultant agrees to provide the services enlisted below (hereinafter referred to as the “</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Parties agree that t</w:t>
      </w:r>
      <w:r>
        <w:rPr>
          <w:rFonts w:ascii="Times New Roman" w:eastAsia="Times New Roman" w:hAnsi="Times New Roman" w:cs="Times New Roman"/>
          <w:sz w:val="24"/>
          <w:szCs w:val="24"/>
        </w:rPr>
        <w:t xml:space="preserve">he Services must be completed by </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w:t>
      </w: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It is hereby agreed that the Consultant will provide an invoice with an amount of _______________</w:t>
      </w:r>
      <w:proofErr w:type="gramStart"/>
      <w:r>
        <w:rPr>
          <w:rFonts w:ascii="Times New Roman" w:eastAsia="Times New Roman" w:hAnsi="Times New Roman" w:cs="Times New Roman"/>
          <w:sz w:val="24"/>
          <w:szCs w:val="24"/>
        </w:rPr>
        <w:t>_  to</w:t>
      </w:r>
      <w:proofErr w:type="gramEnd"/>
      <w:r>
        <w:rPr>
          <w:rFonts w:ascii="Times New Roman" w:eastAsia="Times New Roman" w:hAnsi="Times New Roman" w:cs="Times New Roman"/>
          <w:sz w:val="24"/>
          <w:szCs w:val="24"/>
        </w:rPr>
        <w:t xml:space="preserve"> the Company on the first day of every month for all the Services provided, as well as any pre-approved expenses incurred during the previous month. </w:t>
      </w:r>
    </w:p>
    <w:p w:rsidR="004146F1" w:rsidRDefault="004146F1">
      <w:pPr>
        <w:pBdr>
          <w:top w:val="nil"/>
          <w:left w:val="nil"/>
          <w:bottom w:val="nil"/>
          <w:right w:val="nil"/>
          <w:between w:val="nil"/>
        </w:pBdr>
        <w:spacing w:after="200" w:line="240" w:lineRule="auto"/>
        <w:ind w:left="360"/>
        <w:rPr>
          <w:rFonts w:ascii="Times New Roman" w:eastAsia="Times New Roman" w:hAnsi="Times New Roman" w:cs="Times New Roman"/>
          <w:b/>
          <w:color w:val="000000"/>
          <w:sz w:val="24"/>
          <w:szCs w:val="24"/>
          <w:u w:val="single"/>
        </w:rPr>
      </w:pPr>
    </w:p>
    <w:p w:rsidR="004146F1" w:rsidRDefault="0044115B">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lastRenderedPageBreak/>
        <w:t>The</w:t>
      </w:r>
      <w:r>
        <w:rPr>
          <w:rFonts w:ascii="Times New Roman" w:eastAsia="Times New Roman" w:hAnsi="Times New Roman" w:cs="Times New Roman"/>
          <w:sz w:val="24"/>
          <w:szCs w:val="24"/>
        </w:rPr>
        <w:t xml:space="preserve"> Parties agree that the Company is to pay the invoice within ________________ days. </w:t>
      </w:r>
    </w:p>
    <w:p w:rsidR="004146F1" w:rsidRDefault="0044115B">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agree that the Company will pay the invoice by means of ________________.</w:t>
      </w: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Parties agree that the Consultant is entitled to the reimbursement of all expenses incurred in providing the Services agreed upon. </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Company agrees to pre-approve all expenses that exceed the amount of ________________, on condition that the Consulta</w:t>
      </w:r>
      <w:r>
        <w:rPr>
          <w:rFonts w:ascii="Times New Roman" w:eastAsia="Times New Roman" w:hAnsi="Times New Roman" w:cs="Times New Roman"/>
          <w:sz w:val="24"/>
          <w:szCs w:val="24"/>
        </w:rPr>
        <w:t>nt includes a proof of payment or a receipt for all the reimbursable expenses.</w:t>
      </w:r>
      <w:r>
        <w:rPr>
          <w:rFonts w:ascii="Times New Roman" w:eastAsia="Times New Roman" w:hAnsi="Times New Roman" w:cs="Times New Roman"/>
          <w:color w:val="000000"/>
          <w:sz w:val="24"/>
          <w:szCs w:val="24"/>
        </w:rPr>
        <w:t xml:space="preserve"> </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Under no circumstances shall the Consultant be considered an employee, representative, age</w:t>
      </w:r>
      <w:r>
        <w:rPr>
          <w:rFonts w:ascii="Times New Roman" w:eastAsia="Times New Roman" w:hAnsi="Times New Roman" w:cs="Times New Roman"/>
          <w:sz w:val="24"/>
          <w:szCs w:val="24"/>
        </w:rPr>
        <w:t xml:space="preserve">nt or partner. </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Agreement does not create any other partnership between the Parties.</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EXCLUSIVITY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w:t>
      </w:r>
      <w:r>
        <w:rPr>
          <w:rFonts w:ascii="Times New Roman" w:eastAsia="Times New Roman" w:hAnsi="Times New Roman" w:cs="Times New Roman"/>
          <w:sz w:val="24"/>
          <w:szCs w:val="24"/>
        </w:rPr>
        <w:t xml:space="preserve"> parties.</w:t>
      </w:r>
      <w:r>
        <w:rPr>
          <w:rFonts w:ascii="Times New Roman" w:eastAsia="Times New Roman" w:hAnsi="Times New Roman" w:cs="Times New Roman"/>
          <w:color w:val="000000"/>
          <w:sz w:val="24"/>
          <w:szCs w:val="24"/>
        </w:rPr>
        <w:t xml:space="preserve"> </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rsidR="004146F1" w:rsidRDefault="0044115B">
      <w:pPr>
        <w:numPr>
          <w:ilvl w:val="0"/>
          <w:numId w:val="3"/>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This Agreement may be terminated in the event that any of the following occurs:</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Immediately, in </w:t>
      </w:r>
      <w:r>
        <w:rPr>
          <w:rFonts w:ascii="Times New Roman" w:eastAsia="Times New Roman" w:hAnsi="Times New Roman" w:cs="Times New Roman"/>
          <w:sz w:val="24"/>
          <w:szCs w:val="24"/>
        </w:rPr>
        <w:t xml:space="preserve">the event that </w:t>
      </w:r>
      <w:r>
        <w:rPr>
          <w:rFonts w:ascii="Times New Roman" w:eastAsia="Times New Roman" w:hAnsi="Times New Roman" w:cs="Times New Roman"/>
          <w:color w:val="000000"/>
          <w:sz w:val="24"/>
          <w:szCs w:val="24"/>
        </w:rPr>
        <w:t>one of the Parties breaches this Agreement or one of the conditions set forth in this Agreement and does not amend them within a period of ________________.</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any given time by providing a written notice to the other party ________________ days prior to t</w:t>
      </w:r>
      <w:r>
        <w:rPr>
          <w:rFonts w:ascii="Times New Roman" w:eastAsia="Times New Roman" w:hAnsi="Times New Roman" w:cs="Times New Roman"/>
          <w:color w:val="000000"/>
          <w:sz w:val="24"/>
          <w:szCs w:val="24"/>
        </w:rPr>
        <w:t>erminating the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DISPUTE RESOLUTION</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Any dispute or difference whatsoever arising out of or in connection with this Agreement shall be submitted to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rbitration/mediation/negotiation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ircle one) in accordance with, and subject to the laws of ______</w:t>
      </w:r>
      <w:r>
        <w:rPr>
          <w:rFonts w:ascii="Times New Roman" w:eastAsia="Times New Roman" w:hAnsi="Times New Roman" w:cs="Times New Roman"/>
          <w:color w:val="000000"/>
          <w:sz w:val="24"/>
          <w:szCs w:val="24"/>
        </w:rPr>
        <w:t>__________.</w:t>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OWNERSHIP</w:t>
      </w:r>
    </w:p>
    <w:p w:rsidR="004146F1" w:rsidRDefault="004146F1">
      <w:pPr>
        <w:spacing w:after="200" w:line="240" w:lineRule="auto"/>
        <w:jc w:val="both"/>
        <w:rPr>
          <w:rFonts w:ascii="Times New Roman" w:eastAsia="Times New Roman" w:hAnsi="Times New Roman" w:cs="Times New Roman"/>
          <w:b/>
          <w:sz w:val="24"/>
          <w:szCs w:val="24"/>
          <w:u w:val="single"/>
        </w:rPr>
      </w:pP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lastRenderedPageBreak/>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7">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governed by and construed in accordance with the laws of ________________.</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8">
        <w:r>
          <w:rPr>
            <w:rFonts w:ascii="Times New Roman" w:eastAsia="Times New Roman" w:hAnsi="Times New Roman" w:cs="Times New Roman"/>
            <w:sz w:val="24"/>
            <w:szCs w:val="24"/>
          </w:rPr>
          <w:t>All terms</w:t>
        </w:r>
      </w:hyperlink>
      <w:r>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w:t>
      </w:r>
      <w:r>
        <w:rPr>
          <w:rFonts w:ascii="Times New Roman" w:eastAsia="Times New Roman" w:hAnsi="Times New Roman" w:cs="Times New Roman"/>
          <w:sz w:val="24"/>
          <w:szCs w:val="24"/>
        </w:rPr>
        <w:t>ss the disclosure is required pursuant to process of law.</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In the event that any provision of this Agreement is found to be void and unenforceable by a court of co</w:t>
      </w:r>
      <w:r>
        <w:rPr>
          <w:rFonts w:ascii="Times New Roman" w:eastAsia="Times New Roman" w:hAnsi="Times New Roman" w:cs="Times New Roman"/>
          <w:sz w:val="24"/>
          <w:szCs w:val="24"/>
        </w:rPr>
        <w:t>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9">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contains the entire agreement and unde</w:t>
      </w:r>
      <w:r>
        <w:rPr>
          <w:rFonts w:ascii="Times New Roman" w:eastAsia="Times New Roman" w:hAnsi="Times New Roman" w:cs="Times New Roman"/>
          <w:sz w:val="24"/>
          <w:szCs w:val="24"/>
        </w:rPr>
        <w:t xml:space="preserve">rstanding among the Parties hereto with respect to the subject matter hereof, and supersedes all prior agreements, understandings, inducements and conditions, express or implied, oral or written, of any nature whatsoever with respect to the subject matter </w:t>
      </w:r>
      <w:r>
        <w:rPr>
          <w:rFonts w:ascii="Times New Roman" w:eastAsia="Times New Roman" w:hAnsi="Times New Roman" w:cs="Times New Roman"/>
          <w:sz w:val="24"/>
          <w:szCs w:val="24"/>
        </w:rPr>
        <w:t>hereof. The express terms hereof control and supersede any course of performance and/or usage of the trade inconsistent with any of the terms hereof.</w:t>
      </w:r>
      <w:r>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w:t>
      </w:r>
      <w:r>
        <w:rPr>
          <w:rFonts w:ascii="Times New Roman" w:eastAsia="Times New Roman" w:hAnsi="Times New Roman" w:cs="Times New Roman"/>
          <w:sz w:val="24"/>
          <w:szCs w:val="24"/>
        </w:rPr>
        <w:t>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CONSULTANT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659"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w:t>
            </w:r>
            <w:r>
              <w:rPr>
                <w:rFonts w:ascii="Times New Roman" w:eastAsia="Times New Roman" w:hAnsi="Times New Roman" w:cs="Times New Roman"/>
                <w:sz w:val="24"/>
                <w:szCs w:val="24"/>
              </w:rPr>
              <w:t>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4146F1"/>
    <w:rsid w:val="00441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confidentiality-clause" TargetMode="External"/><Relationship Id="rId3" Type="http://schemas.microsoft.com/office/2007/relationships/stylesWithEffects" Target="stylesWithEffect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2</cp:revision>
  <dcterms:created xsi:type="dcterms:W3CDTF">2023-04-10T10:10:00Z</dcterms:created>
  <dcterms:modified xsi:type="dcterms:W3CDTF">2023-04-10T10:11:00Z</dcterms:modified>
</cp:coreProperties>
</file>