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BME688 Gas-Sensor AI Methodology</w:t>
        <w:br/>
        <w:t>for the Multi-Sensor Fruit &amp; Vegetable Freshness System</w:t>
      </w:r>
    </w:p>
    <w:p>
      <w:pPr>
        <w:jc w:val="center"/>
      </w:pPr>
      <w:r>
        <w:rPr>
          <w:i/>
          <w:sz w:val="22"/>
        </w:rPr>
        <w:t>Agentic-AI implementation handoff document</w:t>
      </w:r>
    </w:p>
    <w:p>
      <w:pPr>
        <w:pStyle w:val="Heading1"/>
      </w:pPr>
      <w:r>
        <w:t>1. Objective and Role of the BME688</w:t>
      </w:r>
    </w:p>
    <w:p>
      <w:r>
        <w:rPr>
          <w:b/>
        </w:rPr>
        <w:t xml:space="preserve">Goal: </w:t>
      </w:r>
      <w:r>
        <w:t>Use the BME688 as an electronic-nose sensor inside a closed approximately 27.8 L container to detect changes in the volatile-gas fingerprint associated with produce deterioration. The BME688 should not be treated as a single “gas percentage” sensor and should not directly claim nutritional health.</w:t>
      </w:r>
    </w:p>
    <w:p>
      <w:r>
        <w:rPr>
          <w:b/>
        </w:rPr>
        <w:t xml:space="preserve">The system has three sensing streams: </w:t>
      </w:r>
      <w:r>
        <w:t>8 normal-LED RGB views from the Raspberry Pi camera, 8 synchronized UV-A views of the same fruit, and a BME688 gas/environment time-series. The BME688 branch should learn spoilage-related gas patterns and later feed a multimodal fusion model.</w:t>
      </w:r>
    </w:p>
    <w:p>
      <w:pPr>
        <w:pStyle w:val="Heading1"/>
      </w:pPr>
      <w:r>
        <w:t>2. Core Design Principle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Fruit in sealed 27.8 L box</w:t>
        <w:br/>
        <w:t xml:space="preserve">        ↓</w:t>
        <w:br/>
        <w:t>BME688 heater-profile cycles</w:t>
        <w:br/>
        <w:t xml:space="preserve">        ↓</w:t>
        <w:br/>
        <w:t>Gas-response time series + T/RH/pressure</w:t>
        <w:br/>
        <w:t xml:space="preserve">        ↓</w:t>
        <w:br/>
        <w:t>BME688 classifier (BME AI-Studio and/or custom ML)</w:t>
        <w:br/>
        <w:t xml:space="preserve">        ↓</w:t>
        <w:br/>
        <w:t>Fresh / Early Spoilage / Rotten probabilities</w:t>
        <w:br/>
        <w:t xml:space="preserve">        ↓</w:t>
        <w:br/>
        <w:t>Fusion with RGB + UV-A visual features</w:t>
        <w:br/>
        <w:t xml:space="preserve">        ↓</w:t>
        <w:br/>
        <w:t>Final freshness / condition prediction</w:t>
      </w:r>
    </w:p>
    <w:p>
      <w:pPr>
        <w:pStyle w:val="Heading1"/>
      </w:pPr>
      <w:r>
        <w:t>3. What to Measure</w:t>
      </w:r>
    </w:p>
    <w:p>
      <w:r>
        <w:t>Do NOT build the dataset around a single value such as “Gas = 73%”. Preserve the complete response over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Signal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  <w:tc>
          <w:tcPr>
            <w:tcW w:type="dxa" w:w="3408"/>
            <w:shd w:fill="D9EAF7"/>
          </w:tcPr>
          <w:p>
            <w:r>
              <w:t>Keep in raw dataset?</w:t>
            </w:r>
          </w:p>
        </w:tc>
      </w:tr>
      <w:tr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Time ordering / synchronization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Cycle / sample index</w:t>
            </w:r>
          </w:p>
        </w:tc>
        <w:tc>
          <w:tcPr>
            <w:tcW w:type="dxa" w:w="3408"/>
          </w:tcPr>
          <w:p>
            <w:r>
              <w:t>Identify position in gas response sequence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Heater-profile step</w:t>
            </w:r>
          </w:p>
        </w:tc>
        <w:tc>
          <w:tcPr>
            <w:tcW w:type="dxa" w:w="3408"/>
          </w:tcPr>
          <w:p>
            <w:r>
              <w:t>Preserve multi-step gas-response information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Gas resistance / gas signal</w:t>
            </w:r>
          </w:p>
        </w:tc>
        <w:tc>
          <w:tcPr>
            <w:tcW w:type="dxa" w:w="3408"/>
          </w:tcPr>
          <w:p>
            <w:r>
              <w:t>Primary gas fingerprint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Temperature</w:t>
            </w:r>
          </w:p>
        </w:tc>
        <w:tc>
          <w:tcPr>
            <w:tcW w:type="dxa" w:w="3408"/>
          </w:tcPr>
          <w:p>
            <w:r>
              <w:t>Environmental context and confounder check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Relative humidity</w:t>
            </w:r>
          </w:p>
        </w:tc>
        <w:tc>
          <w:tcPr>
            <w:tcW w:type="dxa" w:w="3408"/>
          </w:tcPr>
          <w:p>
            <w:r>
              <w:t>Environmental context and confounder check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Pressure</w:t>
            </w:r>
          </w:p>
        </w:tc>
        <w:tc>
          <w:tcPr>
            <w:tcW w:type="dxa" w:w="3408"/>
          </w:tcPr>
          <w:p>
            <w:r>
              <w:t>Environmental context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Sensor/device ID</w:t>
            </w:r>
          </w:p>
        </w:tc>
        <w:tc>
          <w:tcPr>
            <w:tcW w:type="dxa" w:w="3408"/>
          </w:tcPr>
          <w:p>
            <w:r>
              <w:t>Reproducibility / hardware tracking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Fruit/specimen metadata</w:t>
            </w:r>
          </w:p>
        </w:tc>
        <w:tc>
          <w:tcPr>
            <w:tcW w:type="dxa" w:w="3408"/>
          </w:tcPr>
          <w:p>
            <w:r>
              <w:t>Ground truth association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</w:tbl>
    <w:p>
      <w:pPr>
        <w:pStyle w:val="Heading1"/>
      </w:pPr>
      <w:r>
        <w:t>4. Physical Experimental Setup</w:t>
      </w:r>
    </w:p>
    <w:p>
      <w:pPr>
        <w:pStyle w:val="ListBullet"/>
      </w:pPr>
      <w:r>
        <w:t>Use the same sealed approximately 27.8 L box geometry for training and evaluation whenever possible.</w:t>
      </w:r>
    </w:p>
    <w:p>
      <w:pPr>
        <w:pStyle w:val="ListBullet"/>
      </w:pPr>
      <w:r>
        <w:t>Keep BME688 position fixed. Do not move it between experiments.</w:t>
      </w:r>
    </w:p>
    <w:p>
      <w:pPr>
        <w:pStyle w:val="ListBullet"/>
      </w:pPr>
      <w:r>
        <w:t>Keep fruit placement fixed or document its position.</w:t>
      </w:r>
    </w:p>
    <w:p>
      <w:pPr>
        <w:pStyle w:val="ListBullet"/>
      </w:pPr>
      <w:r>
        <w:t>Keep the sensor-to-produce distance as consistent as practical.</w:t>
      </w:r>
    </w:p>
    <w:p>
      <w:pPr>
        <w:pStyle w:val="ListBullet"/>
      </w:pPr>
      <w:r>
        <w:t>Use the same hardware, wiring, power configuration, and heater-profile/duty-cycle configuration for data intended for the same model.</w:t>
      </w:r>
    </w:p>
    <w:p>
      <w:pPr>
        <w:pStyle w:val="ListBullet"/>
      </w:pPr>
      <w:r>
        <w:t>Record environmental conditions because temperature and humidity can affect sensor responses and can become accidental shortcuts for the model.</w:t>
      </w:r>
    </w:p>
    <w:p>
      <w:pPr>
        <w:pStyle w:val="ListBullet"/>
      </w:pPr>
      <w:r>
        <w:t>Do not expose the sensor to uncontrolled sprays, cleaning chemicals, perfume, smoke, or other strong VOC sources during experiments.</w:t>
      </w:r>
    </w:p>
    <w:p>
      <w:r>
        <w:rPr>
          <w:b/>
        </w:rPr>
        <w:t xml:space="preserve">Bosch reference: </w:t>
      </w:r>
      <w:hyperlink r:id="rId9">
        <w:r>
          <w:rPr>
            <w:color w:val="0563C1"/>
            <w:u w:val="single"/>
          </w:rPr>
          <w:t>BME AI-Studio documentation</w:t>
        </w:r>
      </w:hyperlink>
      <w:r>
        <w:t xml:space="preserve"> — use it for the official BME688 data-recording, specimen, training, and deployment workflow.</w:t>
      </w:r>
    </w:p>
    <w:p>
      <w:pPr>
        <w:pStyle w:val="Heading1"/>
      </w:pPr>
      <w:r>
        <w:t>5. Experimental Data Collection Protocol</w:t>
      </w:r>
    </w:p>
    <w:p>
      <w:pPr>
        <w:pStyle w:val="ListNumber"/>
      </w:pPr>
      <w:r>
        <w:t>Start with an empty-box baseline. Record the BME688 response with the same operating configuration used for produce experiments. Repeat baseline measurements across multiple days if possible.</w:t>
      </w:r>
    </w:p>
    <w:p>
      <w:pPr>
        <w:pStyle w:val="ListNumber"/>
      </w:pPr>
      <w:r>
        <w:t>Place one known specimen in the box and close the container.</w:t>
      </w:r>
    </w:p>
    <w:p>
      <w:pPr>
        <w:pStyle w:val="ListNumber"/>
      </w:pPr>
      <w:r>
        <w:t>Allow a consistent stabilization/measurement period before comparing results across specimens. Do not vary the measurement duration arbitrarily.</w:t>
      </w:r>
    </w:p>
    <w:p>
      <w:pPr>
        <w:pStyle w:val="ListNumber"/>
      </w:pPr>
      <w:r>
        <w:t>Record the BME688 continuously through repeated heater-profile cycles. Preserve the raw time series.</w:t>
      </w:r>
    </w:p>
    <w:p>
      <w:pPr>
        <w:pStyle w:val="ListNumber"/>
      </w:pPr>
      <w:r>
        <w:t>At the same specimen/time point, capture the 8 RGB views and 8 UV-A views so all three sensing streams share the same specimen ID.</w:t>
      </w:r>
    </w:p>
    <w:p>
      <w:pPr>
        <w:pStyle w:val="ListNumber"/>
      </w:pPr>
      <w:r>
        <w:t>Assign a ground-truth condition based on the physical state of the produce, not merely on the storage day.</w:t>
      </w:r>
    </w:p>
    <w:p>
      <w:pPr>
        <w:pStyle w:val="ListNumber"/>
      </w:pPr>
      <w:r>
        <w:t>Repeat over multiple days of storage and across many different specimens of each target produce type.</w:t>
      </w:r>
    </w:p>
    <w:p>
      <w:pPr>
        <w:pStyle w:val="ListNumber"/>
      </w:pPr>
      <w:r>
        <w:t>Repeat at different reasonable quantities/masses so the model does not learn “more fruit = rotten”.</w:t>
      </w:r>
    </w:p>
    <w:p>
      <w:pPr>
        <w:pStyle w:val="ListNumber"/>
      </w:pPr>
      <w:r>
        <w:t>Repeat under different realistic temperatures/humidity conditions so the model is tested against environmental variation.</w:t>
      </w:r>
    </w:p>
    <w:p>
      <w:pPr>
        <w:pStyle w:val="Heading1"/>
      </w:pPr>
      <w:r>
        <w:t>6. Recommended BME688 Classes</w:t>
      </w:r>
    </w:p>
    <w:p>
      <w:r>
        <w:t>Recommended first-stage classification task: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Class 0 = Empty / Background</w:t>
        <w:br/>
        <w:t>Class 1 = Fresh</w:t>
        <w:br/>
        <w:t>Class 2 = Early Spoilage</w:t>
        <w:br/>
        <w:t>Class 3 = Rotten</w:t>
      </w:r>
    </w:p>
    <w:p>
      <w:r>
        <w:t>Use these as the initial BME688 targets. Ripeness is a separate concept and should not automatically be mapped to spoilage.</w:t>
      </w:r>
    </w:p>
    <w:p>
      <w:pPr>
        <w:pStyle w:val="ListBullet"/>
      </w:pPr>
      <w:r>
        <w:t>A ripe banana is not automatically rotten.</w:t>
      </w:r>
    </w:p>
    <w:p>
      <w:pPr>
        <w:pStyle w:val="ListBullet"/>
      </w:pPr>
      <w:r>
        <w:t>A bruised fruit is not automatically rotten.</w:t>
      </w:r>
    </w:p>
    <w:p>
      <w:pPr>
        <w:pStyle w:val="ListBullet"/>
      </w:pPr>
      <w:r>
        <w:t>Storage day is not the label; physical condition is the label.</w:t>
      </w:r>
    </w:p>
    <w:p>
      <w:pPr>
        <w:pStyle w:val="Heading1"/>
      </w:pPr>
      <w:r>
        <w:t>7. The Most Important Dataset Unit: SPECIMEN_ID</w:t>
      </w:r>
    </w:p>
    <w:p>
      <w:r>
        <w:t>The individual fruit or vegetable specimen should be the fundamental experimental unit. The 16 camera images and the BME688 recording for that specimen must all share one identifier.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SPECIMEN_ID = BAN_027</w:t>
        <w:br/>
        <w:br/>
        <w:t>RGB: 8 synchronized angles</w:t>
        <w:br/>
        <w:t>UV-A: 8 synchronized angles</w:t>
        <w:br/>
        <w:t>BME688: full time-series</w:t>
        <w:br/>
        <w:t>Ground truth: Early Spoilage</w:t>
      </w:r>
    </w:p>
    <w:p>
      <w:pPr>
        <w:pStyle w:val="Heading1"/>
      </w:pPr>
      <w:r>
        <w:t>8. Synchronize RGB, UV-A and BME688</w:t>
      </w:r>
    </w:p>
    <w:p>
      <w:r>
        <w:t>For each specimen, capture corresponding views: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RGB_000 ↔ UV_000</w:t>
        <w:br/>
        <w:t>RGB_045 ↔ UV_045</w:t>
        <w:br/>
        <w:t>RGB_090 ↔ UV_090</w:t>
        <w:br/>
        <w:t>RGB_135 ↔ UV_135</w:t>
        <w:br/>
        <w:t>RGB_180 ↔ UV_180</w:t>
        <w:br/>
        <w:t>RGB_225 ↔ UV_225</w:t>
        <w:br/>
        <w:t>RGB_270 ↔ UV_270</w:t>
        <w:br/>
        <w:t>RGB_315 ↔ UV_315</w:t>
      </w:r>
    </w:p>
    <w:p>
      <w:r>
        <w:t>The BME688 does not have “angles”. It should instead be recorded as a time-series associated with the same SPECIMEN_ID and experiment session.</w:t>
      </w:r>
    </w:p>
    <w:p>
      <w:pPr>
        <w:pStyle w:val="Heading1"/>
      </w:pPr>
      <w:r>
        <w:t>9. Recommended Storage Structure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dataset/</w:t>
        <w:br/>
        <w:t>├── metadata.csv</w:t>
        <w:br/>
        <w:t>├── BAN_001/</w:t>
        <w:br/>
        <w:t>│   ├── rgb/</w:t>
        <w:br/>
        <w:t>│   │   ├── 000.jpg</w:t>
        <w:br/>
        <w:t>│   │   ├── 045.jpg</w:t>
        <w:br/>
        <w:t>│   │   └── ...</w:t>
        <w:br/>
        <w:t>│   ├── uv/</w:t>
        <w:br/>
        <w:t>│   │   ├── 000.jpg</w:t>
        <w:br/>
        <w:t>│   │   ├── 045.jpg</w:t>
        <w:br/>
        <w:t>│   │   └── ...</w:t>
        <w:br/>
        <w:t>│   └── bme688/</w:t>
        <w:br/>
        <w:t>│       ├── raw.csv</w:t>
        <w:br/>
        <w:t>│       └── summary.json</w:t>
        <w:br/>
        <w:t>└── ...</w:t>
      </w:r>
    </w:p>
    <w:p>
      <w:pPr>
        <w:pStyle w:val="Heading1"/>
      </w:pPr>
      <w:r>
        <w:t>10. Required Metadata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Field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  <w:tc>
          <w:tcPr>
            <w:tcW w:type="dxa" w:w="3408"/>
            <w:shd w:fill="D9EAF7"/>
          </w:tcPr>
          <w:p>
            <w:r>
              <w:t>Why it matters</w:t>
            </w:r>
          </w:p>
        </w:tc>
      </w:tr>
      <w:tr>
        <w:tc>
          <w:tcPr>
            <w:tcW w:type="dxa" w:w="3408"/>
          </w:tcPr>
          <w:p>
            <w:r>
              <w:t>Specimen_ID</w:t>
            </w:r>
          </w:p>
        </w:tc>
        <w:tc>
          <w:tcPr>
            <w:tcW w:type="dxa" w:w="3408"/>
          </w:tcPr>
          <w:p>
            <w:r>
              <w:t>BAN_027</w:t>
            </w:r>
          </w:p>
        </w:tc>
        <w:tc>
          <w:tcPr>
            <w:tcW w:type="dxa" w:w="3408"/>
          </w:tcPr>
          <w:p>
            <w:r>
              <w:t>Joins RGB, UV-A, gas data and labels</w:t>
            </w:r>
          </w:p>
        </w:tc>
      </w:tr>
      <w:tr>
        <w:tc>
          <w:tcPr>
            <w:tcW w:type="dxa" w:w="3408"/>
          </w:tcPr>
          <w:p>
            <w:r>
              <w:t>Fruit_type</w:t>
            </w:r>
          </w:p>
        </w:tc>
        <w:tc>
          <w:tcPr>
            <w:tcW w:type="dxa" w:w="3408"/>
          </w:tcPr>
          <w:p>
            <w:r>
              <w:t>Banana</w:t>
            </w:r>
          </w:p>
        </w:tc>
        <w:tc>
          <w:tcPr>
            <w:tcW w:type="dxa" w:w="3408"/>
          </w:tcPr>
          <w:p>
            <w:r>
              <w:t>Condition can be fruit-dependent</w:t>
            </w:r>
          </w:p>
        </w:tc>
      </w:tr>
      <w:tr>
        <w:tc>
          <w:tcPr>
            <w:tcW w:type="dxa" w:w="3408"/>
          </w:tcPr>
          <w:p>
            <w:r>
              <w:t>Variety</w:t>
            </w:r>
          </w:p>
        </w:tc>
        <w:tc>
          <w:tcPr>
            <w:tcW w:type="dxa" w:w="3408"/>
          </w:tcPr>
          <w:p>
            <w:r>
              <w:t>Cavendish (if known)</w:t>
            </w:r>
          </w:p>
        </w:tc>
        <w:tc>
          <w:tcPr>
            <w:tcW w:type="dxa" w:w="3408"/>
          </w:tcPr>
          <w:p>
            <w:r>
              <w:t>Controls biological variation</w:t>
            </w:r>
          </w:p>
        </w:tc>
      </w:tr>
      <w:tr>
        <w:tc>
          <w:tcPr>
            <w:tcW w:type="dxa" w:w="3408"/>
          </w:tcPr>
          <w:p>
            <w:r>
              <w:t>Weight_g</w:t>
            </w:r>
          </w:p>
        </w:tc>
        <w:tc>
          <w:tcPr>
            <w:tcW w:type="dxa" w:w="3408"/>
          </w:tcPr>
          <w:p>
            <w:r>
              <w:t>132</w:t>
            </w:r>
          </w:p>
        </w:tc>
        <w:tc>
          <w:tcPr>
            <w:tcW w:type="dxa" w:w="3408"/>
          </w:tcPr>
          <w:p>
            <w:r>
              <w:t>Controls gas-load effects</w:t>
            </w:r>
          </w:p>
        </w:tc>
      </w:tr>
      <w:tr>
        <w:tc>
          <w:tcPr>
            <w:tcW w:type="dxa" w:w="3408"/>
          </w:tcPr>
          <w:p>
            <w:r>
              <w:t>Storage_day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Time context; not the ground truth itself</w:t>
            </w:r>
          </w:p>
        </w:tc>
      </w:tr>
      <w:tr>
        <w:tc>
          <w:tcPr>
            <w:tcW w:type="dxa" w:w="3408"/>
          </w:tcPr>
          <w:p>
            <w:r>
              <w:t>Quantity</w:t>
            </w:r>
          </w:p>
        </w:tc>
        <w:tc>
          <w:tcPr>
            <w:tcW w:type="dxa" w:w="3408"/>
          </w:tcPr>
          <w:p>
            <w:r>
              <w:t>3 fruits</w:t>
            </w:r>
          </w:p>
        </w:tc>
        <w:tc>
          <w:tcPr>
            <w:tcW w:type="dxa" w:w="3408"/>
          </w:tcPr>
          <w:p>
            <w:r>
              <w:t>Prevents quantity leakage</w:t>
            </w:r>
          </w:p>
        </w:tc>
      </w:tr>
      <w:tr>
        <w:tc>
          <w:tcPr>
            <w:tcW w:type="dxa" w:w="3408"/>
          </w:tcPr>
          <w:p>
            <w:r>
              <w:t>Box_volume_L</w:t>
            </w:r>
          </w:p>
        </w:tc>
        <w:tc>
          <w:tcPr>
            <w:tcW w:type="dxa" w:w="3408"/>
          </w:tcPr>
          <w:p>
            <w:r>
              <w:t>27.8</w:t>
            </w:r>
          </w:p>
        </w:tc>
        <w:tc>
          <w:tcPr>
            <w:tcW w:type="dxa" w:w="3408"/>
          </w:tcPr>
          <w:p>
            <w:r>
              <w:t>Experimental constant</w:t>
            </w:r>
          </w:p>
        </w:tc>
      </w:tr>
      <w:tr>
        <w:tc>
          <w:tcPr>
            <w:tcW w:type="dxa" w:w="3408"/>
          </w:tcPr>
          <w:p>
            <w:r>
              <w:t>Sensor_ID</w:t>
            </w:r>
          </w:p>
        </w:tc>
        <w:tc>
          <w:tcPr>
            <w:tcW w:type="dxa" w:w="3408"/>
          </w:tcPr>
          <w:p>
            <w:r>
              <w:t>BME688_01</w:t>
            </w:r>
          </w:p>
        </w:tc>
        <w:tc>
          <w:tcPr>
            <w:tcW w:type="dxa" w:w="3408"/>
          </w:tcPr>
          <w:p>
            <w:r>
              <w:t>Tracks hardware differences</w:t>
            </w:r>
          </w:p>
        </w:tc>
      </w:tr>
      <w:tr>
        <w:tc>
          <w:tcPr>
            <w:tcW w:type="dxa" w:w="3408"/>
          </w:tcPr>
          <w:p>
            <w:r>
              <w:t>Heater_profile</w:t>
            </w:r>
          </w:p>
        </w:tc>
        <w:tc>
          <w:tcPr>
            <w:tcW w:type="dxa" w:w="3408"/>
          </w:tcPr>
          <w:p>
            <w:r>
              <w:t>HP_xxx</w:t>
            </w:r>
          </w:p>
        </w:tc>
        <w:tc>
          <w:tcPr>
            <w:tcW w:type="dxa" w:w="3408"/>
          </w:tcPr>
          <w:p>
            <w:r>
              <w:t>Critical for reproducibility</w:t>
            </w:r>
          </w:p>
        </w:tc>
      </w:tr>
      <w:tr>
        <w:tc>
          <w:tcPr>
            <w:tcW w:type="dxa" w:w="3408"/>
          </w:tcPr>
          <w:p>
            <w:r>
              <w:t>Duty_cycle</w:t>
            </w:r>
          </w:p>
        </w:tc>
        <w:tc>
          <w:tcPr>
            <w:tcW w:type="dxa" w:w="3408"/>
          </w:tcPr>
          <w:p>
            <w:r>
              <w:t>RDC_xxx</w:t>
            </w:r>
          </w:p>
        </w:tc>
        <w:tc>
          <w:tcPr>
            <w:tcW w:type="dxa" w:w="3408"/>
          </w:tcPr>
          <w:p>
            <w:r>
              <w:t>Critical for reproducibility</w:t>
            </w:r>
          </w:p>
        </w:tc>
      </w:tr>
      <w:tr>
        <w:tc>
          <w:tcPr>
            <w:tcW w:type="dxa" w:w="3408"/>
          </w:tcPr>
          <w:p>
            <w:r>
              <w:t>Temperature</w:t>
            </w:r>
          </w:p>
        </w:tc>
        <w:tc>
          <w:tcPr>
            <w:tcW w:type="dxa" w:w="3408"/>
          </w:tcPr>
          <w:p>
            <w:r>
              <w:t>28.2 C</w:t>
            </w:r>
          </w:p>
        </w:tc>
        <w:tc>
          <w:tcPr>
            <w:tcW w:type="dxa" w:w="3408"/>
          </w:tcPr>
          <w:p>
            <w:r>
              <w:t>Environmental confounder</w:t>
            </w:r>
          </w:p>
        </w:tc>
      </w:tr>
      <w:tr>
        <w:tc>
          <w:tcPr>
            <w:tcW w:type="dxa" w:w="3408"/>
          </w:tcPr>
          <w:p>
            <w:r>
              <w:t>Humidity</w:t>
            </w:r>
          </w:p>
        </w:tc>
        <w:tc>
          <w:tcPr>
            <w:tcW w:type="dxa" w:w="3408"/>
          </w:tcPr>
          <w:p>
            <w:r>
              <w:t>71 %RH</w:t>
            </w:r>
          </w:p>
        </w:tc>
        <w:tc>
          <w:tcPr>
            <w:tcW w:type="dxa" w:w="3408"/>
          </w:tcPr>
          <w:p>
            <w:r>
              <w:t>Environmental confounder</w:t>
            </w:r>
          </w:p>
        </w:tc>
      </w:tr>
      <w:tr>
        <w:tc>
          <w:tcPr>
            <w:tcW w:type="dxa" w:w="3408"/>
          </w:tcPr>
          <w:p>
            <w:r>
              <w:t>Pressure</w:t>
            </w:r>
          </w:p>
        </w:tc>
        <w:tc>
          <w:tcPr>
            <w:tcW w:type="dxa" w:w="3408"/>
          </w:tcPr>
          <w:p>
            <w:r>
              <w:t>1007 hPa</w:t>
            </w:r>
          </w:p>
        </w:tc>
        <w:tc>
          <w:tcPr>
            <w:tcW w:type="dxa" w:w="3408"/>
          </w:tcPr>
          <w:p>
            <w:r>
              <w:t>Environmental context</w:t>
            </w:r>
          </w:p>
        </w:tc>
      </w:tr>
      <w:tr>
        <w:tc>
          <w:tcPr>
            <w:tcW w:type="dxa" w:w="3408"/>
          </w:tcPr>
          <w:p>
            <w:r>
              <w:t>Start_time</w:t>
            </w:r>
          </w:p>
        </w:tc>
        <w:tc>
          <w:tcPr>
            <w:tcW w:type="dxa" w:w="3408"/>
          </w:tcPr>
          <w:p>
            <w:r>
              <w:t>YYYY-MM-DD HH:MM:SS</w:t>
            </w:r>
          </w:p>
        </w:tc>
        <w:tc>
          <w:tcPr>
            <w:tcW w:type="dxa" w:w="3408"/>
          </w:tcPr>
          <w:p>
            <w:r>
              <w:t>Temporal synchronization</w:t>
            </w:r>
          </w:p>
        </w:tc>
      </w:tr>
      <w:tr>
        <w:tc>
          <w:tcPr>
            <w:tcW w:type="dxa" w:w="3408"/>
          </w:tcPr>
          <w:p>
            <w:r>
              <w:t>Duration_min</w:t>
            </w:r>
          </w:p>
        </w:tc>
        <w:tc>
          <w:tcPr>
            <w:tcW w:type="dxa" w:w="3408"/>
          </w:tcPr>
          <w:p>
            <w:r>
              <w:t>30</w:t>
            </w:r>
          </w:p>
        </w:tc>
        <w:tc>
          <w:tcPr>
            <w:tcW w:type="dxa" w:w="3408"/>
          </w:tcPr>
          <w:p>
            <w:r>
              <w:t>Measurement consistency</w:t>
            </w:r>
          </w:p>
        </w:tc>
      </w:tr>
      <w:tr>
        <w:tc>
          <w:tcPr>
            <w:tcW w:type="dxa" w:w="3408"/>
          </w:tcPr>
          <w:p>
            <w:r>
              <w:t>Ground_truth</w:t>
            </w:r>
          </w:p>
        </w:tc>
        <w:tc>
          <w:tcPr>
            <w:tcW w:type="dxa" w:w="3408"/>
          </w:tcPr>
          <w:p>
            <w:r>
              <w:t>Early Spoilage</w:t>
            </w:r>
          </w:p>
        </w:tc>
        <w:tc>
          <w:tcPr>
            <w:tcW w:type="dxa" w:w="3408"/>
          </w:tcPr>
          <w:p>
            <w:r>
              <w:t>Primary target</w:t>
            </w:r>
          </w:p>
        </w:tc>
      </w:tr>
      <w:tr>
        <w:tc>
          <w:tcPr>
            <w:tcW w:type="dxa" w:w="3408"/>
          </w:tcPr>
          <w:p>
            <w:r>
              <w:t>Visible_mold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Auxiliary physical label</w:t>
            </w:r>
          </w:p>
        </w:tc>
      </w:tr>
      <w:tr>
        <w:tc>
          <w:tcPr>
            <w:tcW w:type="dxa" w:w="3408"/>
          </w:tcPr>
          <w:p>
            <w:r>
              <w:t>Bruise</w:t>
            </w:r>
          </w:p>
        </w:tc>
        <w:tc>
          <w:tcPr>
            <w:tcW w:type="dxa" w:w="3408"/>
          </w:tcPr>
          <w:p>
            <w:r>
              <w:t>Minor</w:t>
            </w:r>
          </w:p>
        </w:tc>
        <w:tc>
          <w:tcPr>
            <w:tcW w:type="dxa" w:w="3408"/>
          </w:tcPr>
          <w:p>
            <w:r>
              <w:t>Auxiliary physical label</w:t>
            </w:r>
          </w:p>
        </w:tc>
      </w:tr>
      <w:tr>
        <w:tc>
          <w:tcPr>
            <w:tcW w:type="dxa" w:w="3408"/>
          </w:tcPr>
          <w:p>
            <w:r>
              <w:t>RGB_path</w:t>
            </w:r>
          </w:p>
        </w:tc>
        <w:tc>
          <w:tcPr>
            <w:tcW w:type="dxa" w:w="3408"/>
          </w:tcPr>
          <w:p>
            <w:r>
              <w:t>...</w:t>
            </w:r>
          </w:p>
        </w:tc>
        <w:tc>
          <w:tcPr>
            <w:tcW w:type="dxa" w:w="3408"/>
          </w:tcPr>
          <w:p>
            <w:r>
              <w:t>Links visual data</w:t>
            </w:r>
          </w:p>
        </w:tc>
      </w:tr>
      <w:tr>
        <w:tc>
          <w:tcPr>
            <w:tcW w:type="dxa" w:w="3408"/>
          </w:tcPr>
          <w:p>
            <w:r>
              <w:t>UV_path</w:t>
            </w:r>
          </w:p>
        </w:tc>
        <w:tc>
          <w:tcPr>
            <w:tcW w:type="dxa" w:w="3408"/>
          </w:tcPr>
          <w:p>
            <w:r>
              <w:t>...</w:t>
            </w:r>
          </w:p>
        </w:tc>
        <w:tc>
          <w:tcPr>
            <w:tcW w:type="dxa" w:w="3408"/>
          </w:tcPr>
          <w:p>
            <w:r>
              <w:t>Links UV-A data</w:t>
            </w:r>
          </w:p>
        </w:tc>
      </w:tr>
      <w:tr>
        <w:tc>
          <w:tcPr>
            <w:tcW w:type="dxa" w:w="3408"/>
          </w:tcPr>
          <w:p>
            <w:r>
              <w:t>BME_path</w:t>
            </w:r>
          </w:p>
        </w:tc>
        <w:tc>
          <w:tcPr>
            <w:tcW w:type="dxa" w:w="3408"/>
          </w:tcPr>
          <w:p>
            <w:r>
              <w:t>...</w:t>
            </w:r>
          </w:p>
        </w:tc>
        <w:tc>
          <w:tcPr>
            <w:tcW w:type="dxa" w:w="3408"/>
          </w:tcPr>
          <w:p>
            <w:r>
              <w:t>Links gas data</w:t>
            </w:r>
          </w:p>
        </w:tc>
      </w:tr>
      <w:tr>
        <w:tc>
          <w:tcPr>
            <w:tcW w:type="dxa" w:w="3408"/>
          </w:tcPr>
          <w:p>
            <w:r>
              <w:t>Notes</w:t>
            </w:r>
          </w:p>
        </w:tc>
        <w:tc>
          <w:tcPr>
            <w:tcW w:type="dxa" w:w="3408"/>
          </w:tcPr>
          <w:p>
            <w:r>
              <w:t>Mild brown spots</w:t>
            </w:r>
          </w:p>
        </w:tc>
        <w:tc>
          <w:tcPr>
            <w:tcW w:type="dxa" w:w="3408"/>
          </w:tcPr>
          <w:p>
            <w:r>
              <w:t>Human observation / anomalies</w:t>
            </w:r>
          </w:p>
        </w:tc>
      </w:tr>
    </w:tbl>
    <w:p>
      <w:pPr>
        <w:pStyle w:val="Heading1"/>
      </w:pPr>
      <w:r>
        <w:t>11. Ground Truth: How to Label the Fruit</w:t>
      </w:r>
    </w:p>
    <w:p>
      <w:r>
        <w:t>Do not let the AI decide its own training labels. The dataset needs a human/experimental reference label. Use a consistent rubric.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</w:tcPr>
          <w:p>
            <w:r>
              <w:t>Condition</w:t>
            </w:r>
          </w:p>
        </w:tc>
        <w:tc>
          <w:tcPr>
            <w:tcW w:type="dxa" w:w="3408"/>
            <w:shd w:fill="D9EAF7"/>
          </w:tcPr>
          <w:p>
            <w:r>
              <w:t>Typical meaning</w:t>
            </w:r>
          </w:p>
        </w:tc>
        <w:tc>
          <w:tcPr>
            <w:tcW w:type="dxa" w:w="3408"/>
            <w:shd w:fill="D9EAF7"/>
          </w:tcPr>
          <w:p>
            <w:r>
              <w:t>BME target</w:t>
            </w:r>
          </w:p>
        </w:tc>
      </w:tr>
      <w:tr>
        <w:tc>
          <w:tcPr>
            <w:tcW w:type="dxa" w:w="3408"/>
          </w:tcPr>
          <w:p>
            <w:r>
              <w:t>Fresh</w:t>
            </w:r>
          </w:p>
        </w:tc>
        <w:tc>
          <w:tcPr>
            <w:tcW w:type="dxa" w:w="3408"/>
          </w:tcPr>
          <w:p>
            <w:r>
              <w:t>No meaningful spoilage signs; acceptable produce</w:t>
            </w:r>
          </w:p>
        </w:tc>
        <w:tc>
          <w:tcPr>
            <w:tcW w:type="dxa" w:w="3408"/>
          </w:tcPr>
          <w:p>
            <w:r>
              <w:t>Fresh</w:t>
            </w:r>
          </w:p>
        </w:tc>
      </w:tr>
      <w:tr>
        <w:tc>
          <w:tcPr>
            <w:tcW w:type="dxa" w:w="3408"/>
          </w:tcPr>
          <w:p>
            <w:r>
              <w:t>Ripe / Overripe but not spoiled</w:t>
            </w:r>
          </w:p>
        </w:tc>
        <w:tc>
          <w:tcPr>
            <w:tcW w:type="dxa" w:w="3408"/>
          </w:tcPr>
          <w:p>
            <w:r>
              <w:t>Maturity state without spoilage; keep distinct from spoilage</w:t>
            </w:r>
          </w:p>
        </w:tc>
        <w:tc>
          <w:tcPr>
            <w:tcW w:type="dxa" w:w="3408"/>
          </w:tcPr>
          <w:p>
            <w:r>
              <w:t>Fresh unless actual spoilage is present</w:t>
            </w:r>
          </w:p>
        </w:tc>
      </w:tr>
      <w:tr>
        <w:tc>
          <w:tcPr>
            <w:tcW w:type="dxa" w:w="3408"/>
          </w:tcPr>
          <w:p>
            <w:r>
              <w:t>Early Spoilage</w:t>
            </w:r>
          </w:p>
        </w:tc>
        <w:tc>
          <w:tcPr>
            <w:tcW w:type="dxa" w:w="3408"/>
          </w:tcPr>
          <w:p>
            <w:r>
              <w:t>Initial deterioration/decay signs; not yet severely spoiled</w:t>
            </w:r>
          </w:p>
        </w:tc>
        <w:tc>
          <w:tcPr>
            <w:tcW w:type="dxa" w:w="3408"/>
          </w:tcPr>
          <w:p>
            <w:r>
              <w:t>Early Spoilage</w:t>
            </w:r>
          </w:p>
        </w:tc>
      </w:tr>
      <w:tr>
        <w:tc>
          <w:tcPr>
            <w:tcW w:type="dxa" w:w="3408"/>
          </w:tcPr>
          <w:p>
            <w:r>
              <w:t>Rotten / Spoiled</w:t>
            </w:r>
          </w:p>
        </w:tc>
        <w:tc>
          <w:tcPr>
            <w:tcW w:type="dxa" w:w="3408"/>
          </w:tcPr>
          <w:p>
            <w:r>
              <w:t>Clear spoilage/decay and unacceptable condition</w:t>
            </w:r>
          </w:p>
        </w:tc>
        <w:tc>
          <w:tcPr>
            <w:tcW w:type="dxa" w:w="3408"/>
          </w:tcPr>
          <w:p>
            <w:r>
              <w:t>Rotten</w:t>
            </w:r>
          </w:p>
        </w:tc>
      </w:tr>
    </w:tbl>
    <w:p>
      <w:pPr>
        <w:pStyle w:val="Heading1"/>
      </w:pPr>
      <w:r>
        <w:t>12. Data Quantity Strategy</w:t>
      </w:r>
    </w:p>
    <w:p>
      <w:r>
        <w:t>For the BME688, variety and independence matter more than collecting many repeated readings from one fruit. A single fruit measured for 100 cycles is still one biological specimen. Build the dataset around many independent specimens and multiple storage conditions.</w:t>
      </w:r>
    </w:p>
    <w:p>
      <w:pPr>
        <w:pStyle w:val="ListBullet"/>
      </w:pPr>
      <w:r>
        <w:t>Use multiple specimens per fruit/vegetable type.</w:t>
      </w:r>
    </w:p>
    <w:p>
      <w:pPr>
        <w:pStyle w:val="ListBullet"/>
      </w:pPr>
      <w:r>
        <w:t>Follow some specimens longitudinally across multiple storage days.</w:t>
      </w:r>
    </w:p>
    <w:p>
      <w:pPr>
        <w:pStyle w:val="ListBullet"/>
      </w:pPr>
      <w:r>
        <w:t>Keep some separate specimens reserved for final testing.</w:t>
      </w:r>
    </w:p>
    <w:p>
      <w:pPr>
        <w:pStyle w:val="ListBullet"/>
      </w:pPr>
      <w:r>
        <w:t>Do not let all images/time points from one specimen appear in both training and test sets; this causes leakage.</w:t>
      </w:r>
    </w:p>
    <w:p>
      <w:pPr>
        <w:pStyle w:val="Heading1"/>
      </w:pPr>
      <w:r>
        <w:t>13. Training the BME688 Model: First Path</w:t>
      </w:r>
    </w:p>
    <w:p>
      <w:r>
        <w:t>Use Bosch BME AI-Studio as the first reference implementation. The intended workflow is: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Record raw BME688 data</w:t>
        <w:br/>
        <w:t xml:space="preserve">        ↓</w:t>
        <w:br/>
        <w:t>Define specimens / sessions</w:t>
        <w:br/>
        <w:t xml:space="preserve">        ↓</w:t>
        <w:br/>
        <w:t>Assign labels</w:t>
        <w:br/>
        <w:t xml:space="preserve">        ↓</w:t>
        <w:br/>
        <w:t>Train classifier</w:t>
        <w:br/>
        <w:t xml:space="preserve">        ↓</w:t>
        <w:br/>
        <w:t>Evaluate classification performance</w:t>
        <w:br/>
        <w:t xml:space="preserve">        ↓</w:t>
        <w:br/>
        <w:t>Export / deploy the trained configuration as appropriate</w:t>
      </w:r>
    </w:p>
    <w:p>
      <w:r>
        <w:t>This gives you a sensor-native baseline before building your own custom ML pipeline.</w:t>
      </w:r>
    </w:p>
    <w:p>
      <w:pPr>
        <w:pStyle w:val="Heading1"/>
      </w:pPr>
      <w:r>
        <w:t>14. Custom ML Benchmark After BME AI-Studio</w:t>
      </w:r>
    </w:p>
    <w:p>
      <w:r>
        <w:t>Once the raw dataset is stable, train independent models so you can compare the Bosch workflow with conventional machine learning.</w:t>
      </w:r>
    </w:p>
    <w:p>
      <w:pPr>
        <w:pStyle w:val="ListBullet"/>
      </w:pPr>
      <w:r>
        <w:t>Random Forest — strong baseline for tabular engineered sensor features; no feature scaling required.</w:t>
      </w:r>
    </w:p>
    <w:p>
      <w:pPr>
        <w:pStyle w:val="ListBullet"/>
      </w:pPr>
      <w:r>
        <w:t>XGBoost — strong tabular baseline and a good candidate for the final fusion model.</w:t>
      </w:r>
    </w:p>
    <w:p>
      <w:pPr>
        <w:pStyle w:val="ListBullet"/>
      </w:pPr>
      <w:r>
        <w:t>SVM — useful comparison for smaller datasets.</w:t>
      </w:r>
    </w:p>
    <w:p>
      <w:pPr>
        <w:pStyle w:val="ListBullet"/>
      </w:pPr>
      <w:r>
        <w:t>MLP — optional neural-network baseline on engineered/aggregated features.</w:t>
      </w:r>
    </w:p>
    <w:p>
      <w:pPr>
        <w:pStyle w:val="ListBullet"/>
      </w:pPr>
      <w:r>
        <w:t>1D CNN or LSTM/GRU — later research options if you want to learn directly from gas-response sequences.</w:t>
      </w:r>
    </w:p>
    <w:p>
      <w:pPr>
        <w:pStyle w:val="Heading1"/>
      </w:pPr>
      <w:r>
        <w:t>15. Feature Extraction for Custom ML</w:t>
      </w:r>
    </w:p>
    <w:p>
      <w:r>
        <w:t>Preserve raw data first. Then create a derived feature table for model experiments.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Per measurement/session, possible derived features:</w:t>
        <w:br/>
        <w:t>- mean gas resistance</w:t>
        <w:br/>
        <w:t>- median gas resistance</w:t>
        <w:br/>
        <w:t>- minimum / maximum</w:t>
        <w:br/>
        <w:t>- standard deviation</w:t>
        <w:br/>
        <w:t>- peak response</w:t>
        <w:br/>
        <w:t>- response slope</w:t>
        <w:br/>
        <w:t>- recovery slope</w:t>
        <w:br/>
        <w:t>- area under response curve</w:t>
        <w:br/>
        <w:t>- heater-step response values</w:t>
        <w:br/>
        <w:t>- temperature statistics</w:t>
        <w:br/>
        <w:t>- humidity statistics</w:t>
        <w:br/>
        <w:t>- pressure statistics</w:t>
        <w:br/>
        <w:t>- temporal change between cycles</w:t>
      </w:r>
    </w:p>
    <w:p>
      <w:r>
        <w:t>Do not replace the raw dataset with derived features. Keep both.</w:t>
      </w:r>
    </w:p>
    <w:p>
      <w:pPr>
        <w:pStyle w:val="Heading1"/>
      </w:pPr>
      <w:r>
        <w:t>16. Normalization / Scaling Rule</w:t>
      </w:r>
    </w:p>
    <w:p>
      <w:r>
        <w:rPr>
          <w:b/>
        </w:rPr>
        <w:t xml:space="preserve">Important: </w:t>
      </w:r>
      <w:r>
        <w:t>Do not blindly apply min-max scaling to the BME688 data.</w:t>
      </w:r>
    </w:p>
    <w:p>
      <w:pPr>
        <w:pStyle w:val="ListBullet"/>
      </w:pPr>
      <w:r>
        <w:t>Tree-based models such as Random Forest and XGBoost generally do not require feature scaling.</w:t>
      </w:r>
    </w:p>
    <w:p>
      <w:pPr>
        <w:pStyle w:val="ListBullet"/>
      </w:pPr>
      <w:r>
        <w:t>If a neural network requires scaling, use a clearly documented training-set transformation (for example standardization/z-score) and save that transformation with the model.</w:t>
      </w:r>
    </w:p>
    <w:p>
      <w:pPr>
        <w:pStyle w:val="ListBullet"/>
      </w:pPr>
      <w:r>
        <w:t>Never destroy or overwrite the raw BME688 values.</w:t>
      </w:r>
    </w:p>
    <w:p>
      <w:pPr>
        <w:pStyle w:val="Heading1"/>
      </w:pPr>
      <w:r>
        <w:t>17. Prevent the Model from Learning the Wrong Thing</w:t>
      </w:r>
    </w:p>
    <w:p>
      <w:r>
        <w:t>This is one of the highest-risk parts of the project. The gas model can accidentally learn a shortcut instead of spoilage.</w:t>
      </w:r>
    </w:p>
    <w:p>
      <w:pPr>
        <w:pStyle w:val="ListBullet"/>
      </w:pPr>
      <w:r>
        <w:t>Do not correlate one fruit type with one condition only. Otherwise the model can learn fruit identity instead of spoilage.</w:t>
      </w:r>
    </w:p>
    <w:p>
      <w:pPr>
        <w:pStyle w:val="ListBullet"/>
      </w:pPr>
      <w:r>
        <w:t>Do not correlate quantity with condition. Otherwise more produce can look like “rotten”.</w:t>
      </w:r>
    </w:p>
    <w:p>
      <w:pPr>
        <w:pStyle w:val="ListBullet"/>
      </w:pPr>
      <w:r>
        <w:t>Do not correlate day number with condition. Otherwise the model can learn storage time instead of gas signature.</w:t>
      </w:r>
    </w:p>
    <w:p>
      <w:pPr>
        <w:pStyle w:val="ListBullet"/>
      </w:pPr>
      <w:r>
        <w:t>Vary temperature and humidity within realistic ranges.</w:t>
      </w:r>
    </w:p>
    <w:p>
      <w:pPr>
        <w:pStyle w:val="ListBullet"/>
      </w:pPr>
      <w:r>
        <w:t>Include empty-box/control sessions.</w:t>
      </w:r>
    </w:p>
    <w:p>
      <w:pPr>
        <w:pStyle w:val="ListBullet"/>
      </w:pPr>
      <w:r>
        <w:t>Use different specimens for test data.</w:t>
      </w:r>
    </w:p>
    <w:p>
      <w:pPr>
        <w:pStyle w:val="Heading1"/>
      </w:pPr>
      <w:r>
        <w:t>18. How to Make a Real-Time Prediction</w:t>
      </w:r>
    </w:p>
    <w:p>
      <w:r>
        <w:t>At inference time, do not make a final decision from one instantaneous BME688 reading. Collect a consistent window of gas-response cycles and classify the resulting sequence/session.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New specimen</w:t>
        <w:br/>
        <w:t xml:space="preserve">   ↓</w:t>
        <w:br/>
        <w:t>Collect BME688 measurement window</w:t>
        <w:br/>
        <w:t xml:space="preserve">   ↓</w:t>
        <w:br/>
        <w:t>Apply the exact same preprocessing / feature extraction used during training</w:t>
        <w:br/>
        <w:t xml:space="preserve">   ↓</w:t>
        <w:br/>
        <w:t>BME688 classifier</w:t>
        <w:br/>
        <w:t xml:space="preserve">   ↓</w:t>
        <w:br/>
        <w:t>Fresh probability</w:t>
        <w:br/>
        <w:t>Early-Spoilage probability</w:t>
        <w:br/>
        <w:t>Rotten probability</w:t>
        <w:br/>
        <w:t xml:space="preserve">   ↓</w:t>
        <w:br/>
        <w:t>Aggregate over the measurement window</w:t>
        <w:br/>
        <w:t xml:space="preserve">   ↓</w:t>
        <w:br/>
        <w:t>Stable BME688 prediction</w:t>
      </w:r>
    </w:p>
    <w:p>
      <w:r>
        <w:t>For example, if successive cycles fluctuate slightly, use an agreed aggregation method such as probability averaging over the latest window rather than declaring “rotten” from one noisy cycle.</w:t>
      </w:r>
    </w:p>
    <w:p>
      <w:pPr>
        <w:pStyle w:val="Heading1"/>
      </w:pPr>
      <w:r>
        <w:t>19. Example BME688 Prediction Output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SPECIMEN: BAN_027</w:t>
        <w:br/>
        <w:br/>
        <w:t>Fresh            0.12</w:t>
        <w:br/>
        <w:t>Early Spoilage   0.76</w:t>
        <w:br/>
        <w:t>Rotten           0.12</w:t>
        <w:br/>
        <w:br/>
        <w:t>BME688 result: EARLY SPOILAGE</w:t>
        <w:br/>
        <w:t>Gas-model confidence: 0.76</w:t>
      </w:r>
    </w:p>
    <w:p>
      <w:r>
        <w:t>The confidence/probability values should come from the trained model and should not be presented as a physical gas concentration.</w:t>
      </w:r>
    </w:p>
    <w:p>
      <w:pPr>
        <w:pStyle w:val="Heading1"/>
      </w:pPr>
      <w:r>
        <w:t>20. Fusion with RGB and UV-A</w:t>
      </w:r>
    </w:p>
    <w:p>
      <w:r>
        <w:t>The BME688 result should be one evidence source, not the entire final decision. The final model should combine the three modalities.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RGB 8-view encoder</w:t>
        <w:br/>
        <w:t xml:space="preserve">        ↓</w:t>
        <w:br/>
        <w:t>RGB visual features</w:t>
        <w:br/>
        <w:br/>
        <w:t>UV-A 8-view encoder</w:t>
        <w:br/>
        <w:t xml:space="preserve">        ↓</w:t>
        <w:br/>
        <w:t>UV-A features</w:t>
        <w:br/>
        <w:br/>
        <w:t>BME688 time-series model</w:t>
        <w:br/>
        <w:t xml:space="preserve">        ↓</w:t>
        <w:br/>
        <w:t>Gas features</w:t>
        <w:br/>
        <w:t xml:space="preserve">        ↓</w:t>
        <w:br/>
        <w:t xml:space="preserve">        ┌────────────────────┐</w:t>
        <w:br/>
        <w:t xml:space="preserve">        │  Fusion model      │</w:t>
        <w:br/>
        <w:t xml:space="preserve">        │  XGBoost / MLP     │</w:t>
        <w:br/>
        <w:t xml:space="preserve">        └─────────┬──────────┘</w:t>
        <w:br/>
        <w:t xml:space="preserve">                  ↓</w:t>
        <w:br/>
        <w:t>Final freshness / condition probabilities</w:t>
      </w:r>
    </w:p>
    <w:p>
      <w:pPr>
        <w:pStyle w:val="Heading1"/>
      </w:pPr>
      <w:r>
        <w:t>21. Recommended Fusion Inputs</w:t>
      </w:r>
    </w:p>
    <w:p>
      <w:pPr>
        <w:pStyle w:val="ListBullet"/>
      </w:pPr>
      <w:r>
        <w:t>Fruit type predicted by the RGB branch (or supplied if known).</w:t>
      </w:r>
    </w:p>
    <w:p>
      <w:pPr>
        <w:pStyle w:val="ListBullet"/>
      </w:pPr>
      <w:r>
        <w:t>RGB 360-degree visual representation.</w:t>
      </w:r>
    </w:p>
    <w:p>
      <w:pPr>
        <w:pStyle w:val="ListBullet"/>
      </w:pPr>
      <w:r>
        <w:t>UV-A 360-degree representation / anomaly features.</w:t>
      </w:r>
    </w:p>
    <w:p>
      <w:pPr>
        <w:pStyle w:val="ListBullet"/>
      </w:pPr>
      <w:r>
        <w:t>BME688 gas-response features.</w:t>
      </w:r>
    </w:p>
    <w:p>
      <w:pPr>
        <w:pStyle w:val="ListBullet"/>
      </w:pPr>
      <w:r>
        <w:t>Temperature and humidity context.</w:t>
      </w:r>
    </w:p>
    <w:p>
      <w:pPr>
        <w:pStyle w:val="ListBullet"/>
      </w:pPr>
      <w:r>
        <w:t>Optional specimen-level metadata such as weight/quantity if these are known and controlled.</w:t>
      </w:r>
    </w:p>
    <w:p>
      <w:pPr>
        <w:pStyle w:val="Heading1"/>
      </w:pPr>
      <w:r>
        <w:t>22. Experimental Comparison You Should Report</w:t>
      </w:r>
    </w:p>
    <w:p>
      <w:r>
        <w:t>Your report should demonstrate whether the gas sensor actually adds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t>Experiment</w:t>
            </w:r>
          </w:p>
        </w:tc>
        <w:tc>
          <w:tcPr>
            <w:tcW w:type="dxa" w:w="2556"/>
            <w:shd w:fill="D9EAF7"/>
          </w:tcPr>
          <w:p>
            <w:r>
              <w:t>Inputs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  <w:tc>
          <w:tcPr>
            <w:tcW w:type="dxa" w:w="2556"/>
            <w:shd w:fill="D9EAF7"/>
          </w:tcPr>
          <w:p>
            <w:r>
              <w:t>Report</w:t>
            </w:r>
          </w:p>
        </w:tc>
      </w:tr>
      <w:tr>
        <w:tc>
          <w:tcPr>
            <w:tcW w:type="dxa" w:w="2556"/>
          </w:tcPr>
          <w:p>
            <w:r>
              <w:t>RGB-only</w:t>
            </w:r>
          </w:p>
        </w:tc>
        <w:tc>
          <w:tcPr>
            <w:tcW w:type="dxa" w:w="2556"/>
          </w:tcPr>
          <w:p>
            <w:r>
              <w:t>8 RGB views</w:t>
            </w:r>
          </w:p>
        </w:tc>
        <w:tc>
          <w:tcPr>
            <w:tcW w:type="dxa" w:w="2556"/>
          </w:tcPr>
          <w:p>
            <w:r>
              <w:t>Camera baseline</w:t>
            </w:r>
          </w:p>
        </w:tc>
        <w:tc>
          <w:tcPr>
            <w:tcW w:type="dxa" w:w="2556"/>
          </w:tcPr>
          <w:p>
            <w:r>
              <w:t>Accuracy, precision, recall, F1, confusion matrix</w:t>
            </w:r>
          </w:p>
        </w:tc>
      </w:tr>
      <w:tr>
        <w:tc>
          <w:tcPr>
            <w:tcW w:type="dxa" w:w="2556"/>
          </w:tcPr>
          <w:p>
            <w:r>
              <w:t>UV-only</w:t>
            </w:r>
          </w:p>
        </w:tc>
        <w:tc>
          <w:tcPr>
            <w:tcW w:type="dxa" w:w="2556"/>
          </w:tcPr>
          <w:p>
            <w:r>
              <w:t>8 UV-A views</w:t>
            </w:r>
          </w:p>
        </w:tc>
        <w:tc>
          <w:tcPr>
            <w:tcW w:type="dxa" w:w="2556"/>
          </w:tcPr>
          <w:p>
            <w:r>
              <w:t>UV contribution</w:t>
            </w:r>
          </w:p>
        </w:tc>
        <w:tc>
          <w:tcPr>
            <w:tcW w:type="dxa" w:w="2556"/>
          </w:tcPr>
          <w:p>
            <w:r>
              <w:t>Same metrics</w:t>
            </w:r>
          </w:p>
        </w:tc>
      </w:tr>
      <w:tr>
        <w:tc>
          <w:tcPr>
            <w:tcW w:type="dxa" w:w="2556"/>
          </w:tcPr>
          <w:p>
            <w:r>
              <w:t>RGB + UV-A</w:t>
            </w:r>
          </w:p>
        </w:tc>
        <w:tc>
          <w:tcPr>
            <w:tcW w:type="dxa" w:w="2556"/>
          </w:tcPr>
          <w:p>
            <w:r>
              <w:t>16 images</w:t>
            </w:r>
          </w:p>
        </w:tc>
        <w:tc>
          <w:tcPr>
            <w:tcW w:type="dxa" w:w="2556"/>
          </w:tcPr>
          <w:p>
            <w:r>
              <w:t>Multispectral visual baseline</w:t>
            </w:r>
          </w:p>
        </w:tc>
        <w:tc>
          <w:tcPr>
            <w:tcW w:type="dxa" w:w="2556"/>
          </w:tcPr>
          <w:p>
            <w:r>
              <w:t>Same metrics</w:t>
            </w:r>
          </w:p>
        </w:tc>
      </w:tr>
      <w:tr>
        <w:tc>
          <w:tcPr>
            <w:tcW w:type="dxa" w:w="2556"/>
          </w:tcPr>
          <w:p>
            <w:r>
              <w:t>BME688-only</w:t>
            </w:r>
          </w:p>
        </w:tc>
        <w:tc>
          <w:tcPr>
            <w:tcW w:type="dxa" w:w="2556"/>
          </w:tcPr>
          <w:p>
            <w:r>
              <w:t>Gas sequence</w:t>
            </w:r>
          </w:p>
        </w:tc>
        <w:tc>
          <w:tcPr>
            <w:tcW w:type="dxa" w:w="2556"/>
          </w:tcPr>
          <w:p>
            <w:r>
              <w:t>Electronic-nose baseline</w:t>
            </w:r>
          </w:p>
        </w:tc>
        <w:tc>
          <w:tcPr>
            <w:tcW w:type="dxa" w:w="2556"/>
          </w:tcPr>
          <w:p>
            <w:r>
              <w:t>Same metrics</w:t>
            </w:r>
          </w:p>
        </w:tc>
      </w:tr>
      <w:tr>
        <w:tc>
          <w:tcPr>
            <w:tcW w:type="dxa" w:w="2556"/>
          </w:tcPr>
          <w:p>
            <w:r>
              <w:t>RGB + BME688</w:t>
            </w:r>
          </w:p>
        </w:tc>
        <w:tc>
          <w:tcPr>
            <w:tcW w:type="dxa" w:w="2556"/>
          </w:tcPr>
          <w:p>
            <w:r>
              <w:t>RGB + gas</w:t>
            </w:r>
          </w:p>
        </w:tc>
        <w:tc>
          <w:tcPr>
            <w:tcW w:type="dxa" w:w="2556"/>
          </w:tcPr>
          <w:p>
            <w:r>
              <w:t>Does gas add value?</w:t>
            </w:r>
          </w:p>
        </w:tc>
        <w:tc>
          <w:tcPr>
            <w:tcW w:type="dxa" w:w="2556"/>
          </w:tcPr>
          <w:p>
            <w:r>
              <w:t>Same metrics</w:t>
            </w:r>
          </w:p>
        </w:tc>
      </w:tr>
      <w:tr>
        <w:tc>
          <w:tcPr>
            <w:tcW w:type="dxa" w:w="2556"/>
          </w:tcPr>
          <w:p>
            <w:r>
              <w:t>RGB + UV-A + BME688</w:t>
            </w:r>
          </w:p>
        </w:tc>
        <w:tc>
          <w:tcPr>
            <w:tcW w:type="dxa" w:w="2556"/>
          </w:tcPr>
          <w:p>
            <w:r>
              <w:t>All modalities</w:t>
            </w:r>
          </w:p>
        </w:tc>
        <w:tc>
          <w:tcPr>
            <w:tcW w:type="dxa" w:w="2556"/>
          </w:tcPr>
          <w:p>
            <w:r>
              <w:t>Final proposed system</w:t>
            </w:r>
          </w:p>
        </w:tc>
        <w:tc>
          <w:tcPr>
            <w:tcW w:type="dxa" w:w="2556"/>
          </w:tcPr>
          <w:p>
            <w:r>
              <w:t>Same metrics + per-class results</w:t>
            </w:r>
          </w:p>
        </w:tc>
      </w:tr>
    </w:tbl>
    <w:p>
      <w:pPr>
        <w:pStyle w:val="Heading1"/>
      </w:pPr>
      <w:r>
        <w:t>23. What to Put in the Final Results / Thesis</w:t>
      </w:r>
    </w:p>
    <w:p>
      <w:pPr>
        <w:pStyle w:val="ListBullet"/>
      </w:pPr>
      <w:r>
        <w:t>Dataset composition by fruit type and condition.</w:t>
      </w:r>
    </w:p>
    <w:p>
      <w:pPr>
        <w:pStyle w:val="ListBullet"/>
      </w:pPr>
      <w:r>
        <w:t>Number of independent specimens, measurement sessions, and time points.</w:t>
      </w:r>
    </w:p>
    <w:p>
      <w:pPr>
        <w:pStyle w:val="ListBullet"/>
      </w:pPr>
      <w:r>
        <w:t>Environmental ranges: temperature and humidity.</w:t>
      </w:r>
    </w:p>
    <w:p>
      <w:pPr>
        <w:pStyle w:val="ListBullet"/>
      </w:pPr>
      <w:r>
        <w:t>BME688 heater profile / duty cycle used.</w:t>
      </w:r>
    </w:p>
    <w:p>
      <w:pPr>
        <w:pStyle w:val="ListBullet"/>
      </w:pPr>
      <w:r>
        <w:t>Example raw gas-response curves for Fresh vs Early Spoilage vs Rotten.</w:t>
      </w:r>
    </w:p>
    <w:p>
      <w:pPr>
        <w:pStyle w:val="ListBullet"/>
      </w:pPr>
      <w:r>
        <w:t>BME AI-Studio model performance.</w:t>
      </w:r>
    </w:p>
    <w:p>
      <w:pPr>
        <w:pStyle w:val="ListBullet"/>
      </w:pPr>
      <w:r>
        <w:t>Custom Random Forest / XGBoost / other model comparison.</w:t>
      </w:r>
    </w:p>
    <w:p>
      <w:pPr>
        <w:pStyle w:val="ListBullet"/>
      </w:pPr>
      <w:r>
        <w:t>Confusion matrix and F1 score, not accuracy alone.</w:t>
      </w:r>
    </w:p>
    <w:p>
      <w:pPr>
        <w:pStyle w:val="ListBullet"/>
      </w:pPr>
      <w:r>
        <w:t>Ablation comparison showing RGB, UV-A, BME688 and full fusion.</w:t>
      </w:r>
    </w:p>
    <w:p>
      <w:pPr>
        <w:pStyle w:val="ListBullet"/>
      </w:pPr>
      <w:r>
        <w:t>Failure cases and conditions where the gas model is uncertain.</w:t>
      </w:r>
    </w:p>
    <w:p>
      <w:pPr>
        <w:pStyle w:val="Heading1"/>
      </w:pPr>
      <w:r>
        <w:t>24. Example Experiment Record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SPECIMEN_ID: TOM_014</w:t>
        <w:br/>
        <w:t>Fruit: Tomato</w:t>
        <w:br/>
        <w:t>Weight: 118 g</w:t>
        <w:br/>
        <w:t>Quantity: 1</w:t>
        <w:br/>
        <w:t>Storage day: 4</w:t>
        <w:br/>
        <w:t>Box volume: 27.8 L</w:t>
        <w:br/>
        <w:t>Temperature: 27.8 C</w:t>
        <w:br/>
        <w:t>RH: 69 %</w:t>
        <w:br/>
        <w:t>BME duration: 30 min</w:t>
        <w:br/>
        <w:t>Heater profile: HP_xxx</w:t>
        <w:br/>
        <w:t>Duty cycle: RDC_xxx</w:t>
        <w:br/>
        <w:br/>
        <w:t>RGB: 8 images saved</w:t>
        <w:br/>
        <w:t>UV-A: 8 images saved</w:t>
        <w:br/>
        <w:t>BME688: raw.csv saved</w:t>
        <w:br/>
        <w:br/>
        <w:t>Ground truth: Early Spoilage</w:t>
        <w:br/>
        <w:t>Visible mold: No</w:t>
        <w:br/>
        <w:t>Bruising: Minor</w:t>
        <w:br/>
        <w:t>Notes: Slight softening</w:t>
      </w:r>
    </w:p>
    <w:p>
      <w:pPr>
        <w:pStyle w:val="Heading1"/>
      </w:pPr>
      <w:r>
        <w:t>25. Example Dataset Record (CSV-style)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SPECIMEN_ID,Fruit,Day,Weight_g,Quantity,Temp_C,RH_pct,Ground_Truth,RGB_Path,UV_Path,BME_Path</w:t>
        <w:br/>
        <w:t>BAN_027,Banana,4,132,1,28.2,71,Early_Spoilage,BAN_027/rgb,BAN_027/uv,BAN_027/bme688/raw.csv</w:t>
      </w:r>
    </w:p>
    <w:p>
      <w:pPr>
        <w:pStyle w:val="Heading1"/>
      </w:pPr>
      <w:r>
        <w:t>26. Implementation Rules for the Agentic AI</w:t>
      </w:r>
    </w:p>
    <w:p>
      <w:pPr>
        <w:pStyle w:val="ListNumber"/>
      </w:pPr>
      <w:r>
        <w:t>Preserve the raw BME688 readings and metadata exactly as collected.</w:t>
      </w:r>
    </w:p>
    <w:p>
      <w:pPr>
        <w:pStyle w:val="ListNumber"/>
      </w:pPr>
      <w:r>
        <w:t>Build the data pipeline around SPECIMEN_ID and synchronized RGB/UV-A/BME688 sessions.</w:t>
      </w:r>
    </w:p>
    <w:p>
      <w:pPr>
        <w:pStyle w:val="ListNumber"/>
      </w:pPr>
      <w:r>
        <w:t>Implement Empty, Fresh, Early Spoilage and Rotten as the first BME688 classes.</w:t>
      </w:r>
    </w:p>
    <w:p>
      <w:pPr>
        <w:pStyle w:val="ListNumber"/>
      </w:pPr>
      <w:r>
        <w:t>Train a BME AI-Studio baseline before custom ML.</w:t>
      </w:r>
    </w:p>
    <w:p>
      <w:pPr>
        <w:pStyle w:val="ListNumber"/>
      </w:pPr>
      <w:r>
        <w:t>Train Random Forest and XGBoost on engineered gas-response features as conventional baselines.</w:t>
      </w:r>
    </w:p>
    <w:p>
      <w:pPr>
        <w:pStyle w:val="ListNumber"/>
      </w:pPr>
      <w:r>
        <w:t>Do not use min-max normalization as a default step.</w:t>
      </w:r>
    </w:p>
    <w:p>
      <w:pPr>
        <w:pStyle w:val="ListNumber"/>
      </w:pPr>
      <w:r>
        <w:t>Prevent specimen leakage between train/validation/test splits.</w:t>
      </w:r>
    </w:p>
    <w:p>
      <w:pPr>
        <w:pStyle w:val="ListNumber"/>
      </w:pPr>
      <w:r>
        <w:t>Evaluate BME688-only before doing fusion.</w:t>
      </w:r>
    </w:p>
    <w:p>
      <w:pPr>
        <w:pStyle w:val="ListNumber"/>
      </w:pPr>
      <w:r>
        <w:t>Use the BME688 result as probabilistic evidence for the final RGB + UV-A + BME688 fusion model.</w:t>
      </w:r>
    </w:p>
    <w:p>
      <w:pPr>
        <w:pStyle w:val="ListNumber"/>
      </w:pPr>
      <w:r>
        <w:t>Aggregate predictions across a measurement window instead of reacting to one instantaneous sensor sample.</w:t>
      </w:r>
    </w:p>
    <w:p>
      <w:pPr>
        <w:pStyle w:val="ListNumber"/>
      </w:pPr>
      <w:r>
        <w:t>Log the final prediction together with model probabilities, sensor conditions, specimen ID and measurement time for every real-world test.</w:t>
      </w:r>
    </w:p>
    <w:p>
      <w:pPr>
        <w:pStyle w:val="Heading1"/>
      </w:pPr>
      <w:r>
        <w:t>27. Real-Time System Log Format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timestamp</w:t>
        <w:br/>
        <w:t>specimen_id</w:t>
        <w:br/>
        <w:t>fruit_type</w:t>
        <w:br/>
        <w:t>measurement_window_start</w:t>
        <w:br/>
        <w:t>measurement_window_end</w:t>
        <w:br/>
        <w:t>temperature</w:t>
        <w:br/>
        <w:t>humidity</w:t>
        <w:br/>
        <w:t>BME_fresh_probability</w:t>
        <w:br/>
        <w:t>BME_early_spoilage_probability</w:t>
        <w:br/>
        <w:t>BME_rotten_probability</w:t>
        <w:br/>
        <w:t>RGB_quality_score</w:t>
        <w:br/>
        <w:t>UV_anomaly_score</w:t>
        <w:br/>
        <w:t>final_fresh_probability</w:t>
        <w:br/>
        <w:t>final_warning_probability</w:t>
        <w:br/>
        <w:t>final_rotten_probability</w:t>
        <w:br/>
        <w:t>final_class</w:t>
        <w:br/>
        <w:t>model_version</w:t>
      </w:r>
    </w:p>
    <w:p>
      <w:pPr>
        <w:pStyle w:val="Heading1"/>
      </w:pPr>
      <w:r>
        <w:t>28. Safety and Scientific Limitations</w:t>
      </w:r>
    </w:p>
    <w:p>
      <w:pPr>
        <w:pStyle w:val="ListBullet"/>
      </w:pPr>
      <w:r>
        <w:t>The BME688 does not directly measure “rottenness”; it measures gas-sensor responses that must be learned and empirically related to your ground truth.</w:t>
      </w:r>
    </w:p>
    <w:p>
      <w:pPr>
        <w:pStyle w:val="ListBullet"/>
      </w:pPr>
      <w:r>
        <w:t>Do not claim that the BME688 identifies a specific chemical compound unless your experimental setup actually supports that claim.</w:t>
      </w:r>
    </w:p>
    <w:p>
      <w:pPr>
        <w:pStyle w:val="ListBullet"/>
      </w:pPr>
      <w:r>
        <w:t>Do not claim food safety solely from the model output. The system is a non-destructive freshness/spoilage prediction system.</w:t>
      </w:r>
    </w:p>
    <w:p>
      <w:pPr>
        <w:pStyle w:val="ListBullet"/>
      </w:pPr>
      <w:r>
        <w:t>UV-A is a separate optical modality; use appropriate shielding and safe operating procedures.</w:t>
      </w:r>
    </w:p>
    <w:p>
      <w:pPr>
        <w:pStyle w:val="Heading1"/>
      </w:pPr>
      <w:r>
        <w:t>29. Final Recommended Development Sequence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Phase 1  → Empty-box + Fresh/Rotten pilot recordings</w:t>
        <w:br/>
        <w:t>Phase 2  → Longitudinal measurements across storage days</w:t>
        <w:br/>
        <w:t>Phase 3  → Multi-specimen dataset across all target produce</w:t>
        <w:br/>
        <w:t>Phase 4  → BME AI-Studio baseline</w:t>
        <w:br/>
        <w:t>Phase 5  → RF / XGBoost gas-model benchmark</w:t>
        <w:br/>
        <w:t>Phase 6  → RGB and UV-A feature extraction</w:t>
        <w:br/>
        <w:t>Phase 7  → RGB + UV-A visual fusion</w:t>
        <w:br/>
        <w:t>Phase 8  → RGB + UV-A + BME688 final fusion</w:t>
        <w:br/>
        <w:t>Phase 9  → Held-out specimen evaluation</w:t>
        <w:br/>
        <w:t>Phase 10 → Raspberry Pi 5 deployment / optimization</w:t>
      </w:r>
    </w:p>
    <w:p>
      <w:pPr>
        <w:pStyle w:val="Heading1"/>
      </w:pPr>
      <w:r>
        <w:t>30. Official / Key References</w:t>
      </w:r>
    </w:p>
    <w:p>
      <w:pPr>
        <w:pStyle w:val="ListBullet"/>
      </w:pPr>
      <w:r>
        <w:t xml:space="preserve">Bosch Sensortec — BME AI-Studio documentation: </w:t>
      </w:r>
      <w:hyperlink r:id="rId9">
        <w:r>
          <w:rPr>
            <w:color w:val="0563C1"/>
            <w:u w:val="single"/>
          </w:rPr>
          <w:t>https://www.bosch-sensortec.com/software/bme/docs/</w:t>
        </w:r>
      </w:hyperlink>
    </w:p>
    <w:p>
      <w:pPr>
        <w:pStyle w:val="ListBullet"/>
      </w:pPr>
      <w:r>
        <w:t xml:space="preserve">Bosch Sensortec — BME AI-Studio: Record Data: </w:t>
      </w:r>
      <w:hyperlink r:id="rId10">
        <w:r>
          <w:rPr>
            <w:color w:val="0563C1"/>
            <w:u w:val="single"/>
          </w:rPr>
          <w:t>https://www.bosch-sensortec.com/software/bme/docs/process-steps/record-data.html</w:t>
        </w:r>
      </w:hyperlink>
    </w:p>
    <w:p>
      <w:pPr>
        <w:pStyle w:val="ListBullet"/>
      </w:pPr>
      <w:r>
        <w:t xml:space="preserve">Bosch Sensortec — BME AI-Studio: Train Algorithms: </w:t>
      </w:r>
      <w:hyperlink r:id="rId11">
        <w:r>
          <w:rPr>
            <w:color w:val="0563C1"/>
            <w:u w:val="single"/>
          </w:rPr>
          <w:t>https://www.bosch-sensortec.com/software/bme/docs/process-steps/train-algorithms.html</w:t>
        </w:r>
      </w:hyperlink>
    </w:p>
    <w:p>
      <w:pPr>
        <w:pStyle w:val="ListBullet"/>
      </w:pPr>
      <w:r>
        <w:t xml:space="preserve">Bosch Sensortec — BME AI-Studio: Import Data: </w:t>
      </w:r>
      <w:hyperlink r:id="rId12">
        <w:r>
          <w:rPr>
            <w:color w:val="0563C1"/>
            <w:u w:val="single"/>
          </w:rPr>
          <w:t>https://www.bosch-sensortec.com/software/bme/docs/process-steps/import-data.html</w:t>
        </w:r>
      </w:hyperlink>
    </w:p>
    <w:p>
      <w:pPr>
        <w:jc w:val="center"/>
      </w:pPr>
      <w:r>
        <w:rPr>
          <w:b/>
          <w:sz w:val="20"/>
        </w:rPr>
        <w:t>End of implementation handoff document</w:t>
      </w:r>
    </w:p>
    <w:sectPr w:rsidR="00FC693F" w:rsidRPr="0006063C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BME688 Gas-Sensor AI Methodology | Fruit &amp; Vegetable Freshness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sch-sensortec.com/software/bme/docs/" TargetMode="External"/><Relationship Id="rId10" Type="http://schemas.openxmlformats.org/officeDocument/2006/relationships/hyperlink" Target="https://www.bosch-sensortec.com/software/bme/docs/process-steps/record-data.html" TargetMode="External"/><Relationship Id="rId11" Type="http://schemas.openxmlformats.org/officeDocument/2006/relationships/hyperlink" Target="https://www.bosch-sensortec.com/software/bme/docs/process-steps/train-algorithms.html" TargetMode="External"/><Relationship Id="rId12" Type="http://schemas.openxmlformats.org/officeDocument/2006/relationships/hyperlink" Target="https://www.bosch-sensortec.com/software/bme/docs/process-steps/import-data.html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