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E819A6" w14:textId="77777777" w:rsidR="009A4008" w:rsidRPr="009A4008" w:rsidRDefault="009A4008" w:rsidP="009A4008">
      <w:pPr>
        <w:spacing w:before="1800"/>
        <w:jc w:val="center"/>
        <w:rPr>
          <w:rFonts w:ascii="Times New Roman" w:hAnsi="Times New Roman" w:cs="Times New Roman"/>
          <w:sz w:val="22"/>
          <w:szCs w:val="22"/>
        </w:rPr>
      </w:pPr>
      <w:r w:rsidRPr="009A4008">
        <w:rPr>
          <w:rFonts w:ascii="Times New Roman" w:hAnsi="Times New Roman" w:cs="Times New Roman"/>
          <w:b/>
          <w:sz w:val="22"/>
          <w:szCs w:val="22"/>
        </w:rPr>
        <w:t>MEDILINK HEALTH NETWORK</w:t>
      </w:r>
    </w:p>
    <w:p w14:paraId="4E2CE3F9" w14:textId="77777777" w:rsidR="009A4008" w:rsidRPr="009A4008" w:rsidRDefault="009A4008" w:rsidP="009A4008">
      <w:pPr>
        <w:jc w:val="center"/>
        <w:rPr>
          <w:rFonts w:ascii="Times New Roman" w:hAnsi="Times New Roman" w:cs="Times New Roman"/>
          <w:sz w:val="22"/>
          <w:szCs w:val="22"/>
        </w:rPr>
      </w:pPr>
      <w:r w:rsidRPr="009A4008">
        <w:rPr>
          <w:rFonts w:ascii="Times New Roman" w:hAnsi="Times New Roman" w:cs="Times New Roman"/>
          <w:b/>
          <w:sz w:val="22"/>
          <w:szCs w:val="22"/>
        </w:rPr>
        <w:t>INTEGRATED ENTERPRISE DATA MANAGEMENT STRATEGY</w:t>
      </w:r>
    </w:p>
    <w:p w14:paraId="2B32AC2A" w14:textId="77777777" w:rsidR="009A4008" w:rsidRPr="009A4008" w:rsidRDefault="009A4008" w:rsidP="009A4008">
      <w:pPr>
        <w:spacing w:before="400"/>
        <w:jc w:val="center"/>
        <w:rPr>
          <w:rFonts w:ascii="Times New Roman" w:hAnsi="Times New Roman" w:cs="Times New Roman"/>
          <w:sz w:val="22"/>
          <w:szCs w:val="22"/>
        </w:rPr>
      </w:pPr>
      <w:r w:rsidRPr="009A4008">
        <w:rPr>
          <w:rFonts w:ascii="Times New Roman" w:hAnsi="Times New Roman" w:cs="Times New Roman"/>
          <w:sz w:val="22"/>
          <w:szCs w:val="22"/>
        </w:rPr>
        <w:t>Enterprise Data Platform Capstone Project</w:t>
      </w:r>
    </w:p>
    <w:p w14:paraId="52037F87" w14:textId="77777777" w:rsidR="009A4008" w:rsidRPr="009A4008" w:rsidRDefault="009A4008" w:rsidP="009A4008">
      <w:pPr>
        <w:spacing w:after="160"/>
        <w:jc w:val="center"/>
        <w:rPr>
          <w:rFonts w:ascii="Times New Roman" w:hAnsi="Times New Roman" w:cs="Times New Roman"/>
          <w:sz w:val="22"/>
          <w:szCs w:val="22"/>
        </w:rPr>
      </w:pPr>
      <w:r w:rsidRPr="009A4008">
        <w:rPr>
          <w:rFonts w:ascii="Times New Roman" w:hAnsi="Times New Roman" w:cs="Times New Roman"/>
          <w:sz w:val="22"/>
          <w:szCs w:val="22"/>
        </w:rPr>
        <w:t>Course: Enterprise Data Management</w:t>
      </w:r>
    </w:p>
    <w:p w14:paraId="6B4047B1" w14:textId="77777777" w:rsidR="009A4008" w:rsidRPr="009A4008" w:rsidRDefault="009A4008" w:rsidP="009A4008">
      <w:pPr>
        <w:spacing w:after="160"/>
        <w:jc w:val="center"/>
        <w:rPr>
          <w:rFonts w:ascii="Times New Roman" w:hAnsi="Times New Roman" w:cs="Times New Roman"/>
          <w:sz w:val="22"/>
          <w:szCs w:val="22"/>
        </w:rPr>
      </w:pPr>
      <w:r w:rsidRPr="009A4008">
        <w:rPr>
          <w:rFonts w:ascii="Times New Roman" w:hAnsi="Times New Roman" w:cs="Times New Roman"/>
          <w:sz w:val="22"/>
          <w:szCs w:val="22"/>
        </w:rPr>
        <w:t>Programme: Bachelor of Information Technology</w:t>
      </w:r>
    </w:p>
    <w:p w14:paraId="1C0B2F7D" w14:textId="77777777" w:rsidR="009A4008" w:rsidRPr="009A4008" w:rsidRDefault="009A4008" w:rsidP="009A4008">
      <w:pPr>
        <w:spacing w:after="160"/>
        <w:jc w:val="center"/>
        <w:rPr>
          <w:rFonts w:ascii="Times New Roman" w:hAnsi="Times New Roman" w:cs="Times New Roman"/>
          <w:sz w:val="22"/>
          <w:szCs w:val="22"/>
        </w:rPr>
      </w:pPr>
      <w:r w:rsidRPr="009A4008">
        <w:rPr>
          <w:rFonts w:ascii="Times New Roman" w:hAnsi="Times New Roman" w:cs="Times New Roman"/>
          <w:sz w:val="22"/>
          <w:szCs w:val="22"/>
        </w:rPr>
        <w:t>Institution: Kampala International University</w:t>
      </w:r>
    </w:p>
    <w:p w14:paraId="74298E52" w14:textId="77777777" w:rsidR="009A4008" w:rsidRPr="009A4008" w:rsidRDefault="009A4008" w:rsidP="009A4008">
      <w:pPr>
        <w:spacing w:after="160"/>
        <w:jc w:val="center"/>
        <w:rPr>
          <w:rFonts w:ascii="Times New Roman" w:hAnsi="Times New Roman" w:cs="Times New Roman"/>
          <w:sz w:val="22"/>
          <w:szCs w:val="22"/>
        </w:rPr>
      </w:pPr>
      <w:r w:rsidRPr="009A4008">
        <w:rPr>
          <w:rFonts w:ascii="Times New Roman" w:hAnsi="Times New Roman" w:cs="Times New Roman"/>
          <w:noProof/>
          <w:sz w:val="22"/>
          <w:szCs w:val="22"/>
        </w:rPr>
        <w:drawing>
          <wp:inline distT="0" distB="0" distL="0" distR="0" wp14:anchorId="5F1E7B50" wp14:editId="2F6DA825">
            <wp:extent cx="1807845" cy="685800"/>
            <wp:effectExtent l="0" t="0" r="1905" b="0"/>
            <wp:docPr id="36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 name="Picture 16"/>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1822332" cy="691230"/>
                    </a:xfrm>
                    <a:prstGeom prst="rect">
                      <a:avLst/>
                    </a:prstGeom>
                  </pic:spPr>
                </pic:pic>
              </a:graphicData>
            </a:graphic>
          </wp:inline>
        </w:drawing>
      </w:r>
    </w:p>
    <w:p w14:paraId="7945DDAA" w14:textId="77777777" w:rsidR="009A4008" w:rsidRPr="009A4008" w:rsidRDefault="009A4008" w:rsidP="009A4008">
      <w:pPr>
        <w:spacing w:after="160"/>
        <w:jc w:val="center"/>
        <w:rPr>
          <w:rFonts w:ascii="Times New Roman" w:hAnsi="Times New Roman" w:cs="Times New Roman"/>
          <w:sz w:val="22"/>
          <w:szCs w:val="22"/>
        </w:rPr>
      </w:pPr>
      <w:r w:rsidRPr="009A4008">
        <w:rPr>
          <w:rFonts w:ascii="Times New Roman" w:hAnsi="Times New Roman" w:cs="Times New Roman"/>
          <w:sz w:val="22"/>
          <w:szCs w:val="22"/>
        </w:rPr>
        <w:t>Group members</w:t>
      </w:r>
    </w:p>
    <w:tbl>
      <w:tblPr>
        <w:tblW w:w="7021" w:type="dxa"/>
        <w:jc w:val="center"/>
        <w:tblLook w:val="04A0" w:firstRow="1" w:lastRow="0" w:firstColumn="1" w:lastColumn="0" w:noHBand="0" w:noVBand="1"/>
      </w:tblPr>
      <w:tblGrid>
        <w:gridCol w:w="559"/>
        <w:gridCol w:w="2785"/>
        <w:gridCol w:w="1841"/>
        <w:gridCol w:w="1836"/>
      </w:tblGrid>
      <w:tr w:rsidR="009A4008" w:rsidRPr="009A4008" w14:paraId="5E0B1EC4" w14:textId="77777777" w:rsidTr="00B6247C">
        <w:trPr>
          <w:trHeight w:val="290"/>
          <w:jc w:val="center"/>
        </w:trPr>
        <w:tc>
          <w:tcPr>
            <w:tcW w:w="7021" w:type="dxa"/>
            <w:gridSpan w:val="4"/>
            <w:tcBorders>
              <w:top w:val="single" w:sz="4" w:space="0" w:color="auto"/>
              <w:left w:val="single" w:sz="4" w:space="0" w:color="auto"/>
              <w:bottom w:val="single" w:sz="4" w:space="0" w:color="auto"/>
              <w:right w:val="single" w:sz="4" w:space="0" w:color="auto"/>
            </w:tcBorders>
            <w:noWrap/>
            <w:vAlign w:val="bottom"/>
            <w:hideMark/>
          </w:tcPr>
          <w:p w14:paraId="0855C8F5" w14:textId="50422807" w:rsidR="009A4008" w:rsidRPr="009A4008" w:rsidRDefault="009A4008" w:rsidP="00B6247C">
            <w:pPr>
              <w:jc w:val="center"/>
              <w:rPr>
                <w:rFonts w:ascii="Times New Roman" w:hAnsi="Times New Roman" w:cs="Times New Roman"/>
                <w:b/>
                <w:bCs/>
                <w:color w:val="000000"/>
                <w:sz w:val="22"/>
                <w:szCs w:val="22"/>
              </w:rPr>
            </w:pPr>
            <w:r w:rsidRPr="009A4008">
              <w:rPr>
                <w:rFonts w:ascii="Times New Roman" w:hAnsi="Times New Roman" w:cs="Times New Roman"/>
                <w:b/>
                <w:bCs/>
                <w:color w:val="000000"/>
                <w:sz w:val="22"/>
                <w:szCs w:val="22"/>
              </w:rPr>
              <w:t xml:space="preserve">Group </w:t>
            </w:r>
            <w:r w:rsidR="00F209E9">
              <w:rPr>
                <w:rFonts w:ascii="Times New Roman" w:hAnsi="Times New Roman" w:cs="Times New Roman"/>
                <w:b/>
                <w:bCs/>
                <w:color w:val="000000"/>
                <w:sz w:val="22"/>
                <w:szCs w:val="22"/>
              </w:rPr>
              <w:t>10</w:t>
            </w:r>
          </w:p>
        </w:tc>
      </w:tr>
      <w:tr w:rsidR="009A4008" w:rsidRPr="009A4008" w14:paraId="2991AB6D" w14:textId="77777777" w:rsidTr="00B6247C">
        <w:trPr>
          <w:trHeight w:val="290"/>
          <w:jc w:val="center"/>
        </w:trPr>
        <w:tc>
          <w:tcPr>
            <w:tcW w:w="553" w:type="dxa"/>
            <w:tcBorders>
              <w:top w:val="nil"/>
              <w:left w:val="single" w:sz="4" w:space="0" w:color="auto"/>
              <w:bottom w:val="single" w:sz="4" w:space="0" w:color="auto"/>
              <w:right w:val="single" w:sz="4" w:space="0" w:color="auto"/>
            </w:tcBorders>
            <w:noWrap/>
            <w:vAlign w:val="bottom"/>
            <w:hideMark/>
          </w:tcPr>
          <w:p w14:paraId="6BA83525" w14:textId="77777777" w:rsidR="009A4008" w:rsidRPr="009A4008" w:rsidRDefault="009A4008" w:rsidP="00B6247C">
            <w:pPr>
              <w:rPr>
                <w:rFonts w:ascii="Times New Roman" w:hAnsi="Times New Roman" w:cs="Times New Roman"/>
                <w:b/>
                <w:bCs/>
                <w:color w:val="000000"/>
                <w:sz w:val="22"/>
                <w:szCs w:val="22"/>
              </w:rPr>
            </w:pPr>
            <w:r w:rsidRPr="009A4008">
              <w:rPr>
                <w:rFonts w:ascii="Times New Roman" w:hAnsi="Times New Roman" w:cs="Times New Roman"/>
                <w:b/>
                <w:bCs/>
                <w:color w:val="000000"/>
                <w:sz w:val="22"/>
                <w:szCs w:val="22"/>
              </w:rPr>
              <w:t>S/N</w:t>
            </w:r>
          </w:p>
        </w:tc>
        <w:tc>
          <w:tcPr>
            <w:tcW w:w="2785" w:type="dxa"/>
            <w:tcBorders>
              <w:top w:val="nil"/>
              <w:left w:val="nil"/>
              <w:bottom w:val="single" w:sz="4" w:space="0" w:color="auto"/>
              <w:right w:val="single" w:sz="4" w:space="0" w:color="auto"/>
            </w:tcBorders>
            <w:noWrap/>
            <w:vAlign w:val="bottom"/>
            <w:hideMark/>
          </w:tcPr>
          <w:p w14:paraId="2F0BB485" w14:textId="77777777" w:rsidR="009A4008" w:rsidRPr="009A4008" w:rsidRDefault="009A4008" w:rsidP="00B6247C">
            <w:pPr>
              <w:rPr>
                <w:rFonts w:ascii="Times New Roman" w:hAnsi="Times New Roman" w:cs="Times New Roman"/>
                <w:b/>
                <w:bCs/>
                <w:color w:val="000000"/>
                <w:sz w:val="22"/>
                <w:szCs w:val="22"/>
              </w:rPr>
            </w:pPr>
            <w:r w:rsidRPr="009A4008">
              <w:rPr>
                <w:rFonts w:ascii="Times New Roman" w:hAnsi="Times New Roman" w:cs="Times New Roman"/>
                <w:b/>
                <w:bCs/>
                <w:color w:val="000000"/>
                <w:sz w:val="22"/>
                <w:szCs w:val="22"/>
              </w:rPr>
              <w:t>Name</w:t>
            </w:r>
          </w:p>
        </w:tc>
        <w:tc>
          <w:tcPr>
            <w:tcW w:w="1841" w:type="dxa"/>
            <w:tcBorders>
              <w:top w:val="nil"/>
              <w:left w:val="nil"/>
              <w:bottom w:val="single" w:sz="4" w:space="0" w:color="auto"/>
              <w:right w:val="single" w:sz="4" w:space="0" w:color="auto"/>
            </w:tcBorders>
            <w:noWrap/>
            <w:vAlign w:val="bottom"/>
            <w:hideMark/>
          </w:tcPr>
          <w:p w14:paraId="6F191154" w14:textId="77777777" w:rsidR="009A4008" w:rsidRPr="009A4008" w:rsidRDefault="009A4008" w:rsidP="00B6247C">
            <w:pPr>
              <w:rPr>
                <w:rFonts w:ascii="Times New Roman" w:hAnsi="Times New Roman" w:cs="Times New Roman"/>
                <w:b/>
                <w:bCs/>
                <w:color w:val="000000"/>
                <w:sz w:val="22"/>
                <w:szCs w:val="22"/>
              </w:rPr>
            </w:pPr>
            <w:r w:rsidRPr="009A4008">
              <w:rPr>
                <w:rFonts w:ascii="Times New Roman" w:hAnsi="Times New Roman" w:cs="Times New Roman"/>
                <w:b/>
                <w:bCs/>
                <w:color w:val="000000"/>
                <w:sz w:val="22"/>
                <w:szCs w:val="22"/>
              </w:rPr>
              <w:t>Registration No.</w:t>
            </w:r>
          </w:p>
        </w:tc>
        <w:tc>
          <w:tcPr>
            <w:tcW w:w="1841" w:type="dxa"/>
            <w:tcBorders>
              <w:top w:val="nil"/>
              <w:left w:val="nil"/>
              <w:bottom w:val="single" w:sz="4" w:space="0" w:color="auto"/>
              <w:right w:val="single" w:sz="4" w:space="0" w:color="auto"/>
            </w:tcBorders>
          </w:tcPr>
          <w:p w14:paraId="2FBABA81" w14:textId="77777777" w:rsidR="009A4008" w:rsidRPr="009A4008" w:rsidRDefault="009A4008" w:rsidP="00B6247C">
            <w:pPr>
              <w:rPr>
                <w:rFonts w:ascii="Times New Roman" w:hAnsi="Times New Roman" w:cs="Times New Roman"/>
                <w:b/>
                <w:bCs/>
                <w:color w:val="000000"/>
                <w:sz w:val="22"/>
                <w:szCs w:val="22"/>
              </w:rPr>
            </w:pPr>
          </w:p>
        </w:tc>
      </w:tr>
      <w:tr w:rsidR="009A4008" w:rsidRPr="009A4008" w14:paraId="3FB55237" w14:textId="77777777" w:rsidTr="00B6247C">
        <w:trPr>
          <w:trHeight w:val="300"/>
          <w:jc w:val="center"/>
        </w:trPr>
        <w:tc>
          <w:tcPr>
            <w:tcW w:w="553" w:type="dxa"/>
            <w:tcBorders>
              <w:top w:val="nil"/>
              <w:left w:val="single" w:sz="4" w:space="0" w:color="auto"/>
              <w:bottom w:val="single" w:sz="4" w:space="0" w:color="auto"/>
              <w:right w:val="single" w:sz="4" w:space="0" w:color="auto"/>
            </w:tcBorders>
            <w:noWrap/>
            <w:vAlign w:val="bottom"/>
            <w:hideMark/>
          </w:tcPr>
          <w:p w14:paraId="546A2FCA" w14:textId="77777777" w:rsidR="009A4008" w:rsidRPr="009A4008" w:rsidRDefault="009A4008" w:rsidP="00B6247C">
            <w:pPr>
              <w:jc w:val="right"/>
              <w:rPr>
                <w:rFonts w:ascii="Times New Roman" w:hAnsi="Times New Roman" w:cs="Times New Roman"/>
                <w:color w:val="000000"/>
                <w:sz w:val="22"/>
                <w:szCs w:val="22"/>
              </w:rPr>
            </w:pPr>
            <w:r w:rsidRPr="009A4008">
              <w:rPr>
                <w:rFonts w:ascii="Times New Roman" w:hAnsi="Times New Roman" w:cs="Times New Roman"/>
                <w:color w:val="000000"/>
                <w:sz w:val="22"/>
                <w:szCs w:val="22"/>
              </w:rPr>
              <w:t>1</w:t>
            </w:r>
          </w:p>
        </w:tc>
        <w:tc>
          <w:tcPr>
            <w:tcW w:w="2785" w:type="dxa"/>
            <w:tcBorders>
              <w:top w:val="nil"/>
              <w:left w:val="nil"/>
              <w:bottom w:val="single" w:sz="4" w:space="0" w:color="auto"/>
              <w:right w:val="single" w:sz="4" w:space="0" w:color="auto"/>
            </w:tcBorders>
            <w:noWrap/>
            <w:vAlign w:val="bottom"/>
            <w:hideMark/>
          </w:tcPr>
          <w:p w14:paraId="08B84542" w14:textId="314F63D9" w:rsidR="009A4008" w:rsidRPr="009A4008" w:rsidRDefault="00B4354B" w:rsidP="00B6247C">
            <w:pPr>
              <w:rPr>
                <w:rFonts w:ascii="Times New Roman" w:hAnsi="Times New Roman" w:cs="Times New Roman"/>
                <w:color w:val="000000"/>
                <w:sz w:val="22"/>
                <w:szCs w:val="22"/>
              </w:rPr>
            </w:pPr>
            <w:r>
              <w:rPr>
                <w:rFonts w:ascii="Times New Roman" w:hAnsi="Times New Roman" w:cs="Times New Roman"/>
                <w:color w:val="000000"/>
                <w:sz w:val="22"/>
                <w:szCs w:val="22"/>
              </w:rPr>
              <w:t>MUGOYA SHAFIC</w:t>
            </w:r>
          </w:p>
        </w:tc>
        <w:tc>
          <w:tcPr>
            <w:tcW w:w="1841" w:type="dxa"/>
            <w:tcBorders>
              <w:top w:val="nil"/>
              <w:left w:val="nil"/>
              <w:bottom w:val="single" w:sz="4" w:space="0" w:color="auto"/>
              <w:right w:val="single" w:sz="4" w:space="0" w:color="auto"/>
            </w:tcBorders>
            <w:noWrap/>
            <w:vAlign w:val="bottom"/>
            <w:hideMark/>
          </w:tcPr>
          <w:p w14:paraId="2045A588" w14:textId="1805F969" w:rsidR="009A4008" w:rsidRPr="009A4008" w:rsidRDefault="009A4008" w:rsidP="00B6247C">
            <w:pPr>
              <w:rPr>
                <w:rFonts w:ascii="Times New Roman" w:hAnsi="Times New Roman" w:cs="Times New Roman"/>
                <w:color w:val="000000"/>
                <w:sz w:val="22"/>
                <w:szCs w:val="22"/>
              </w:rPr>
            </w:pPr>
            <w:r w:rsidRPr="009A4008">
              <w:rPr>
                <w:rFonts w:ascii="Times New Roman" w:hAnsi="Times New Roman" w:cs="Times New Roman"/>
                <w:color w:val="000000"/>
                <w:sz w:val="22"/>
                <w:szCs w:val="22"/>
              </w:rPr>
              <w:t>2024-08-</w:t>
            </w:r>
            <w:r w:rsidR="00B4354B">
              <w:rPr>
                <w:rFonts w:ascii="Times New Roman" w:hAnsi="Times New Roman" w:cs="Times New Roman"/>
                <w:color w:val="000000"/>
                <w:sz w:val="22"/>
                <w:szCs w:val="22"/>
              </w:rPr>
              <w:t>33003</w:t>
            </w:r>
          </w:p>
        </w:tc>
        <w:tc>
          <w:tcPr>
            <w:tcW w:w="1841" w:type="dxa"/>
            <w:tcBorders>
              <w:top w:val="nil"/>
              <w:left w:val="nil"/>
              <w:bottom w:val="single" w:sz="4" w:space="0" w:color="auto"/>
              <w:right w:val="single" w:sz="4" w:space="0" w:color="auto"/>
            </w:tcBorders>
          </w:tcPr>
          <w:p w14:paraId="2AEC20DC" w14:textId="77777777" w:rsidR="009A4008" w:rsidRPr="009A4008" w:rsidRDefault="009A4008" w:rsidP="00B6247C">
            <w:pPr>
              <w:rPr>
                <w:rFonts w:ascii="Times New Roman" w:hAnsi="Times New Roman" w:cs="Times New Roman"/>
                <w:color w:val="000000"/>
                <w:sz w:val="22"/>
                <w:szCs w:val="22"/>
              </w:rPr>
            </w:pPr>
          </w:p>
        </w:tc>
      </w:tr>
      <w:tr w:rsidR="009A4008" w:rsidRPr="009A4008" w14:paraId="5D3F72EB" w14:textId="77777777" w:rsidTr="00B6247C">
        <w:trPr>
          <w:trHeight w:val="290"/>
          <w:jc w:val="center"/>
        </w:trPr>
        <w:tc>
          <w:tcPr>
            <w:tcW w:w="553" w:type="dxa"/>
            <w:tcBorders>
              <w:top w:val="nil"/>
              <w:left w:val="single" w:sz="4" w:space="0" w:color="auto"/>
              <w:bottom w:val="single" w:sz="4" w:space="0" w:color="auto"/>
              <w:right w:val="single" w:sz="4" w:space="0" w:color="auto"/>
            </w:tcBorders>
            <w:noWrap/>
            <w:vAlign w:val="bottom"/>
            <w:hideMark/>
          </w:tcPr>
          <w:p w14:paraId="2A1FEDF6" w14:textId="77777777" w:rsidR="009A4008" w:rsidRPr="009A4008" w:rsidRDefault="009A4008" w:rsidP="00B6247C">
            <w:pPr>
              <w:jc w:val="right"/>
              <w:rPr>
                <w:rFonts w:ascii="Times New Roman" w:hAnsi="Times New Roman" w:cs="Times New Roman"/>
                <w:color w:val="000000"/>
                <w:sz w:val="22"/>
                <w:szCs w:val="22"/>
              </w:rPr>
            </w:pPr>
            <w:r w:rsidRPr="009A4008">
              <w:rPr>
                <w:rFonts w:ascii="Times New Roman" w:hAnsi="Times New Roman" w:cs="Times New Roman"/>
                <w:color w:val="000000"/>
                <w:sz w:val="22"/>
                <w:szCs w:val="22"/>
              </w:rPr>
              <w:t>2</w:t>
            </w:r>
          </w:p>
        </w:tc>
        <w:tc>
          <w:tcPr>
            <w:tcW w:w="2785" w:type="dxa"/>
            <w:tcBorders>
              <w:top w:val="nil"/>
              <w:left w:val="nil"/>
              <w:bottom w:val="single" w:sz="4" w:space="0" w:color="auto"/>
              <w:right w:val="single" w:sz="4" w:space="0" w:color="auto"/>
            </w:tcBorders>
            <w:noWrap/>
            <w:vAlign w:val="bottom"/>
            <w:hideMark/>
          </w:tcPr>
          <w:p w14:paraId="25F8B203" w14:textId="7B159AC9" w:rsidR="009A4008" w:rsidRPr="009A4008" w:rsidRDefault="009564E5" w:rsidP="00B6247C">
            <w:pPr>
              <w:rPr>
                <w:rFonts w:ascii="Times New Roman" w:hAnsi="Times New Roman" w:cs="Times New Roman"/>
                <w:color w:val="000000"/>
                <w:sz w:val="22"/>
                <w:szCs w:val="22"/>
              </w:rPr>
            </w:pPr>
            <w:r>
              <w:rPr>
                <w:rFonts w:ascii="Times New Roman" w:hAnsi="Times New Roman" w:cs="Times New Roman"/>
                <w:color w:val="000000"/>
                <w:sz w:val="22"/>
                <w:szCs w:val="22"/>
              </w:rPr>
              <w:t>MURAMIRA FELEX</w:t>
            </w:r>
          </w:p>
        </w:tc>
        <w:tc>
          <w:tcPr>
            <w:tcW w:w="1841" w:type="dxa"/>
            <w:tcBorders>
              <w:top w:val="nil"/>
              <w:left w:val="nil"/>
              <w:bottom w:val="single" w:sz="4" w:space="0" w:color="auto"/>
              <w:right w:val="single" w:sz="4" w:space="0" w:color="auto"/>
            </w:tcBorders>
            <w:noWrap/>
            <w:vAlign w:val="bottom"/>
            <w:hideMark/>
          </w:tcPr>
          <w:p w14:paraId="50D1E70B" w14:textId="3D95C292" w:rsidR="009A4008" w:rsidRPr="009A4008" w:rsidRDefault="009A4008" w:rsidP="00B6247C">
            <w:pPr>
              <w:rPr>
                <w:rFonts w:ascii="Times New Roman" w:hAnsi="Times New Roman" w:cs="Times New Roman"/>
                <w:color w:val="000000"/>
                <w:sz w:val="22"/>
                <w:szCs w:val="22"/>
              </w:rPr>
            </w:pPr>
            <w:r w:rsidRPr="009A4008">
              <w:rPr>
                <w:rFonts w:ascii="Times New Roman" w:hAnsi="Times New Roman" w:cs="Times New Roman"/>
                <w:color w:val="000000"/>
                <w:sz w:val="22"/>
                <w:szCs w:val="22"/>
              </w:rPr>
              <w:t>2024-08-</w:t>
            </w:r>
            <w:r w:rsidR="009564E5">
              <w:rPr>
                <w:rFonts w:ascii="Times New Roman" w:hAnsi="Times New Roman" w:cs="Times New Roman"/>
                <w:color w:val="000000"/>
                <w:sz w:val="22"/>
                <w:szCs w:val="22"/>
              </w:rPr>
              <w:t>28252</w:t>
            </w:r>
          </w:p>
        </w:tc>
        <w:tc>
          <w:tcPr>
            <w:tcW w:w="1841" w:type="dxa"/>
            <w:tcBorders>
              <w:top w:val="nil"/>
              <w:left w:val="nil"/>
              <w:bottom w:val="single" w:sz="4" w:space="0" w:color="auto"/>
              <w:right w:val="single" w:sz="4" w:space="0" w:color="auto"/>
            </w:tcBorders>
          </w:tcPr>
          <w:p w14:paraId="1F99758D" w14:textId="77777777" w:rsidR="009A4008" w:rsidRPr="009A4008" w:rsidRDefault="009A4008" w:rsidP="00B6247C">
            <w:pPr>
              <w:rPr>
                <w:rFonts w:ascii="Times New Roman" w:hAnsi="Times New Roman" w:cs="Times New Roman"/>
                <w:color w:val="000000"/>
                <w:sz w:val="22"/>
                <w:szCs w:val="22"/>
              </w:rPr>
            </w:pPr>
          </w:p>
        </w:tc>
      </w:tr>
      <w:tr w:rsidR="009A4008" w:rsidRPr="009A4008" w14:paraId="3261AD3C" w14:textId="77777777" w:rsidTr="00B6247C">
        <w:trPr>
          <w:trHeight w:val="290"/>
          <w:jc w:val="center"/>
        </w:trPr>
        <w:tc>
          <w:tcPr>
            <w:tcW w:w="553" w:type="dxa"/>
            <w:tcBorders>
              <w:top w:val="nil"/>
              <w:left w:val="single" w:sz="4" w:space="0" w:color="auto"/>
              <w:bottom w:val="single" w:sz="4" w:space="0" w:color="auto"/>
              <w:right w:val="single" w:sz="4" w:space="0" w:color="auto"/>
            </w:tcBorders>
            <w:noWrap/>
            <w:vAlign w:val="bottom"/>
            <w:hideMark/>
          </w:tcPr>
          <w:p w14:paraId="66289343" w14:textId="77777777" w:rsidR="009A4008" w:rsidRPr="009A4008" w:rsidRDefault="009A4008" w:rsidP="00B6247C">
            <w:pPr>
              <w:jc w:val="right"/>
              <w:rPr>
                <w:rFonts w:ascii="Times New Roman" w:hAnsi="Times New Roman" w:cs="Times New Roman"/>
                <w:color w:val="000000"/>
                <w:sz w:val="22"/>
                <w:szCs w:val="22"/>
              </w:rPr>
            </w:pPr>
            <w:r w:rsidRPr="009A4008">
              <w:rPr>
                <w:rFonts w:ascii="Times New Roman" w:hAnsi="Times New Roman" w:cs="Times New Roman"/>
                <w:color w:val="000000"/>
                <w:sz w:val="22"/>
                <w:szCs w:val="22"/>
              </w:rPr>
              <w:t>3</w:t>
            </w:r>
          </w:p>
        </w:tc>
        <w:tc>
          <w:tcPr>
            <w:tcW w:w="2785" w:type="dxa"/>
            <w:tcBorders>
              <w:top w:val="nil"/>
              <w:left w:val="nil"/>
              <w:bottom w:val="single" w:sz="4" w:space="0" w:color="auto"/>
              <w:right w:val="single" w:sz="4" w:space="0" w:color="auto"/>
            </w:tcBorders>
            <w:noWrap/>
            <w:vAlign w:val="bottom"/>
            <w:hideMark/>
          </w:tcPr>
          <w:p w14:paraId="3DA64EC7" w14:textId="6F8321A0" w:rsidR="009A4008" w:rsidRPr="009A4008" w:rsidRDefault="009564E5" w:rsidP="00B6247C">
            <w:pPr>
              <w:rPr>
                <w:rFonts w:ascii="Times New Roman" w:hAnsi="Times New Roman" w:cs="Times New Roman"/>
                <w:color w:val="000000"/>
                <w:sz w:val="22"/>
                <w:szCs w:val="22"/>
              </w:rPr>
            </w:pPr>
            <w:r>
              <w:rPr>
                <w:rFonts w:ascii="Times New Roman" w:hAnsi="Times New Roman" w:cs="Times New Roman"/>
                <w:color w:val="000000"/>
                <w:sz w:val="22"/>
                <w:szCs w:val="22"/>
              </w:rPr>
              <w:t>IRAKIZA  TIMOTHY</w:t>
            </w:r>
          </w:p>
        </w:tc>
        <w:tc>
          <w:tcPr>
            <w:tcW w:w="1841" w:type="dxa"/>
            <w:tcBorders>
              <w:top w:val="nil"/>
              <w:left w:val="nil"/>
              <w:bottom w:val="single" w:sz="4" w:space="0" w:color="auto"/>
              <w:right w:val="single" w:sz="4" w:space="0" w:color="auto"/>
            </w:tcBorders>
            <w:noWrap/>
            <w:vAlign w:val="bottom"/>
            <w:hideMark/>
          </w:tcPr>
          <w:p w14:paraId="3028EF2D" w14:textId="76FB14FA" w:rsidR="009A4008" w:rsidRPr="009A4008" w:rsidRDefault="009A4008" w:rsidP="00B6247C">
            <w:pPr>
              <w:rPr>
                <w:rFonts w:ascii="Times New Roman" w:hAnsi="Times New Roman" w:cs="Times New Roman"/>
                <w:color w:val="000000"/>
                <w:sz w:val="22"/>
                <w:szCs w:val="22"/>
              </w:rPr>
            </w:pPr>
            <w:r w:rsidRPr="009A4008">
              <w:rPr>
                <w:rFonts w:ascii="Times New Roman" w:hAnsi="Times New Roman" w:cs="Times New Roman"/>
                <w:color w:val="000000"/>
                <w:sz w:val="22"/>
                <w:szCs w:val="22"/>
              </w:rPr>
              <w:t>202</w:t>
            </w:r>
            <w:r w:rsidR="009564E5">
              <w:rPr>
                <w:rFonts w:ascii="Times New Roman" w:hAnsi="Times New Roman" w:cs="Times New Roman"/>
                <w:color w:val="000000"/>
                <w:sz w:val="22"/>
                <w:szCs w:val="22"/>
              </w:rPr>
              <w:t>5</w:t>
            </w:r>
            <w:r w:rsidRPr="009A4008">
              <w:rPr>
                <w:rFonts w:ascii="Times New Roman" w:hAnsi="Times New Roman" w:cs="Times New Roman"/>
                <w:color w:val="000000"/>
                <w:sz w:val="22"/>
                <w:szCs w:val="22"/>
              </w:rPr>
              <w:t>-08-</w:t>
            </w:r>
            <w:r w:rsidR="009564E5">
              <w:rPr>
                <w:rFonts w:ascii="Times New Roman" w:hAnsi="Times New Roman" w:cs="Times New Roman"/>
                <w:color w:val="000000"/>
                <w:sz w:val="22"/>
                <w:szCs w:val="22"/>
              </w:rPr>
              <w:t>39952</w:t>
            </w:r>
          </w:p>
        </w:tc>
        <w:tc>
          <w:tcPr>
            <w:tcW w:w="1841" w:type="dxa"/>
            <w:tcBorders>
              <w:top w:val="nil"/>
              <w:left w:val="nil"/>
              <w:bottom w:val="single" w:sz="4" w:space="0" w:color="auto"/>
              <w:right w:val="single" w:sz="4" w:space="0" w:color="auto"/>
            </w:tcBorders>
          </w:tcPr>
          <w:p w14:paraId="2D6C64BF" w14:textId="77777777" w:rsidR="009A4008" w:rsidRPr="009A4008" w:rsidRDefault="009A4008" w:rsidP="00B6247C">
            <w:pPr>
              <w:rPr>
                <w:rFonts w:ascii="Times New Roman" w:hAnsi="Times New Roman" w:cs="Times New Roman"/>
                <w:color w:val="000000"/>
                <w:sz w:val="22"/>
                <w:szCs w:val="22"/>
              </w:rPr>
            </w:pPr>
          </w:p>
        </w:tc>
      </w:tr>
      <w:tr w:rsidR="009A4008" w:rsidRPr="009A4008" w14:paraId="4977F2A6" w14:textId="77777777" w:rsidTr="00B6247C">
        <w:trPr>
          <w:trHeight w:val="290"/>
          <w:jc w:val="center"/>
        </w:trPr>
        <w:tc>
          <w:tcPr>
            <w:tcW w:w="553" w:type="dxa"/>
            <w:tcBorders>
              <w:top w:val="nil"/>
              <w:left w:val="single" w:sz="4" w:space="0" w:color="auto"/>
              <w:bottom w:val="single" w:sz="4" w:space="0" w:color="auto"/>
              <w:right w:val="single" w:sz="4" w:space="0" w:color="auto"/>
            </w:tcBorders>
            <w:noWrap/>
            <w:vAlign w:val="bottom"/>
            <w:hideMark/>
          </w:tcPr>
          <w:p w14:paraId="683F92F6" w14:textId="77777777" w:rsidR="009A4008" w:rsidRPr="009A4008" w:rsidRDefault="009A4008" w:rsidP="00B6247C">
            <w:pPr>
              <w:jc w:val="right"/>
              <w:rPr>
                <w:rFonts w:ascii="Times New Roman" w:hAnsi="Times New Roman" w:cs="Times New Roman"/>
                <w:color w:val="000000"/>
                <w:sz w:val="22"/>
                <w:szCs w:val="22"/>
              </w:rPr>
            </w:pPr>
            <w:r w:rsidRPr="009A4008">
              <w:rPr>
                <w:rFonts w:ascii="Times New Roman" w:hAnsi="Times New Roman" w:cs="Times New Roman"/>
                <w:color w:val="000000"/>
                <w:sz w:val="22"/>
                <w:szCs w:val="22"/>
              </w:rPr>
              <w:t>4</w:t>
            </w:r>
          </w:p>
        </w:tc>
        <w:tc>
          <w:tcPr>
            <w:tcW w:w="2785" w:type="dxa"/>
            <w:tcBorders>
              <w:top w:val="nil"/>
              <w:left w:val="nil"/>
              <w:bottom w:val="single" w:sz="4" w:space="0" w:color="auto"/>
              <w:right w:val="single" w:sz="4" w:space="0" w:color="auto"/>
            </w:tcBorders>
            <w:noWrap/>
            <w:vAlign w:val="bottom"/>
            <w:hideMark/>
          </w:tcPr>
          <w:p w14:paraId="69F5E219" w14:textId="6E1AEE9F" w:rsidR="009A4008" w:rsidRPr="009A4008" w:rsidRDefault="00913A8F" w:rsidP="00B6247C">
            <w:pPr>
              <w:rPr>
                <w:rFonts w:ascii="Times New Roman" w:hAnsi="Times New Roman" w:cs="Times New Roman"/>
                <w:color w:val="000000"/>
                <w:sz w:val="22"/>
                <w:szCs w:val="22"/>
              </w:rPr>
            </w:pPr>
            <w:r>
              <w:rPr>
                <w:rFonts w:ascii="Times New Roman" w:hAnsi="Times New Roman" w:cs="Times New Roman"/>
                <w:color w:val="000000"/>
                <w:sz w:val="22"/>
                <w:szCs w:val="22"/>
              </w:rPr>
              <w:t>MUBIRU ARTHUR</w:t>
            </w:r>
          </w:p>
        </w:tc>
        <w:tc>
          <w:tcPr>
            <w:tcW w:w="1841" w:type="dxa"/>
            <w:tcBorders>
              <w:top w:val="nil"/>
              <w:left w:val="nil"/>
              <w:bottom w:val="single" w:sz="4" w:space="0" w:color="auto"/>
              <w:right w:val="single" w:sz="4" w:space="0" w:color="auto"/>
            </w:tcBorders>
            <w:noWrap/>
            <w:vAlign w:val="bottom"/>
            <w:hideMark/>
          </w:tcPr>
          <w:p w14:paraId="18EFC728" w14:textId="3710E8BC" w:rsidR="009A4008" w:rsidRPr="009A4008" w:rsidRDefault="009A4008" w:rsidP="00B6247C">
            <w:pPr>
              <w:rPr>
                <w:rFonts w:ascii="Times New Roman" w:hAnsi="Times New Roman" w:cs="Times New Roman"/>
                <w:color w:val="000000"/>
                <w:sz w:val="22"/>
                <w:szCs w:val="22"/>
              </w:rPr>
            </w:pPr>
            <w:r w:rsidRPr="009A4008">
              <w:rPr>
                <w:rFonts w:ascii="Times New Roman" w:hAnsi="Times New Roman" w:cs="Times New Roman"/>
                <w:color w:val="000000"/>
                <w:sz w:val="22"/>
                <w:szCs w:val="22"/>
              </w:rPr>
              <w:t>2024-08-</w:t>
            </w:r>
            <w:r w:rsidR="00913A8F">
              <w:rPr>
                <w:rFonts w:ascii="Times New Roman" w:hAnsi="Times New Roman" w:cs="Times New Roman"/>
                <w:color w:val="000000"/>
                <w:sz w:val="22"/>
                <w:szCs w:val="22"/>
              </w:rPr>
              <w:t>31595</w:t>
            </w:r>
          </w:p>
        </w:tc>
        <w:tc>
          <w:tcPr>
            <w:tcW w:w="1841" w:type="dxa"/>
            <w:tcBorders>
              <w:top w:val="nil"/>
              <w:left w:val="nil"/>
              <w:bottom w:val="single" w:sz="4" w:space="0" w:color="auto"/>
              <w:right w:val="single" w:sz="4" w:space="0" w:color="auto"/>
            </w:tcBorders>
          </w:tcPr>
          <w:p w14:paraId="41B7F67D" w14:textId="77777777" w:rsidR="009A4008" w:rsidRPr="009A4008" w:rsidRDefault="009A4008" w:rsidP="00B6247C">
            <w:pPr>
              <w:rPr>
                <w:rFonts w:ascii="Times New Roman" w:hAnsi="Times New Roman" w:cs="Times New Roman"/>
                <w:color w:val="000000"/>
                <w:sz w:val="22"/>
                <w:szCs w:val="22"/>
              </w:rPr>
            </w:pPr>
          </w:p>
        </w:tc>
      </w:tr>
      <w:tr w:rsidR="009A4008" w:rsidRPr="009A4008" w14:paraId="4A591001" w14:textId="77777777" w:rsidTr="00B6247C">
        <w:trPr>
          <w:trHeight w:val="290"/>
          <w:jc w:val="center"/>
        </w:trPr>
        <w:tc>
          <w:tcPr>
            <w:tcW w:w="553" w:type="dxa"/>
            <w:tcBorders>
              <w:top w:val="nil"/>
              <w:left w:val="single" w:sz="4" w:space="0" w:color="auto"/>
              <w:bottom w:val="single" w:sz="4" w:space="0" w:color="auto"/>
              <w:right w:val="single" w:sz="4" w:space="0" w:color="auto"/>
            </w:tcBorders>
            <w:noWrap/>
            <w:vAlign w:val="bottom"/>
            <w:hideMark/>
          </w:tcPr>
          <w:p w14:paraId="19A4B0F6" w14:textId="77777777" w:rsidR="009A4008" w:rsidRPr="009A4008" w:rsidRDefault="009A4008" w:rsidP="00B6247C">
            <w:pPr>
              <w:jc w:val="right"/>
              <w:rPr>
                <w:rFonts w:ascii="Times New Roman" w:hAnsi="Times New Roman" w:cs="Times New Roman"/>
                <w:color w:val="000000"/>
                <w:sz w:val="22"/>
                <w:szCs w:val="22"/>
              </w:rPr>
            </w:pPr>
            <w:r w:rsidRPr="009A4008">
              <w:rPr>
                <w:rFonts w:ascii="Times New Roman" w:hAnsi="Times New Roman" w:cs="Times New Roman"/>
                <w:color w:val="000000"/>
                <w:sz w:val="22"/>
                <w:szCs w:val="22"/>
              </w:rPr>
              <w:t>5</w:t>
            </w:r>
          </w:p>
        </w:tc>
        <w:tc>
          <w:tcPr>
            <w:tcW w:w="2785" w:type="dxa"/>
            <w:tcBorders>
              <w:top w:val="nil"/>
              <w:left w:val="nil"/>
              <w:bottom w:val="single" w:sz="4" w:space="0" w:color="auto"/>
              <w:right w:val="single" w:sz="4" w:space="0" w:color="auto"/>
            </w:tcBorders>
            <w:noWrap/>
            <w:vAlign w:val="bottom"/>
            <w:hideMark/>
          </w:tcPr>
          <w:p w14:paraId="5E257AFF" w14:textId="56DAD2B0" w:rsidR="009A4008" w:rsidRPr="009A4008" w:rsidRDefault="009564E5" w:rsidP="00B6247C">
            <w:pPr>
              <w:rPr>
                <w:rFonts w:ascii="Times New Roman" w:hAnsi="Times New Roman" w:cs="Times New Roman"/>
                <w:color w:val="000000"/>
                <w:sz w:val="22"/>
                <w:szCs w:val="22"/>
              </w:rPr>
            </w:pPr>
            <w:r>
              <w:rPr>
                <w:rFonts w:ascii="Times New Roman" w:hAnsi="Times New Roman" w:cs="Times New Roman"/>
                <w:color w:val="000000"/>
                <w:sz w:val="22"/>
                <w:szCs w:val="22"/>
              </w:rPr>
              <w:t>KATARYEBA GRIFFIN.A</w:t>
            </w:r>
          </w:p>
        </w:tc>
        <w:tc>
          <w:tcPr>
            <w:tcW w:w="1841" w:type="dxa"/>
            <w:tcBorders>
              <w:top w:val="nil"/>
              <w:left w:val="nil"/>
              <w:bottom w:val="single" w:sz="4" w:space="0" w:color="auto"/>
              <w:right w:val="single" w:sz="4" w:space="0" w:color="auto"/>
            </w:tcBorders>
            <w:noWrap/>
            <w:vAlign w:val="bottom"/>
            <w:hideMark/>
          </w:tcPr>
          <w:p w14:paraId="5EEC7A3A" w14:textId="597C9C2B" w:rsidR="009A4008" w:rsidRPr="009A4008" w:rsidRDefault="009A4008" w:rsidP="00B6247C">
            <w:pPr>
              <w:rPr>
                <w:rFonts w:ascii="Times New Roman" w:hAnsi="Times New Roman" w:cs="Times New Roman"/>
                <w:color w:val="000000"/>
                <w:sz w:val="22"/>
                <w:szCs w:val="22"/>
              </w:rPr>
            </w:pPr>
            <w:r w:rsidRPr="009A4008">
              <w:rPr>
                <w:rFonts w:ascii="Times New Roman" w:hAnsi="Times New Roman" w:cs="Times New Roman"/>
                <w:color w:val="000000"/>
                <w:sz w:val="22"/>
                <w:szCs w:val="22"/>
              </w:rPr>
              <w:t>2024-08-</w:t>
            </w:r>
            <w:r w:rsidR="009564E5">
              <w:rPr>
                <w:rFonts w:ascii="Times New Roman" w:hAnsi="Times New Roman" w:cs="Times New Roman"/>
                <w:color w:val="000000"/>
                <w:sz w:val="22"/>
                <w:szCs w:val="22"/>
              </w:rPr>
              <w:t>32914</w:t>
            </w:r>
          </w:p>
        </w:tc>
        <w:tc>
          <w:tcPr>
            <w:tcW w:w="1841" w:type="dxa"/>
            <w:tcBorders>
              <w:top w:val="nil"/>
              <w:left w:val="nil"/>
              <w:bottom w:val="single" w:sz="4" w:space="0" w:color="auto"/>
              <w:right w:val="single" w:sz="4" w:space="0" w:color="auto"/>
            </w:tcBorders>
          </w:tcPr>
          <w:p w14:paraId="3119EAFF" w14:textId="77777777" w:rsidR="009A4008" w:rsidRPr="009A4008" w:rsidRDefault="009A4008" w:rsidP="00B6247C">
            <w:pPr>
              <w:rPr>
                <w:rFonts w:ascii="Times New Roman" w:hAnsi="Times New Roman" w:cs="Times New Roman"/>
                <w:color w:val="000000"/>
                <w:sz w:val="22"/>
                <w:szCs w:val="22"/>
              </w:rPr>
            </w:pPr>
          </w:p>
        </w:tc>
      </w:tr>
    </w:tbl>
    <w:p w14:paraId="55C7C842" w14:textId="77777777" w:rsidR="009A4008" w:rsidRPr="009A4008" w:rsidRDefault="009A4008" w:rsidP="009A4008">
      <w:pPr>
        <w:spacing w:after="160"/>
        <w:jc w:val="center"/>
        <w:rPr>
          <w:rFonts w:ascii="Times New Roman" w:hAnsi="Times New Roman" w:cs="Times New Roman"/>
          <w:sz w:val="22"/>
          <w:szCs w:val="22"/>
        </w:rPr>
      </w:pPr>
    </w:p>
    <w:p w14:paraId="6C5A7A45" w14:textId="77777777" w:rsidR="009A4008" w:rsidRPr="009A4008" w:rsidRDefault="009A4008" w:rsidP="009A4008">
      <w:pPr>
        <w:spacing w:after="160"/>
        <w:jc w:val="center"/>
        <w:rPr>
          <w:rFonts w:ascii="Times New Roman" w:hAnsi="Times New Roman" w:cs="Times New Roman"/>
          <w:sz w:val="22"/>
          <w:szCs w:val="22"/>
        </w:rPr>
      </w:pPr>
    </w:p>
    <w:p w14:paraId="6611914A" w14:textId="77777777" w:rsidR="009A4008" w:rsidRPr="009A4008" w:rsidRDefault="009A4008" w:rsidP="009A4008">
      <w:pPr>
        <w:spacing w:after="160"/>
        <w:jc w:val="center"/>
        <w:rPr>
          <w:rFonts w:ascii="Times New Roman" w:hAnsi="Times New Roman" w:cs="Times New Roman"/>
          <w:sz w:val="22"/>
          <w:szCs w:val="22"/>
        </w:rPr>
      </w:pPr>
      <w:r w:rsidRPr="009A4008">
        <w:rPr>
          <w:rFonts w:ascii="Times New Roman" w:hAnsi="Times New Roman" w:cs="Times New Roman"/>
          <w:sz w:val="22"/>
          <w:szCs w:val="22"/>
        </w:rPr>
        <w:t>Lecturer: Mr Niyibizi Kenneth</w:t>
      </w:r>
    </w:p>
    <w:p w14:paraId="4AFFB732" w14:textId="77777777" w:rsidR="009A4008" w:rsidRPr="009A4008" w:rsidRDefault="009A4008" w:rsidP="009A4008">
      <w:pPr>
        <w:spacing w:after="160"/>
        <w:jc w:val="center"/>
        <w:rPr>
          <w:rFonts w:ascii="Times New Roman" w:hAnsi="Times New Roman" w:cs="Times New Roman"/>
          <w:sz w:val="22"/>
          <w:szCs w:val="22"/>
        </w:rPr>
      </w:pPr>
      <w:r w:rsidRPr="009A4008">
        <w:rPr>
          <w:rFonts w:ascii="Times New Roman" w:hAnsi="Times New Roman" w:cs="Times New Roman"/>
          <w:sz w:val="22"/>
          <w:szCs w:val="22"/>
        </w:rPr>
        <w:t>Submission date: 2026-10-12</w:t>
      </w:r>
    </w:p>
    <w:p w14:paraId="4F23E7E8"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br w:type="page"/>
      </w:r>
    </w:p>
    <w:p w14:paraId="2F849AF4" w14:textId="77777777" w:rsidR="009A4008" w:rsidRPr="009A4008" w:rsidRDefault="009A4008" w:rsidP="009A4008">
      <w:pPr>
        <w:pStyle w:val="Heading1"/>
        <w:rPr>
          <w:rFonts w:ascii="Times New Roman" w:hAnsi="Times New Roman" w:cs="Times New Roman"/>
          <w:sz w:val="22"/>
          <w:szCs w:val="22"/>
        </w:rPr>
      </w:pPr>
      <w:r w:rsidRPr="009A4008">
        <w:rPr>
          <w:rFonts w:ascii="Times New Roman" w:hAnsi="Times New Roman" w:cs="Times New Roman"/>
          <w:sz w:val="22"/>
          <w:szCs w:val="22"/>
        </w:rPr>
        <w:lastRenderedPageBreak/>
        <w:t>Contents</w:t>
      </w:r>
    </w:p>
    <w:p w14:paraId="0D395D28"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1. Executive Summary</w:t>
      </w:r>
    </w:p>
    <w:p w14:paraId="6CB78B30"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2. Business Context and Objectives</w:t>
      </w:r>
    </w:p>
    <w:p w14:paraId="5863B176"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3. Governance and Accountability</w:t>
      </w:r>
    </w:p>
    <w:p w14:paraId="039BF3FB"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4. Target Architecture and Data Model</w:t>
      </w:r>
    </w:p>
    <w:p w14:paraId="10EB9E2E"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5. Data Quality Management</w:t>
      </w:r>
    </w:p>
    <w:p w14:paraId="3A2014D1"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6. Master Data Management</w:t>
      </w:r>
    </w:p>
    <w:p w14:paraId="7BCB620D"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7. Metadata, Cataloguing and Lineage</w:t>
      </w:r>
    </w:p>
    <w:p w14:paraId="447D7B8B"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8. Security, Privacy and Compliance</w:t>
      </w:r>
    </w:p>
    <w:p w14:paraId="1CF94FDA"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9. Analytics and Ministry of Health Reporting</w:t>
      </w:r>
    </w:p>
    <w:p w14:paraId="23791532"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10. Implementation Roadmap and Future Development</w:t>
      </w:r>
    </w:p>
    <w:p w14:paraId="772EDF13"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11. Operations, Monitoring and Risk Management</w:t>
      </w:r>
    </w:p>
    <w:p w14:paraId="5C30D9C8"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12. Conclusion</w:t>
      </w:r>
    </w:p>
    <w:p w14:paraId="591FAD7D"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Appendix A. Database Objects Referenced in the Design</w:t>
      </w:r>
    </w:p>
    <w:p w14:paraId="2F4F7A77"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Appendix B. Individual Reflection and Contribution Log</w:t>
      </w:r>
    </w:p>
    <w:p w14:paraId="1719E9D8"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br w:type="page"/>
      </w:r>
    </w:p>
    <w:p w14:paraId="582CC94D" w14:textId="77777777" w:rsidR="009A4008" w:rsidRPr="009A4008" w:rsidRDefault="009A4008" w:rsidP="009A4008">
      <w:pPr>
        <w:pStyle w:val="Heading1"/>
        <w:rPr>
          <w:rFonts w:ascii="Times New Roman" w:hAnsi="Times New Roman" w:cs="Times New Roman"/>
          <w:sz w:val="22"/>
          <w:szCs w:val="22"/>
        </w:rPr>
      </w:pPr>
      <w:r w:rsidRPr="009A4008">
        <w:rPr>
          <w:rFonts w:ascii="Times New Roman" w:hAnsi="Times New Roman" w:cs="Times New Roman"/>
          <w:sz w:val="22"/>
          <w:szCs w:val="22"/>
        </w:rPr>
        <w:lastRenderedPageBreak/>
        <w:t>1. Executive Summary</w:t>
      </w:r>
    </w:p>
    <w:p w14:paraId="493373E7"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MediLink Health Network operates four clinics in Kampala, Mukono, Mbarara and Gulu. The clinics were brought together from separate operations, each with its own patient registration practices. One branch still relies on paper records. Differences in patient names, telephone numbers and registration details make it difficult to identify unique patients and to prepare a reliable network-wide view of service delivery.</w:t>
      </w:r>
    </w:p>
    <w:p w14:paraId="55F23218"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existing approach also creates privacy and reporting risks. The project brief describes a case in which a spreadsheet containing patient HIV statuses was sent to the wrong recipient. It also states that the Ministry of Health requires consolidated reporting on outpatient attendance, leading diagnoses and revenue by service, while manual preparation currently takes three staff approximately two weeks.</w:t>
      </w:r>
    </w:p>
    <w:p w14:paraId="4778A001"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This strategy proposes a MySQL 8-based enterprise data platform supported by data governance, data quality controls, master data management (MDM), a dimensional data warehouse, metadata documentation, access controls and scheduled monitoring. Source records are first retained in staging tables, then standardized and reconciled into a master patient record. Visit and billing data are integrated into a warehouse for reporting. The design aims to reduce duplicate patient identities, improve the reliability of telephone numbers, protect personal information and make monthly reporting repeatable.</w:t>
      </w:r>
    </w:p>
    <w:p w14:paraId="799F25AB"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strategy is organized around the business rules in the project brief. Each patient should have one golden record; telephone numbers should be normalized to the Ugandan format 256XXXXXXXXX and used as the primary matching key; National Identification numbers should not be stored in plain text; identity conflicts should be referred to a data steward; billing records should be immutable; and changes to master records should be audited. Access should be limited according to role, clinical records should follow the defined retention lifecycle, and source systems should not be treated as trusted until their metadata is recorded.</w:t>
      </w:r>
    </w:p>
    <w:p w14:paraId="6975131F"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design is intended to support a monthly reporting deadline of the fifth day of each month. Its success must be assessed using evidence from the working database, including data-quality scorecards, golden-record and crosswalk queries, ETL results, dashboard outputs, access-control tests and scheduled-event logs. Final claims about achieved performance should be added only after those checks have been completed.</w:t>
      </w:r>
    </w:p>
    <w:p w14:paraId="4B6B6BCB" w14:textId="77777777" w:rsidR="009A4008" w:rsidRPr="009A4008" w:rsidRDefault="009A4008" w:rsidP="009A4008">
      <w:pPr>
        <w:pStyle w:val="Heading1"/>
        <w:rPr>
          <w:rFonts w:ascii="Times New Roman" w:hAnsi="Times New Roman" w:cs="Times New Roman"/>
          <w:sz w:val="22"/>
          <w:szCs w:val="22"/>
        </w:rPr>
      </w:pPr>
      <w:r w:rsidRPr="009A4008">
        <w:rPr>
          <w:rFonts w:ascii="Times New Roman" w:hAnsi="Times New Roman" w:cs="Times New Roman"/>
          <w:sz w:val="22"/>
          <w:szCs w:val="22"/>
        </w:rPr>
        <w:t>2. Business Context and Objectives</w:t>
      </w:r>
    </w:p>
    <w:p w14:paraId="73133B49"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2.1 Current business problem</w:t>
      </w:r>
    </w:p>
    <w:p w14:paraId="43D658FA"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central problem is not simply that the clinics use different software. Their records do not follow a common standard, and the network lacks a consistent process for deciding which values are trustworthy, who is accountable for them, who may access them and how long they should be retained. The same person may be registered several times, and different spellings or telephone numbers can prevent reliable matching. Inconsistent source data also affects operational reporting.</w:t>
      </w:r>
    </w:p>
    <w:p w14:paraId="11205999"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sample data in the brief illustrates these issues. In Legacy A, the name Nakato Sarah appears in differently formatted records, including rows 1 and 2. Legacy B contains Sarah Nakato as source row 101, with a normalized telephone number and an email address. The sample also includes inconsistent sex values, several date formats, incomplete identity fields and an invalid placeholder telephone value of '0'.</w:t>
      </w:r>
    </w:p>
    <w:p w14:paraId="2119EFD7"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2.2 Project objectives</w:t>
      </w:r>
    </w:p>
    <w:p w14:paraId="7B12D9DA" w14:textId="77777777" w:rsidR="009A4008" w:rsidRPr="009A4008" w:rsidRDefault="009A4008" w:rsidP="009A4008">
      <w:pPr>
        <w:pStyle w:val="ListBullet"/>
        <w:spacing w:after="60"/>
        <w:rPr>
          <w:rFonts w:cs="Times New Roman"/>
        </w:rPr>
      </w:pPr>
      <w:r w:rsidRPr="009A4008">
        <w:rPr>
          <w:rFonts w:cs="Times New Roman"/>
        </w:rPr>
        <w:t>Establish clear ownership, stewardship and accountability for enterprise data.</w:t>
      </w:r>
    </w:p>
    <w:p w14:paraId="1D3C7CBB" w14:textId="77777777" w:rsidR="009A4008" w:rsidRPr="009A4008" w:rsidRDefault="009A4008" w:rsidP="009A4008">
      <w:pPr>
        <w:pStyle w:val="ListBullet"/>
        <w:spacing w:after="60"/>
        <w:rPr>
          <w:rFonts w:cs="Times New Roman"/>
        </w:rPr>
      </w:pPr>
      <w:r w:rsidRPr="009A4008">
        <w:rPr>
          <w:rFonts w:cs="Times New Roman"/>
        </w:rPr>
        <w:t>Create a documented lifecycle for each data class, including retention, archiving and deletion.</w:t>
      </w:r>
    </w:p>
    <w:p w14:paraId="3489C137" w14:textId="77777777" w:rsidR="009A4008" w:rsidRPr="009A4008" w:rsidRDefault="009A4008" w:rsidP="009A4008">
      <w:pPr>
        <w:pStyle w:val="ListBullet"/>
        <w:spacing w:after="60"/>
        <w:rPr>
          <w:rFonts w:cs="Times New Roman"/>
        </w:rPr>
      </w:pPr>
      <w:r w:rsidRPr="009A4008">
        <w:rPr>
          <w:rFonts w:cs="Times New Roman"/>
        </w:rPr>
        <w:t>Build a relational master schema for clinics, staff, patients, visits and billing.</w:t>
      </w:r>
    </w:p>
    <w:p w14:paraId="23C62610" w14:textId="77777777" w:rsidR="009A4008" w:rsidRPr="009A4008" w:rsidRDefault="009A4008" w:rsidP="009A4008">
      <w:pPr>
        <w:pStyle w:val="ListBullet"/>
        <w:spacing w:after="60"/>
        <w:rPr>
          <w:rFonts w:cs="Times New Roman"/>
        </w:rPr>
      </w:pPr>
      <w:r w:rsidRPr="009A4008">
        <w:rPr>
          <w:rFonts w:cs="Times New Roman"/>
        </w:rPr>
        <w:t>Standardize source data and monitor quality against measurable targets.</w:t>
      </w:r>
    </w:p>
    <w:p w14:paraId="03AEE771" w14:textId="77777777" w:rsidR="009A4008" w:rsidRPr="009A4008" w:rsidRDefault="009A4008" w:rsidP="009A4008">
      <w:pPr>
        <w:pStyle w:val="ListBullet"/>
        <w:spacing w:after="60"/>
        <w:rPr>
          <w:rFonts w:cs="Times New Roman"/>
        </w:rPr>
      </w:pPr>
      <w:r w:rsidRPr="009A4008">
        <w:rPr>
          <w:rFonts w:cs="Times New Roman"/>
        </w:rPr>
        <w:t>Create a single golden patient record while preserving links to contributing source records.</w:t>
      </w:r>
    </w:p>
    <w:p w14:paraId="67F1934B" w14:textId="77777777" w:rsidR="009A4008" w:rsidRPr="009A4008" w:rsidRDefault="009A4008" w:rsidP="009A4008">
      <w:pPr>
        <w:pStyle w:val="ListBullet"/>
        <w:spacing w:after="60"/>
        <w:rPr>
          <w:rFonts w:cs="Times New Roman"/>
        </w:rPr>
      </w:pPr>
      <w:r w:rsidRPr="009A4008">
        <w:rPr>
          <w:rFonts w:cs="Times New Roman"/>
        </w:rPr>
        <w:t>Provide a dimensional warehouse that supports repeatable Ministry of Health and management reporting.</w:t>
      </w:r>
    </w:p>
    <w:p w14:paraId="39AC9BC2" w14:textId="77777777" w:rsidR="009A4008" w:rsidRPr="009A4008" w:rsidRDefault="009A4008" w:rsidP="009A4008">
      <w:pPr>
        <w:pStyle w:val="ListBullet"/>
        <w:spacing w:after="60"/>
        <w:rPr>
          <w:rFonts w:cs="Times New Roman"/>
        </w:rPr>
      </w:pPr>
      <w:r w:rsidRPr="009A4008">
        <w:rPr>
          <w:rFonts w:cs="Times New Roman"/>
        </w:rPr>
        <w:t>Maintain a catalog containing technical metadata, business definitions and lineage.</w:t>
      </w:r>
    </w:p>
    <w:p w14:paraId="2DE03074" w14:textId="77777777" w:rsidR="009A4008" w:rsidRPr="009A4008" w:rsidRDefault="009A4008" w:rsidP="009A4008">
      <w:pPr>
        <w:pStyle w:val="ListBullet"/>
        <w:spacing w:after="60"/>
        <w:rPr>
          <w:rFonts w:cs="Times New Roman"/>
        </w:rPr>
      </w:pPr>
      <w:r w:rsidRPr="009A4008">
        <w:rPr>
          <w:rFonts w:cs="Times New Roman"/>
        </w:rPr>
        <w:t>Protect personal and clinical information through classification, masking, least privilege and audit trails.</w:t>
      </w:r>
    </w:p>
    <w:p w14:paraId="0CAF96DA" w14:textId="77777777" w:rsidR="009A4008" w:rsidRPr="009A4008" w:rsidRDefault="009A4008" w:rsidP="009A4008">
      <w:pPr>
        <w:pStyle w:val="ListBullet"/>
        <w:spacing w:after="60"/>
        <w:rPr>
          <w:rFonts w:cs="Times New Roman"/>
        </w:rPr>
      </w:pPr>
      <w:r w:rsidRPr="009A4008">
        <w:rPr>
          <w:rFonts w:cs="Times New Roman"/>
        </w:rPr>
        <w:t>Automate routine quality logging and lifecycle tasks where the database implementation supports them.</w:t>
      </w:r>
    </w:p>
    <w:p w14:paraId="473AF253"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lastRenderedPageBreak/>
        <w:t>2.3 Scope</w:t>
      </w:r>
    </w:p>
    <w:p w14:paraId="3B6F3EC8"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scope covers the sample source systems and paper-derived records described in the brief, the MySQL database named medilink, governance registers, the master patient record, operational visit and billing data, a star-schema warehouse, cataloguing, privacy and security controls, reporting and scheduled monitoring. The platform is designed around the four MediLink clinic locations and the source types named in the brief: LEGACY_A, LEGACY_B, PHARMACY_POS and PAPER_SCAN.</w:t>
      </w:r>
    </w:p>
    <w:p w14:paraId="35C85653"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 xml:space="preserve"> 2.4 Business rules and acceptance criteria</w:t>
      </w:r>
    </w:p>
    <w:tbl>
      <w:tblPr>
        <w:tblStyle w:val="TableGrid"/>
        <w:tblW w:w="0" w:type="auto"/>
        <w:jc w:val="center"/>
        <w:tblLook w:val="04A0" w:firstRow="1" w:lastRow="0" w:firstColumn="1" w:lastColumn="0" w:noHBand="0" w:noVBand="1"/>
      </w:tblPr>
      <w:tblGrid>
        <w:gridCol w:w="3212"/>
        <w:gridCol w:w="3213"/>
        <w:gridCol w:w="3213"/>
      </w:tblGrid>
      <w:tr w:rsidR="009A4008" w:rsidRPr="009A4008" w14:paraId="1BA741C2" w14:textId="77777777" w:rsidTr="00B6247C">
        <w:trPr>
          <w:cantSplit/>
          <w:jc w:val="center"/>
        </w:trPr>
        <w:tc>
          <w:tcPr>
            <w:tcW w:w="3216" w:type="dxa"/>
            <w:shd w:val="clear" w:color="auto" w:fill="EDEDED"/>
            <w:vAlign w:val="center"/>
          </w:tcPr>
          <w:p w14:paraId="61A4758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Rule</w:t>
            </w:r>
          </w:p>
        </w:tc>
        <w:tc>
          <w:tcPr>
            <w:tcW w:w="3216" w:type="dxa"/>
            <w:shd w:val="clear" w:color="auto" w:fill="EDEDED"/>
            <w:vAlign w:val="center"/>
          </w:tcPr>
          <w:p w14:paraId="7D3ECCC2"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Design response</w:t>
            </w:r>
          </w:p>
        </w:tc>
        <w:tc>
          <w:tcPr>
            <w:tcW w:w="3216" w:type="dxa"/>
            <w:shd w:val="clear" w:color="auto" w:fill="EDEDED"/>
            <w:vAlign w:val="center"/>
          </w:tcPr>
          <w:p w14:paraId="6D42183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Evidence to retain</w:t>
            </w:r>
          </w:p>
        </w:tc>
      </w:tr>
      <w:tr w:rsidR="009A4008" w:rsidRPr="009A4008" w14:paraId="38497379" w14:textId="77777777" w:rsidTr="00B6247C">
        <w:trPr>
          <w:cantSplit/>
          <w:jc w:val="center"/>
        </w:trPr>
        <w:tc>
          <w:tcPr>
            <w:tcW w:w="3216" w:type="dxa"/>
            <w:vAlign w:val="center"/>
          </w:tcPr>
          <w:p w14:paraId="7A92723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One master record per patient</w:t>
            </w:r>
          </w:p>
        </w:tc>
        <w:tc>
          <w:tcPr>
            <w:tcW w:w="3216" w:type="dxa"/>
            <w:vAlign w:val="center"/>
          </w:tcPr>
          <w:p w14:paraId="5F3561E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MDM creates a golden record and maps source records through patient_source_links.</w:t>
            </w:r>
          </w:p>
        </w:tc>
        <w:tc>
          <w:tcPr>
            <w:tcW w:w="3216" w:type="dxa"/>
            <w:vAlign w:val="center"/>
          </w:tcPr>
          <w:p w14:paraId="1DFAC44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Query showing source records mapped to a single patient_key; steward review records.</w:t>
            </w:r>
          </w:p>
        </w:tc>
      </w:tr>
      <w:tr w:rsidR="009A4008" w:rsidRPr="009A4008" w14:paraId="03C5E98D" w14:textId="77777777" w:rsidTr="00B6247C">
        <w:trPr>
          <w:cantSplit/>
          <w:jc w:val="center"/>
        </w:trPr>
        <w:tc>
          <w:tcPr>
            <w:tcW w:w="3216" w:type="dxa"/>
            <w:vAlign w:val="center"/>
          </w:tcPr>
          <w:p w14:paraId="74DFB6F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Telephone as primary match key</w:t>
            </w:r>
          </w:p>
        </w:tc>
        <w:tc>
          <w:tcPr>
            <w:tcW w:w="3216" w:type="dxa"/>
            <w:vAlign w:val="center"/>
          </w:tcPr>
          <w:p w14:paraId="457AB237"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Normalize telephone values to 256 followed by nine digits; reject or review invalid values.</w:t>
            </w:r>
          </w:p>
        </w:tc>
        <w:tc>
          <w:tcPr>
            <w:tcW w:w="3216" w:type="dxa"/>
            <w:vAlign w:val="center"/>
          </w:tcPr>
          <w:p w14:paraId="0F13C05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Before-and-after quality results and invalid-phone query.</w:t>
            </w:r>
          </w:p>
        </w:tc>
      </w:tr>
      <w:tr w:rsidR="009A4008" w:rsidRPr="009A4008" w14:paraId="3BBB624A" w14:textId="77777777" w:rsidTr="00B6247C">
        <w:trPr>
          <w:cantSplit/>
          <w:jc w:val="center"/>
        </w:trPr>
        <w:tc>
          <w:tcPr>
            <w:tcW w:w="3216" w:type="dxa"/>
            <w:vAlign w:val="center"/>
          </w:tcPr>
          <w:p w14:paraId="5A9D7EF1"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National ID protection</w:t>
            </w:r>
          </w:p>
        </w:tc>
        <w:tc>
          <w:tcPr>
            <w:tcW w:w="3216" w:type="dxa"/>
            <w:vAlign w:val="center"/>
          </w:tcPr>
          <w:p w14:paraId="671BD0A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Store a SHA-256 hash only in the master data layer; do not retain plaintext in the trusted master.</w:t>
            </w:r>
          </w:p>
        </w:tc>
        <w:tc>
          <w:tcPr>
            <w:tcW w:w="3216" w:type="dxa"/>
            <w:vAlign w:val="center"/>
          </w:tcPr>
          <w:p w14:paraId="312035C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Schema inspection and test data showing hash storage, not plaintext.</w:t>
            </w:r>
          </w:p>
        </w:tc>
      </w:tr>
      <w:tr w:rsidR="009A4008" w:rsidRPr="009A4008" w14:paraId="6C32AEB4" w14:textId="77777777" w:rsidTr="00B6247C">
        <w:trPr>
          <w:cantSplit/>
          <w:jc w:val="center"/>
        </w:trPr>
        <w:tc>
          <w:tcPr>
            <w:tcW w:w="3216" w:type="dxa"/>
            <w:vAlign w:val="center"/>
          </w:tcPr>
          <w:p w14:paraId="1EB692A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Visit ownership</w:t>
            </w:r>
          </w:p>
        </w:tc>
        <w:tc>
          <w:tcPr>
            <w:tcW w:w="3216" w:type="dxa"/>
            <w:vAlign w:val="center"/>
          </w:tcPr>
          <w:p w14:paraId="5D255F2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Each visit links to a patient and clinic, and to a staff member where the source record provides one.</w:t>
            </w:r>
          </w:p>
        </w:tc>
        <w:tc>
          <w:tcPr>
            <w:tcW w:w="3216" w:type="dxa"/>
            <w:vAlign w:val="center"/>
          </w:tcPr>
          <w:p w14:paraId="7DC0E589"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Foreign-key checks and orphan-record checks.</w:t>
            </w:r>
          </w:p>
        </w:tc>
      </w:tr>
      <w:tr w:rsidR="009A4008" w:rsidRPr="009A4008" w14:paraId="3A982999" w14:textId="77777777" w:rsidTr="00B6247C">
        <w:trPr>
          <w:cantSplit/>
          <w:jc w:val="center"/>
        </w:trPr>
        <w:tc>
          <w:tcPr>
            <w:tcW w:w="3216" w:type="dxa"/>
            <w:vAlign w:val="center"/>
          </w:tcPr>
          <w:p w14:paraId="6F652BF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Immutable billing</w:t>
            </w:r>
          </w:p>
        </w:tc>
        <w:tc>
          <w:tcPr>
            <w:tcW w:w="3216" w:type="dxa"/>
            <w:vAlign w:val="center"/>
          </w:tcPr>
          <w:p w14:paraId="1755B22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Prevent updates to existing billing rows; use adjustment records for corrections.</w:t>
            </w:r>
          </w:p>
        </w:tc>
        <w:tc>
          <w:tcPr>
            <w:tcW w:w="3216" w:type="dxa"/>
            <w:vAlign w:val="center"/>
          </w:tcPr>
          <w:p w14:paraId="4DA12869"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Trigger definition and test showing an attempted update is rejected.</w:t>
            </w:r>
          </w:p>
        </w:tc>
      </w:tr>
      <w:tr w:rsidR="009A4008" w:rsidRPr="009A4008" w14:paraId="0B7793A1" w14:textId="77777777" w:rsidTr="00B6247C">
        <w:trPr>
          <w:cantSplit/>
          <w:jc w:val="center"/>
        </w:trPr>
        <w:tc>
          <w:tcPr>
            <w:tcW w:w="3216" w:type="dxa"/>
            <w:vAlign w:val="center"/>
          </w:tcPr>
          <w:p w14:paraId="7A80AA2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Survivorship and conflict review</w:t>
            </w:r>
          </w:p>
        </w:tc>
        <w:tc>
          <w:tcPr>
            <w:tcW w:w="3216" w:type="dxa"/>
            <w:vAlign w:val="center"/>
          </w:tcPr>
          <w:p w14:paraId="350D40C9"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Most recently updated source wins for contact fields; identity conflicts go to steward review rather than automatic merge.</w:t>
            </w:r>
          </w:p>
        </w:tc>
        <w:tc>
          <w:tcPr>
            <w:tcW w:w="3216" w:type="dxa"/>
            <w:vAlign w:val="center"/>
          </w:tcPr>
          <w:p w14:paraId="587B40F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Field-level survivorship table, review queue and sample decisions.</w:t>
            </w:r>
          </w:p>
        </w:tc>
      </w:tr>
      <w:tr w:rsidR="009A4008" w:rsidRPr="009A4008" w14:paraId="51DD6292" w14:textId="77777777" w:rsidTr="00B6247C">
        <w:trPr>
          <w:cantSplit/>
          <w:jc w:val="center"/>
        </w:trPr>
        <w:tc>
          <w:tcPr>
            <w:tcW w:w="3216" w:type="dxa"/>
            <w:vAlign w:val="center"/>
          </w:tcPr>
          <w:p w14:paraId="056749C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Data quality monitoring</w:t>
            </w:r>
          </w:p>
        </w:tc>
        <w:tc>
          <w:tcPr>
            <w:tcW w:w="3216" w:type="dxa"/>
            <w:vAlign w:val="center"/>
          </w:tcPr>
          <w:p w14:paraId="66870DC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Target at least 97% telephone completeness and zero invalid telephone numbers, measured weekly.</w:t>
            </w:r>
          </w:p>
        </w:tc>
        <w:tc>
          <w:tcPr>
            <w:tcW w:w="3216" w:type="dxa"/>
            <w:vAlign w:val="center"/>
          </w:tcPr>
          <w:p w14:paraId="66291A2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Scorecard view and dated dq_scorecard_log records.</w:t>
            </w:r>
          </w:p>
        </w:tc>
      </w:tr>
      <w:tr w:rsidR="009A4008" w:rsidRPr="009A4008" w14:paraId="3F39FB84" w14:textId="77777777" w:rsidTr="00B6247C">
        <w:trPr>
          <w:cantSplit/>
          <w:jc w:val="center"/>
        </w:trPr>
        <w:tc>
          <w:tcPr>
            <w:tcW w:w="3216" w:type="dxa"/>
            <w:vAlign w:val="center"/>
          </w:tcPr>
          <w:p w14:paraId="351B666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Role-based access</w:t>
            </w:r>
          </w:p>
        </w:tc>
        <w:tc>
          <w:tcPr>
            <w:tcW w:w="3216" w:type="dxa"/>
            <w:vAlign w:val="center"/>
          </w:tcPr>
          <w:p w14:paraId="7734AF2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Reception sees a masked directory; clinicians have authorized access to full records; analysts use de-identified warehouse data.</w:t>
            </w:r>
          </w:p>
        </w:tc>
        <w:tc>
          <w:tcPr>
            <w:tcW w:w="3216" w:type="dxa"/>
            <w:vAlign w:val="center"/>
          </w:tcPr>
          <w:p w14:paraId="3B3018F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Role grants, test accounts and screenshots of permission tests.</w:t>
            </w:r>
          </w:p>
        </w:tc>
      </w:tr>
      <w:tr w:rsidR="009A4008" w:rsidRPr="009A4008" w14:paraId="40D47A3D" w14:textId="77777777" w:rsidTr="00B6247C">
        <w:trPr>
          <w:cantSplit/>
          <w:jc w:val="center"/>
        </w:trPr>
        <w:tc>
          <w:tcPr>
            <w:tcW w:w="3216" w:type="dxa"/>
            <w:vAlign w:val="center"/>
          </w:tcPr>
          <w:p w14:paraId="2E72DD9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Master-data audit</w:t>
            </w:r>
          </w:p>
        </w:tc>
        <w:tc>
          <w:tcPr>
            <w:tcW w:w="3216" w:type="dxa"/>
            <w:vAlign w:val="center"/>
          </w:tcPr>
          <w:p w14:paraId="07AC574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Record who changed a master record, when it changed and what changed.</w:t>
            </w:r>
          </w:p>
        </w:tc>
        <w:tc>
          <w:tcPr>
            <w:tcW w:w="3216" w:type="dxa"/>
            <w:vAlign w:val="center"/>
          </w:tcPr>
          <w:p w14:paraId="799E1690"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master_audit rows produced by the audit trigger.</w:t>
            </w:r>
          </w:p>
        </w:tc>
      </w:tr>
      <w:tr w:rsidR="009A4008" w:rsidRPr="009A4008" w14:paraId="270EC51D" w14:textId="77777777" w:rsidTr="00B6247C">
        <w:trPr>
          <w:cantSplit/>
          <w:jc w:val="center"/>
        </w:trPr>
        <w:tc>
          <w:tcPr>
            <w:tcW w:w="3216" w:type="dxa"/>
            <w:vAlign w:val="center"/>
          </w:tcPr>
          <w:p w14:paraId="32624D9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Retention lifecycle</w:t>
            </w:r>
          </w:p>
        </w:tc>
        <w:tc>
          <w:tcPr>
            <w:tcW w:w="3216" w:type="dxa"/>
            <w:vAlign w:val="center"/>
          </w:tcPr>
          <w:p w14:paraId="0047E5D1"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Clinical records follow the 10-year retention policy, then archiving and authorized purging.</w:t>
            </w:r>
          </w:p>
        </w:tc>
        <w:tc>
          <w:tcPr>
            <w:tcW w:w="3216" w:type="dxa"/>
            <w:vAlign w:val="center"/>
          </w:tcPr>
          <w:p w14:paraId="6148205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Lifecycle policy table, event definition and safe test evidence.</w:t>
            </w:r>
          </w:p>
        </w:tc>
      </w:tr>
      <w:tr w:rsidR="009A4008" w:rsidRPr="009A4008" w14:paraId="69FD0689" w14:textId="77777777" w:rsidTr="00B6247C">
        <w:trPr>
          <w:cantSplit/>
          <w:jc w:val="center"/>
        </w:trPr>
        <w:tc>
          <w:tcPr>
            <w:tcW w:w="3216" w:type="dxa"/>
            <w:vAlign w:val="center"/>
          </w:tcPr>
          <w:p w14:paraId="7CACC14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Metadata before trust</w:t>
            </w:r>
          </w:p>
        </w:tc>
        <w:tc>
          <w:tcPr>
            <w:tcW w:w="3216" w:type="dxa"/>
            <w:vAlign w:val="center"/>
          </w:tcPr>
          <w:p w14:paraId="0A7F8F2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Register owner, definitions and lineage before accepting a source as trusted.</w:t>
            </w:r>
          </w:p>
        </w:tc>
        <w:tc>
          <w:tcPr>
            <w:tcW w:w="3216" w:type="dxa"/>
            <w:vAlign w:val="center"/>
          </w:tcPr>
          <w:p w14:paraId="5AA43E7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Catalog records and source onboarding checklist.</w:t>
            </w:r>
          </w:p>
        </w:tc>
      </w:tr>
      <w:tr w:rsidR="009A4008" w:rsidRPr="009A4008" w14:paraId="4F7C7052" w14:textId="77777777" w:rsidTr="00B6247C">
        <w:trPr>
          <w:cantSplit/>
          <w:jc w:val="center"/>
        </w:trPr>
        <w:tc>
          <w:tcPr>
            <w:tcW w:w="3216" w:type="dxa"/>
            <w:vAlign w:val="center"/>
          </w:tcPr>
          <w:p w14:paraId="2AF0B58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lastRenderedPageBreak/>
              <w:t>Monthly reporting</w:t>
            </w:r>
          </w:p>
        </w:tc>
        <w:tc>
          <w:tcPr>
            <w:tcW w:w="3216" w:type="dxa"/>
            <w:vAlign w:val="center"/>
          </w:tcPr>
          <w:p w14:paraId="6F70A3E7"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Prepare attendance, top diagnoses and revenue by service by the fifth of each month.</w:t>
            </w:r>
          </w:p>
        </w:tc>
        <w:tc>
          <w:tcPr>
            <w:tcW w:w="3216" w:type="dxa"/>
            <w:vAlign w:val="center"/>
          </w:tcPr>
          <w:p w14:paraId="4F4CC70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Dated report output and dashboard screenshots.</w:t>
            </w:r>
          </w:p>
        </w:tc>
      </w:tr>
    </w:tbl>
    <w:p w14:paraId="73EDE1A3" w14:textId="77777777" w:rsidR="009A4008" w:rsidRPr="009A4008" w:rsidRDefault="009A4008" w:rsidP="009A4008">
      <w:pPr>
        <w:rPr>
          <w:rFonts w:ascii="Times New Roman" w:hAnsi="Times New Roman" w:cs="Times New Roman"/>
          <w:sz w:val="22"/>
          <w:szCs w:val="22"/>
        </w:rPr>
      </w:pPr>
    </w:p>
    <w:p w14:paraId="07F620FB" w14:textId="77777777" w:rsidR="009A4008" w:rsidRPr="009A4008" w:rsidRDefault="009A4008" w:rsidP="009A4008">
      <w:pPr>
        <w:pStyle w:val="Heading1"/>
        <w:rPr>
          <w:rFonts w:ascii="Times New Roman" w:hAnsi="Times New Roman" w:cs="Times New Roman"/>
          <w:sz w:val="22"/>
          <w:szCs w:val="22"/>
        </w:rPr>
      </w:pPr>
      <w:r w:rsidRPr="009A4008">
        <w:rPr>
          <w:rFonts w:ascii="Times New Roman" w:hAnsi="Times New Roman" w:cs="Times New Roman"/>
          <w:sz w:val="22"/>
          <w:szCs w:val="22"/>
        </w:rPr>
        <w:t>3. Governance and Accountability</w:t>
      </w:r>
    </w:p>
    <w:p w14:paraId="085BECEB"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3.1 Governance model</w:t>
      </w:r>
    </w:p>
    <w:p w14:paraId="499C9B88"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MediLink should treat data as an organizational asset with named owners, operational stewards and technical custodians. Governance decisions should be documented and enforced where practical through database constraints, roles, views, triggers and scheduled monitoring. A written policy alone is insufficient if users can bypass it through unrestricted database access.</w:t>
      </w:r>
    </w:p>
    <w:p w14:paraId="18079809"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governance register described in the brief is represented by data_ownership, raci, policies and compliance_register. These tables provide a record of responsibility, activity-level participation, policy summaries and compliance gaps. The register should be reviewed when a new source is introduced, when the data model changes or when an audit identifies a control failure.</w:t>
      </w:r>
    </w:p>
    <w:p w14:paraId="76604CC2"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3.2 Roles and responsibilities</w:t>
      </w:r>
    </w:p>
    <w:tbl>
      <w:tblPr>
        <w:tblStyle w:val="TableGrid"/>
        <w:tblW w:w="0" w:type="auto"/>
        <w:jc w:val="center"/>
        <w:tblLook w:val="04A0" w:firstRow="1" w:lastRow="0" w:firstColumn="1" w:lastColumn="0" w:noHBand="0" w:noVBand="1"/>
      </w:tblPr>
      <w:tblGrid>
        <w:gridCol w:w="3212"/>
        <w:gridCol w:w="3213"/>
        <w:gridCol w:w="3213"/>
      </w:tblGrid>
      <w:tr w:rsidR="009A4008" w:rsidRPr="009A4008" w14:paraId="1375B602" w14:textId="77777777" w:rsidTr="00B6247C">
        <w:trPr>
          <w:cantSplit/>
          <w:jc w:val="center"/>
        </w:trPr>
        <w:tc>
          <w:tcPr>
            <w:tcW w:w="3216" w:type="dxa"/>
            <w:shd w:val="clear" w:color="auto" w:fill="EDEDED"/>
            <w:vAlign w:val="center"/>
          </w:tcPr>
          <w:p w14:paraId="676DB73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Role</w:t>
            </w:r>
          </w:p>
        </w:tc>
        <w:tc>
          <w:tcPr>
            <w:tcW w:w="3216" w:type="dxa"/>
            <w:shd w:val="clear" w:color="auto" w:fill="EDEDED"/>
            <w:vAlign w:val="center"/>
          </w:tcPr>
          <w:p w14:paraId="771ACC3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Primary responsibility</w:t>
            </w:r>
          </w:p>
        </w:tc>
        <w:tc>
          <w:tcPr>
            <w:tcW w:w="3216" w:type="dxa"/>
            <w:shd w:val="clear" w:color="auto" w:fill="EDEDED"/>
            <w:vAlign w:val="center"/>
          </w:tcPr>
          <w:p w14:paraId="5A1930E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Examples of decisions or work</w:t>
            </w:r>
          </w:p>
        </w:tc>
      </w:tr>
      <w:tr w:rsidR="009A4008" w:rsidRPr="009A4008" w14:paraId="4BE6F511" w14:textId="77777777" w:rsidTr="00B6247C">
        <w:trPr>
          <w:cantSplit/>
          <w:jc w:val="center"/>
        </w:trPr>
        <w:tc>
          <w:tcPr>
            <w:tcW w:w="3216" w:type="dxa"/>
            <w:vAlign w:val="center"/>
          </w:tcPr>
          <w:p w14:paraId="25D4250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Data owner</w:t>
            </w:r>
          </w:p>
        </w:tc>
        <w:tc>
          <w:tcPr>
            <w:tcW w:w="3216" w:type="dxa"/>
            <w:vAlign w:val="center"/>
          </w:tcPr>
          <w:p w14:paraId="569D16C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Accountable for the appropriate use, quality and protection of a defined data asset.</w:t>
            </w:r>
          </w:p>
        </w:tc>
        <w:tc>
          <w:tcPr>
            <w:tcW w:w="3216" w:type="dxa"/>
            <w:vAlign w:val="center"/>
          </w:tcPr>
          <w:p w14:paraId="63804BC0"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Approves definitions, access requirements and material changes.</w:t>
            </w:r>
          </w:p>
        </w:tc>
      </w:tr>
      <w:tr w:rsidR="009A4008" w:rsidRPr="009A4008" w14:paraId="063E0B8C" w14:textId="77777777" w:rsidTr="00B6247C">
        <w:trPr>
          <w:cantSplit/>
          <w:jc w:val="center"/>
        </w:trPr>
        <w:tc>
          <w:tcPr>
            <w:tcW w:w="3216" w:type="dxa"/>
            <w:vAlign w:val="center"/>
          </w:tcPr>
          <w:p w14:paraId="765471B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Data steward</w:t>
            </w:r>
          </w:p>
        </w:tc>
        <w:tc>
          <w:tcPr>
            <w:tcW w:w="3216" w:type="dxa"/>
            <w:vAlign w:val="center"/>
          </w:tcPr>
          <w:p w14:paraId="209BE3A2"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Maintains business meaning and resolves quality or identity issues.</w:t>
            </w:r>
          </w:p>
        </w:tc>
        <w:tc>
          <w:tcPr>
            <w:tcW w:w="3216" w:type="dxa"/>
            <w:vAlign w:val="center"/>
          </w:tcPr>
          <w:p w14:paraId="1778897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Reviews duplicate candidates, documents field definitions and resolves MDM queue items.</w:t>
            </w:r>
          </w:p>
        </w:tc>
      </w:tr>
      <w:tr w:rsidR="009A4008" w:rsidRPr="009A4008" w14:paraId="76CEB7A4" w14:textId="77777777" w:rsidTr="00B6247C">
        <w:trPr>
          <w:cantSplit/>
          <w:jc w:val="center"/>
        </w:trPr>
        <w:tc>
          <w:tcPr>
            <w:tcW w:w="3216" w:type="dxa"/>
            <w:vAlign w:val="center"/>
          </w:tcPr>
          <w:p w14:paraId="154DBCA0"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IT custodian</w:t>
            </w:r>
          </w:p>
        </w:tc>
        <w:tc>
          <w:tcPr>
            <w:tcW w:w="3216" w:type="dxa"/>
            <w:vAlign w:val="center"/>
          </w:tcPr>
          <w:p w14:paraId="6249F38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Operates the database, technical controls and recovery processes.</w:t>
            </w:r>
          </w:p>
        </w:tc>
        <w:tc>
          <w:tcPr>
            <w:tcW w:w="3216" w:type="dxa"/>
            <w:vAlign w:val="center"/>
          </w:tcPr>
          <w:p w14:paraId="4A10851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Maintains accounts, schema, backups, permissions and scheduled jobs.</w:t>
            </w:r>
          </w:p>
        </w:tc>
      </w:tr>
      <w:tr w:rsidR="009A4008" w:rsidRPr="009A4008" w14:paraId="4194059C" w14:textId="77777777" w:rsidTr="00B6247C">
        <w:trPr>
          <w:cantSplit/>
          <w:jc w:val="center"/>
        </w:trPr>
        <w:tc>
          <w:tcPr>
            <w:tcW w:w="3216" w:type="dxa"/>
            <w:vAlign w:val="center"/>
          </w:tcPr>
          <w:p w14:paraId="73680B2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Clinical representative</w:t>
            </w:r>
          </w:p>
        </w:tc>
        <w:tc>
          <w:tcPr>
            <w:tcW w:w="3216" w:type="dxa"/>
            <w:vAlign w:val="center"/>
          </w:tcPr>
          <w:p w14:paraId="7981E69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Confirms clinical meaning and operational requirements.</w:t>
            </w:r>
          </w:p>
        </w:tc>
        <w:tc>
          <w:tcPr>
            <w:tcW w:w="3216" w:type="dxa"/>
            <w:vAlign w:val="center"/>
          </w:tcPr>
          <w:p w14:paraId="0778D51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Reviews diagnosis definitions and the appropriate use of clinical information.</w:t>
            </w:r>
          </w:p>
        </w:tc>
      </w:tr>
      <w:tr w:rsidR="009A4008" w:rsidRPr="009A4008" w14:paraId="113489F0" w14:textId="77777777" w:rsidTr="00B6247C">
        <w:trPr>
          <w:cantSplit/>
          <w:jc w:val="center"/>
        </w:trPr>
        <w:tc>
          <w:tcPr>
            <w:tcW w:w="3216" w:type="dxa"/>
            <w:vAlign w:val="center"/>
          </w:tcPr>
          <w:p w14:paraId="66A8103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Analyst</w:t>
            </w:r>
          </w:p>
        </w:tc>
        <w:tc>
          <w:tcPr>
            <w:tcW w:w="3216" w:type="dxa"/>
            <w:vAlign w:val="center"/>
          </w:tcPr>
          <w:p w14:paraId="58838A1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Uses approved, appropriately de-identified warehouse data for reporting.</w:t>
            </w:r>
          </w:p>
        </w:tc>
        <w:tc>
          <w:tcPr>
            <w:tcW w:w="3216" w:type="dxa"/>
            <w:vAlign w:val="center"/>
          </w:tcPr>
          <w:p w14:paraId="49565CD7"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Produces attendance, diagnosis, revenue and trend reports.</w:t>
            </w:r>
          </w:p>
        </w:tc>
      </w:tr>
      <w:tr w:rsidR="009A4008" w:rsidRPr="009A4008" w14:paraId="56A21A4E" w14:textId="77777777" w:rsidTr="00B6247C">
        <w:trPr>
          <w:cantSplit/>
          <w:jc w:val="center"/>
        </w:trPr>
        <w:tc>
          <w:tcPr>
            <w:tcW w:w="3216" w:type="dxa"/>
            <w:vAlign w:val="center"/>
          </w:tcPr>
          <w:p w14:paraId="279C69E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Reception user</w:t>
            </w:r>
          </w:p>
        </w:tc>
        <w:tc>
          <w:tcPr>
            <w:tcW w:w="3216" w:type="dxa"/>
            <w:vAlign w:val="center"/>
          </w:tcPr>
          <w:p w14:paraId="3697486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Uses the limited patient directory needed for registration and service delivery.</w:t>
            </w:r>
          </w:p>
        </w:tc>
        <w:tc>
          <w:tcPr>
            <w:tcW w:w="3216" w:type="dxa"/>
            <w:vAlign w:val="center"/>
          </w:tcPr>
          <w:p w14:paraId="64C0E1C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Searches the masked directory and refers identity conflicts for review.</w:t>
            </w:r>
          </w:p>
        </w:tc>
      </w:tr>
      <w:tr w:rsidR="009A4008" w:rsidRPr="009A4008" w14:paraId="5B83C945" w14:textId="77777777" w:rsidTr="00B6247C">
        <w:trPr>
          <w:cantSplit/>
          <w:jc w:val="center"/>
        </w:trPr>
        <w:tc>
          <w:tcPr>
            <w:tcW w:w="3216" w:type="dxa"/>
            <w:vAlign w:val="center"/>
          </w:tcPr>
          <w:p w14:paraId="23D8171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Auditor</w:t>
            </w:r>
          </w:p>
        </w:tc>
        <w:tc>
          <w:tcPr>
            <w:tcW w:w="3216" w:type="dxa"/>
            <w:vAlign w:val="center"/>
          </w:tcPr>
          <w:p w14:paraId="33FA0D9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Reviews evidence that policies and technical controls are operating.</w:t>
            </w:r>
          </w:p>
        </w:tc>
        <w:tc>
          <w:tcPr>
            <w:tcW w:w="3216" w:type="dxa"/>
            <w:vAlign w:val="center"/>
          </w:tcPr>
          <w:p w14:paraId="1AE843F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Checks permissions, audit trails, compliance gaps and control-test results.</w:t>
            </w:r>
          </w:p>
        </w:tc>
      </w:tr>
    </w:tbl>
    <w:p w14:paraId="69CD4FE7" w14:textId="77777777" w:rsidR="009A4008" w:rsidRPr="009A4008" w:rsidRDefault="009A4008" w:rsidP="009A4008">
      <w:pPr>
        <w:rPr>
          <w:rFonts w:ascii="Times New Roman" w:hAnsi="Times New Roman" w:cs="Times New Roman"/>
          <w:sz w:val="22"/>
          <w:szCs w:val="22"/>
        </w:rPr>
      </w:pPr>
    </w:p>
    <w:p w14:paraId="047F4A15"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3.3 RACI approach</w:t>
      </w:r>
    </w:p>
    <w:p w14:paraId="2249B018"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raci table records who is Responsible, Accountable, Consulted and Informed for key activities. The sample in the brief covers approving a new source system, resolving a duplicate patient and granting data access. The final implementation should ensure that each activity has a clear accountable role and that responsibility is not left ambiguous. Where the brief uses combined values such as A/R, the group should explain the meaning consistently.</w:t>
      </w:r>
    </w:p>
    <w:tbl>
      <w:tblPr>
        <w:tblStyle w:val="TableGrid"/>
        <w:tblW w:w="0" w:type="auto"/>
        <w:jc w:val="center"/>
        <w:tblLook w:val="04A0" w:firstRow="1" w:lastRow="0" w:firstColumn="1" w:lastColumn="0" w:noHBand="0" w:noVBand="1"/>
      </w:tblPr>
      <w:tblGrid>
        <w:gridCol w:w="1926"/>
        <w:gridCol w:w="1927"/>
        <w:gridCol w:w="1928"/>
        <w:gridCol w:w="1929"/>
        <w:gridCol w:w="1928"/>
      </w:tblGrid>
      <w:tr w:rsidR="009A4008" w:rsidRPr="009A4008" w14:paraId="6E07F19F" w14:textId="77777777" w:rsidTr="00B6247C">
        <w:trPr>
          <w:cantSplit/>
          <w:jc w:val="center"/>
        </w:trPr>
        <w:tc>
          <w:tcPr>
            <w:tcW w:w="1930" w:type="dxa"/>
            <w:shd w:val="clear" w:color="auto" w:fill="EDEDED"/>
            <w:vAlign w:val="center"/>
          </w:tcPr>
          <w:p w14:paraId="7FF53F7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Activity</w:t>
            </w:r>
          </w:p>
        </w:tc>
        <w:tc>
          <w:tcPr>
            <w:tcW w:w="1930" w:type="dxa"/>
            <w:shd w:val="clear" w:color="auto" w:fill="EDEDED"/>
            <w:vAlign w:val="center"/>
          </w:tcPr>
          <w:p w14:paraId="7E91962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Responsible</w:t>
            </w:r>
          </w:p>
        </w:tc>
        <w:tc>
          <w:tcPr>
            <w:tcW w:w="1930" w:type="dxa"/>
            <w:shd w:val="clear" w:color="auto" w:fill="EDEDED"/>
            <w:vAlign w:val="center"/>
          </w:tcPr>
          <w:p w14:paraId="3239ED79"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Accountable</w:t>
            </w:r>
          </w:p>
        </w:tc>
        <w:tc>
          <w:tcPr>
            <w:tcW w:w="1930" w:type="dxa"/>
            <w:shd w:val="clear" w:color="auto" w:fill="EDEDED"/>
            <w:vAlign w:val="center"/>
          </w:tcPr>
          <w:p w14:paraId="73580150"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Consulted</w:t>
            </w:r>
          </w:p>
        </w:tc>
        <w:tc>
          <w:tcPr>
            <w:tcW w:w="1930" w:type="dxa"/>
            <w:shd w:val="clear" w:color="auto" w:fill="EDEDED"/>
            <w:vAlign w:val="center"/>
          </w:tcPr>
          <w:p w14:paraId="12374969"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Informed</w:t>
            </w:r>
          </w:p>
        </w:tc>
      </w:tr>
      <w:tr w:rsidR="009A4008" w:rsidRPr="009A4008" w14:paraId="5A86981D" w14:textId="77777777" w:rsidTr="00B6247C">
        <w:trPr>
          <w:cantSplit/>
          <w:jc w:val="center"/>
        </w:trPr>
        <w:tc>
          <w:tcPr>
            <w:tcW w:w="1930" w:type="dxa"/>
            <w:vAlign w:val="center"/>
          </w:tcPr>
          <w:p w14:paraId="41CD4E9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lastRenderedPageBreak/>
              <w:t>Approve a new source system</w:t>
            </w:r>
          </w:p>
        </w:tc>
        <w:tc>
          <w:tcPr>
            <w:tcW w:w="1930" w:type="dxa"/>
            <w:vAlign w:val="center"/>
          </w:tcPr>
          <w:p w14:paraId="7C4D753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Data steward</w:t>
            </w:r>
          </w:p>
        </w:tc>
        <w:tc>
          <w:tcPr>
            <w:tcW w:w="1930" w:type="dxa"/>
            <w:vAlign w:val="center"/>
          </w:tcPr>
          <w:p w14:paraId="4297725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Governance lead/CDO role</w:t>
            </w:r>
          </w:p>
        </w:tc>
        <w:tc>
          <w:tcPr>
            <w:tcW w:w="1930" w:type="dxa"/>
            <w:vAlign w:val="center"/>
          </w:tcPr>
          <w:p w14:paraId="470A2AA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IT custodian</w:t>
            </w:r>
          </w:p>
        </w:tc>
        <w:tc>
          <w:tcPr>
            <w:tcW w:w="1930" w:type="dxa"/>
            <w:vAlign w:val="center"/>
          </w:tcPr>
          <w:p w14:paraId="6C141C17"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Clinical representative</w:t>
            </w:r>
          </w:p>
        </w:tc>
      </w:tr>
      <w:tr w:rsidR="009A4008" w:rsidRPr="009A4008" w14:paraId="278B29A7" w14:textId="77777777" w:rsidTr="00B6247C">
        <w:trPr>
          <w:cantSplit/>
          <w:jc w:val="center"/>
        </w:trPr>
        <w:tc>
          <w:tcPr>
            <w:tcW w:w="1930" w:type="dxa"/>
            <w:vAlign w:val="center"/>
          </w:tcPr>
          <w:p w14:paraId="788670D1"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Resolve a duplicate patient</w:t>
            </w:r>
          </w:p>
        </w:tc>
        <w:tc>
          <w:tcPr>
            <w:tcW w:w="1930" w:type="dxa"/>
            <w:vAlign w:val="center"/>
          </w:tcPr>
          <w:p w14:paraId="58A2EB6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Data steward</w:t>
            </w:r>
          </w:p>
        </w:tc>
        <w:tc>
          <w:tcPr>
            <w:tcW w:w="1930" w:type="dxa"/>
            <w:vAlign w:val="center"/>
          </w:tcPr>
          <w:p w14:paraId="7D2E84D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Data steward or nominated owner</w:t>
            </w:r>
          </w:p>
        </w:tc>
        <w:tc>
          <w:tcPr>
            <w:tcW w:w="1930" w:type="dxa"/>
            <w:vAlign w:val="center"/>
          </w:tcPr>
          <w:p w14:paraId="7CAB40E9"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IT custodian and clinician where needed</w:t>
            </w:r>
          </w:p>
        </w:tc>
        <w:tc>
          <w:tcPr>
            <w:tcW w:w="1930" w:type="dxa"/>
            <w:vAlign w:val="center"/>
          </w:tcPr>
          <w:p w14:paraId="50E620F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Relevant source owner</w:t>
            </w:r>
          </w:p>
        </w:tc>
      </w:tr>
      <w:tr w:rsidR="009A4008" w:rsidRPr="009A4008" w14:paraId="788D1E61" w14:textId="77777777" w:rsidTr="00B6247C">
        <w:trPr>
          <w:cantSplit/>
          <w:jc w:val="center"/>
        </w:trPr>
        <w:tc>
          <w:tcPr>
            <w:tcW w:w="1930" w:type="dxa"/>
            <w:vAlign w:val="center"/>
          </w:tcPr>
          <w:p w14:paraId="20C9AC8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Grant database access</w:t>
            </w:r>
          </w:p>
        </w:tc>
        <w:tc>
          <w:tcPr>
            <w:tcW w:w="1930" w:type="dxa"/>
            <w:vAlign w:val="center"/>
          </w:tcPr>
          <w:p w14:paraId="73EDA8F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IT custodian</w:t>
            </w:r>
          </w:p>
        </w:tc>
        <w:tc>
          <w:tcPr>
            <w:tcW w:w="1930" w:type="dxa"/>
            <w:vAlign w:val="center"/>
          </w:tcPr>
          <w:p w14:paraId="7F77DC5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Authorized data owner</w:t>
            </w:r>
          </w:p>
        </w:tc>
        <w:tc>
          <w:tcPr>
            <w:tcW w:w="1930" w:type="dxa"/>
            <w:vAlign w:val="center"/>
          </w:tcPr>
          <w:p w14:paraId="344D539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Data steward</w:t>
            </w:r>
          </w:p>
        </w:tc>
        <w:tc>
          <w:tcPr>
            <w:tcW w:w="1930" w:type="dxa"/>
            <w:vAlign w:val="center"/>
          </w:tcPr>
          <w:p w14:paraId="158DB60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Requesting manager</w:t>
            </w:r>
          </w:p>
        </w:tc>
      </w:tr>
      <w:tr w:rsidR="009A4008" w:rsidRPr="009A4008" w14:paraId="3FD362C8" w14:textId="77777777" w:rsidTr="00B6247C">
        <w:trPr>
          <w:cantSplit/>
          <w:jc w:val="center"/>
        </w:trPr>
        <w:tc>
          <w:tcPr>
            <w:tcW w:w="1930" w:type="dxa"/>
            <w:vAlign w:val="center"/>
          </w:tcPr>
          <w:p w14:paraId="58D3686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Approve a definition change</w:t>
            </w:r>
          </w:p>
        </w:tc>
        <w:tc>
          <w:tcPr>
            <w:tcW w:w="1930" w:type="dxa"/>
            <w:vAlign w:val="center"/>
          </w:tcPr>
          <w:p w14:paraId="4158DFF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Data steward</w:t>
            </w:r>
          </w:p>
        </w:tc>
        <w:tc>
          <w:tcPr>
            <w:tcW w:w="1930" w:type="dxa"/>
            <w:vAlign w:val="center"/>
          </w:tcPr>
          <w:p w14:paraId="099477C0"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Data owner</w:t>
            </w:r>
          </w:p>
        </w:tc>
        <w:tc>
          <w:tcPr>
            <w:tcW w:w="1930" w:type="dxa"/>
            <w:vAlign w:val="center"/>
          </w:tcPr>
          <w:p w14:paraId="1FC2A7A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Clinical/finance subject expert</w:t>
            </w:r>
          </w:p>
        </w:tc>
        <w:tc>
          <w:tcPr>
            <w:tcW w:w="1930" w:type="dxa"/>
            <w:vAlign w:val="center"/>
          </w:tcPr>
          <w:p w14:paraId="09A5FC79"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Analysts and affected users</w:t>
            </w:r>
          </w:p>
        </w:tc>
      </w:tr>
      <w:tr w:rsidR="009A4008" w:rsidRPr="009A4008" w14:paraId="60C51EBC" w14:textId="77777777" w:rsidTr="00B6247C">
        <w:trPr>
          <w:cantSplit/>
          <w:jc w:val="center"/>
        </w:trPr>
        <w:tc>
          <w:tcPr>
            <w:tcW w:w="1930" w:type="dxa"/>
            <w:vAlign w:val="center"/>
          </w:tcPr>
          <w:p w14:paraId="2B816EA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Review a privacy incident</w:t>
            </w:r>
          </w:p>
        </w:tc>
        <w:tc>
          <w:tcPr>
            <w:tcW w:w="1930" w:type="dxa"/>
            <w:vAlign w:val="center"/>
          </w:tcPr>
          <w:p w14:paraId="1F7F720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Incident response lead</w:t>
            </w:r>
          </w:p>
        </w:tc>
        <w:tc>
          <w:tcPr>
            <w:tcW w:w="1930" w:type="dxa"/>
            <w:vAlign w:val="center"/>
          </w:tcPr>
          <w:p w14:paraId="77477E6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Designated senior owner</w:t>
            </w:r>
          </w:p>
        </w:tc>
        <w:tc>
          <w:tcPr>
            <w:tcW w:w="1930" w:type="dxa"/>
            <w:vAlign w:val="center"/>
          </w:tcPr>
          <w:p w14:paraId="0CC9A7F7"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IT custodian, data protection contact</w:t>
            </w:r>
          </w:p>
        </w:tc>
        <w:tc>
          <w:tcPr>
            <w:tcW w:w="1930" w:type="dxa"/>
            <w:vAlign w:val="center"/>
          </w:tcPr>
          <w:p w14:paraId="2F3D6129"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Affected stakeholders as required</w:t>
            </w:r>
          </w:p>
        </w:tc>
      </w:tr>
    </w:tbl>
    <w:p w14:paraId="0538FF06" w14:textId="77777777" w:rsidR="009A4008" w:rsidRPr="009A4008" w:rsidRDefault="009A4008" w:rsidP="009A4008">
      <w:pPr>
        <w:rPr>
          <w:rFonts w:ascii="Times New Roman" w:hAnsi="Times New Roman" w:cs="Times New Roman"/>
          <w:sz w:val="22"/>
          <w:szCs w:val="22"/>
        </w:rPr>
      </w:pPr>
    </w:p>
    <w:p w14:paraId="769C2BCB"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This table is a readable governance proposal. It should be aligned with the values entered into the raci table in MySQL so the report and database do not contradict one another.</w:t>
      </w:r>
    </w:p>
    <w:p w14:paraId="604907CD"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3.4 Policies</w:t>
      </w:r>
    </w:p>
    <w:p w14:paraId="6CBD2374" w14:textId="77777777" w:rsidR="009A4008" w:rsidRPr="009A4008" w:rsidRDefault="009A4008" w:rsidP="009A4008">
      <w:pPr>
        <w:pStyle w:val="Heading3"/>
        <w:rPr>
          <w:rFonts w:ascii="Times New Roman" w:hAnsi="Times New Roman" w:cs="Times New Roman"/>
        </w:rPr>
      </w:pPr>
      <w:r w:rsidRPr="009A4008">
        <w:rPr>
          <w:rFonts w:ascii="Times New Roman" w:hAnsi="Times New Roman" w:cs="Times New Roman"/>
        </w:rPr>
        <w:t>Patient Identity Policy</w:t>
      </w:r>
    </w:p>
    <w:p w14:paraId="2F060D22"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Every patient should have one master record. Telephone numbers are normalized and used as the primary match key, but a telephone match alone should not silently overwrite conflicting identity information. Contact details such as telephone and email follow the most recently updated source rule. Conflicts involving name, date of birth or sex are routed to the data steward. Each source record remains traceable through patient_source_links.</w:t>
      </w:r>
    </w:p>
    <w:p w14:paraId="16328BB9" w14:textId="77777777" w:rsidR="009A4008" w:rsidRPr="009A4008" w:rsidRDefault="009A4008" w:rsidP="009A4008">
      <w:pPr>
        <w:pStyle w:val="Heading3"/>
        <w:rPr>
          <w:rFonts w:ascii="Times New Roman" w:hAnsi="Times New Roman" w:cs="Times New Roman"/>
        </w:rPr>
      </w:pPr>
      <w:r w:rsidRPr="009A4008">
        <w:rPr>
          <w:rFonts w:ascii="Times New Roman" w:hAnsi="Times New Roman" w:cs="Times New Roman"/>
        </w:rPr>
        <w:t>Access Control Policy</w:t>
      </w:r>
    </w:p>
    <w:p w14:paraId="2C26FECB"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Access is granted according to job responsibility and the principle of least privilege. Reception users access the masked directory, clinicians access full patient records only when authorized, analysts access de-identified warehouse data, and auditors receive read access to the evidence necessary for review. Shared accounts should be avoided, credentials should not be embedded in source code, and access should be reviewed when a user's responsibilities change.</w:t>
      </w:r>
    </w:p>
    <w:p w14:paraId="6F096944" w14:textId="77777777" w:rsidR="009A4008" w:rsidRPr="009A4008" w:rsidRDefault="009A4008" w:rsidP="009A4008">
      <w:pPr>
        <w:pStyle w:val="Heading3"/>
        <w:rPr>
          <w:rFonts w:ascii="Times New Roman" w:hAnsi="Times New Roman" w:cs="Times New Roman"/>
        </w:rPr>
      </w:pPr>
      <w:r w:rsidRPr="009A4008">
        <w:rPr>
          <w:rFonts w:ascii="Times New Roman" w:hAnsi="Times New Roman" w:cs="Times New Roman"/>
        </w:rPr>
        <w:t>Retention Policy</w:t>
      </w:r>
    </w:p>
    <w:p w14:paraId="57184665"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 xml:space="preserve">The data_lifecycle_policy register defines retention periods, archive timing, lawful basis and ownership for each data class. The sample values in the brief specify clinical data retained for 10 years with archiving after 7 years, billing data retained for 7 years with archiving after 5 years, and marketing-consent data retained for 2 years with archiving after 1 year. </w:t>
      </w:r>
    </w:p>
    <w:p w14:paraId="595171B9"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3.5 Compliance register and governance review</w:t>
      </w:r>
    </w:p>
    <w:p w14:paraId="2484A8AA"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compliance_register table begins with example gaps, including National ID plaintext in Legacy A and the absence of a breach-notification procedure. The register should be updated with the actual status after controls are implemented. A gap should be marked CLOSED only when evidence demonstrates that the required control operates. A planned fix or a SQL statement that has not been tested is not sufficient evidence of closure.</w:t>
      </w:r>
    </w:p>
    <w:p w14:paraId="10474F29"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project brief references the Uganda Data Protection and Privacy Act and also uses GDPR examples for mapping selected requirements. The final compliance assessment should distinguish the legal requirements applicable to MediLink from comparative GDPR references. This strategy does not replace legal advice or a formal review by the organization's data protection lead.</w:t>
      </w:r>
    </w:p>
    <w:p w14:paraId="1AB4A3B9" w14:textId="77777777" w:rsidR="009A4008" w:rsidRPr="009A4008" w:rsidRDefault="009A4008" w:rsidP="009A4008">
      <w:pPr>
        <w:pStyle w:val="Heading1"/>
        <w:rPr>
          <w:rFonts w:ascii="Times New Roman" w:hAnsi="Times New Roman" w:cs="Times New Roman"/>
          <w:sz w:val="22"/>
          <w:szCs w:val="22"/>
        </w:rPr>
      </w:pPr>
      <w:r w:rsidRPr="009A4008">
        <w:rPr>
          <w:rFonts w:ascii="Times New Roman" w:hAnsi="Times New Roman" w:cs="Times New Roman"/>
          <w:sz w:val="22"/>
          <w:szCs w:val="22"/>
        </w:rPr>
        <w:lastRenderedPageBreak/>
        <w:t>4. Target Architecture and Data Model</w:t>
      </w:r>
    </w:p>
    <w:p w14:paraId="1EF9C328"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4.1 Architecture decision</w:t>
      </w:r>
    </w:p>
    <w:p w14:paraId="6EC08BED"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proposed architecture is hub-and-spoke. The source systems are the spokes, and the central MySQL platform is the hub. Source data is first loaded into staging, where it can be profiled and cleaned without overwriting the original source values. Standardized data is reconciled into the master patient record, operational visits and billing remain linked through relational keys, and curated data is loaded into a dimensional warehouse for analysis.</w:t>
      </w:r>
    </w:p>
    <w:p w14:paraId="6BC4FE5A"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A hub-and-spoke model is appropriate for the scenario because the clinics have separate source systems and different data quality practices, but the network needs a single consistent view of patients and reporting. A fully decentralized design would leave the network dependent on separate definitions and manual reconciliation. A centralized approach without staging and source lineage could make it harder to trace errors back to their origin. The proposed design keeps source identity and transformation history visible while providing a shared master and reporting layer.</w:t>
      </w:r>
    </w:p>
    <w:p w14:paraId="7F5EBB40"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target flow is: source systems and paper records → staging tables → standardization and data quality checks → MDM and golden records → operational data and billing → dimensional warehouse → SQL reports and Power BI or Tableau.</w:t>
      </w:r>
    </w:p>
    <w:p w14:paraId="7042907D"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4.2 Core relational schema</w:t>
      </w:r>
    </w:p>
    <w:tbl>
      <w:tblPr>
        <w:tblStyle w:val="TableGrid"/>
        <w:tblW w:w="0" w:type="auto"/>
        <w:jc w:val="center"/>
        <w:tblLook w:val="04A0" w:firstRow="1" w:lastRow="0" w:firstColumn="1" w:lastColumn="0" w:noHBand="0" w:noVBand="1"/>
      </w:tblPr>
      <w:tblGrid>
        <w:gridCol w:w="4820"/>
        <w:gridCol w:w="4818"/>
      </w:tblGrid>
      <w:tr w:rsidR="009A4008" w:rsidRPr="009A4008" w14:paraId="6A5BC0CC" w14:textId="77777777" w:rsidTr="00B6247C">
        <w:trPr>
          <w:cantSplit/>
          <w:jc w:val="center"/>
        </w:trPr>
        <w:tc>
          <w:tcPr>
            <w:tcW w:w="4824" w:type="dxa"/>
            <w:shd w:val="clear" w:color="auto" w:fill="EDEDED"/>
            <w:vAlign w:val="center"/>
          </w:tcPr>
          <w:p w14:paraId="44AE108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Table</w:t>
            </w:r>
          </w:p>
        </w:tc>
        <w:tc>
          <w:tcPr>
            <w:tcW w:w="4824" w:type="dxa"/>
            <w:shd w:val="clear" w:color="auto" w:fill="EDEDED"/>
            <w:vAlign w:val="center"/>
          </w:tcPr>
          <w:p w14:paraId="64BE0F3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Purpose</w:t>
            </w:r>
          </w:p>
        </w:tc>
      </w:tr>
      <w:tr w:rsidR="009A4008" w:rsidRPr="009A4008" w14:paraId="35B8188C" w14:textId="77777777" w:rsidTr="00B6247C">
        <w:trPr>
          <w:cantSplit/>
          <w:jc w:val="center"/>
        </w:trPr>
        <w:tc>
          <w:tcPr>
            <w:tcW w:w="4824" w:type="dxa"/>
            <w:vAlign w:val="center"/>
          </w:tcPr>
          <w:p w14:paraId="5D0034F0"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Clinics</w:t>
            </w:r>
          </w:p>
        </w:tc>
        <w:tc>
          <w:tcPr>
            <w:tcW w:w="4824" w:type="dxa"/>
            <w:vAlign w:val="center"/>
          </w:tcPr>
          <w:p w14:paraId="6BFBCB6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Stores clinic code, name and district for the four MediLink locations.</w:t>
            </w:r>
          </w:p>
        </w:tc>
      </w:tr>
      <w:tr w:rsidR="009A4008" w:rsidRPr="009A4008" w14:paraId="072ADFA3" w14:textId="77777777" w:rsidTr="00B6247C">
        <w:trPr>
          <w:cantSplit/>
          <w:jc w:val="center"/>
        </w:trPr>
        <w:tc>
          <w:tcPr>
            <w:tcW w:w="4824" w:type="dxa"/>
            <w:vAlign w:val="center"/>
          </w:tcPr>
          <w:p w14:paraId="729287C0"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Staff</w:t>
            </w:r>
          </w:p>
        </w:tc>
        <w:tc>
          <w:tcPr>
            <w:tcW w:w="4824" w:type="dxa"/>
            <w:vAlign w:val="center"/>
          </w:tcPr>
          <w:p w14:paraId="7A6EC93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Stores staff names, roles and clinic association.</w:t>
            </w:r>
          </w:p>
        </w:tc>
      </w:tr>
      <w:tr w:rsidR="009A4008" w:rsidRPr="009A4008" w14:paraId="66EED4C8" w14:textId="77777777" w:rsidTr="00B6247C">
        <w:trPr>
          <w:cantSplit/>
          <w:jc w:val="center"/>
        </w:trPr>
        <w:tc>
          <w:tcPr>
            <w:tcW w:w="4824" w:type="dxa"/>
            <w:vAlign w:val="center"/>
          </w:tcPr>
          <w:p w14:paraId="12D225C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m_patient</w:t>
            </w:r>
          </w:p>
        </w:tc>
        <w:tc>
          <w:tcPr>
            <w:tcW w:w="4824" w:type="dxa"/>
            <w:vAlign w:val="center"/>
          </w:tcPr>
          <w:p w14:paraId="23008B5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Central master patient record, including normalized phone, identity attributes, status and National ID hash field.</w:t>
            </w:r>
          </w:p>
        </w:tc>
      </w:tr>
      <w:tr w:rsidR="009A4008" w:rsidRPr="009A4008" w14:paraId="3A9A4D53" w14:textId="77777777" w:rsidTr="00B6247C">
        <w:trPr>
          <w:cantSplit/>
          <w:jc w:val="center"/>
        </w:trPr>
        <w:tc>
          <w:tcPr>
            <w:tcW w:w="4824" w:type="dxa"/>
            <w:vAlign w:val="center"/>
          </w:tcPr>
          <w:p w14:paraId="7365FBB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patient_source_links</w:t>
            </w:r>
          </w:p>
        </w:tc>
        <w:tc>
          <w:tcPr>
            <w:tcW w:w="4824" w:type="dxa"/>
            <w:vAlign w:val="center"/>
          </w:tcPr>
          <w:p w14:paraId="2A773789"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Crosswalk between each source record and its master patient_key, with matching method and confidence.</w:t>
            </w:r>
          </w:p>
        </w:tc>
      </w:tr>
      <w:tr w:rsidR="009A4008" w:rsidRPr="009A4008" w14:paraId="174F0149" w14:textId="77777777" w:rsidTr="00B6247C">
        <w:trPr>
          <w:cantSplit/>
          <w:jc w:val="center"/>
        </w:trPr>
        <w:tc>
          <w:tcPr>
            <w:tcW w:w="4824" w:type="dxa"/>
            <w:vAlign w:val="center"/>
          </w:tcPr>
          <w:p w14:paraId="4C9538B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Visits</w:t>
            </w:r>
          </w:p>
        </w:tc>
        <w:tc>
          <w:tcPr>
            <w:tcW w:w="4824" w:type="dxa"/>
            <w:vAlign w:val="center"/>
          </w:tcPr>
          <w:p w14:paraId="13AE0DA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Operational visit records linked to a patient, clinic and staff member where available.</w:t>
            </w:r>
          </w:p>
        </w:tc>
      </w:tr>
      <w:tr w:rsidR="009A4008" w:rsidRPr="009A4008" w14:paraId="28A7B3F9" w14:textId="77777777" w:rsidTr="00B6247C">
        <w:trPr>
          <w:cantSplit/>
          <w:jc w:val="center"/>
        </w:trPr>
        <w:tc>
          <w:tcPr>
            <w:tcW w:w="4824" w:type="dxa"/>
            <w:vAlign w:val="center"/>
          </w:tcPr>
          <w:p w14:paraId="4CF10EC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Billing</w:t>
            </w:r>
          </w:p>
        </w:tc>
        <w:tc>
          <w:tcPr>
            <w:tcW w:w="4824" w:type="dxa"/>
            <w:vAlign w:val="center"/>
          </w:tcPr>
          <w:p w14:paraId="56D0F08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Service-level charges and payment mode linked to a visit.</w:t>
            </w:r>
          </w:p>
        </w:tc>
      </w:tr>
      <w:tr w:rsidR="009A4008" w:rsidRPr="009A4008" w14:paraId="0B073BDE" w14:textId="77777777" w:rsidTr="00B6247C">
        <w:trPr>
          <w:cantSplit/>
          <w:jc w:val="center"/>
        </w:trPr>
        <w:tc>
          <w:tcPr>
            <w:tcW w:w="4824" w:type="dxa"/>
            <w:vAlign w:val="center"/>
          </w:tcPr>
          <w:p w14:paraId="44B01DE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stg_legacy_a</w:t>
            </w:r>
          </w:p>
        </w:tc>
        <w:tc>
          <w:tcPr>
            <w:tcW w:w="4824" w:type="dxa"/>
            <w:vAlign w:val="center"/>
          </w:tcPr>
          <w:p w14:paraId="337783C7"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Staging for the older clinic database, retaining raw name, phone, gender, DOB and National ID fields during controlled processing.</w:t>
            </w:r>
          </w:p>
        </w:tc>
      </w:tr>
      <w:tr w:rsidR="009A4008" w:rsidRPr="009A4008" w14:paraId="66DFB798" w14:textId="77777777" w:rsidTr="00B6247C">
        <w:trPr>
          <w:cantSplit/>
          <w:jc w:val="center"/>
        </w:trPr>
        <w:tc>
          <w:tcPr>
            <w:tcW w:w="4824" w:type="dxa"/>
            <w:vAlign w:val="center"/>
          </w:tcPr>
          <w:p w14:paraId="2F906D92"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stg_legacy_b</w:t>
            </w:r>
          </w:p>
        </w:tc>
        <w:tc>
          <w:tcPr>
            <w:tcW w:w="4824" w:type="dxa"/>
            <w:vAlign w:val="center"/>
          </w:tcPr>
          <w:p w14:paraId="52C83D2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Staging for online booking data, including phone, email, sex, date of birth and source update date.</w:t>
            </w:r>
          </w:p>
        </w:tc>
      </w:tr>
      <w:tr w:rsidR="009A4008" w:rsidRPr="009A4008" w14:paraId="7BE16795" w14:textId="77777777" w:rsidTr="00B6247C">
        <w:trPr>
          <w:cantSplit/>
          <w:jc w:val="center"/>
        </w:trPr>
        <w:tc>
          <w:tcPr>
            <w:tcW w:w="4824" w:type="dxa"/>
            <w:vAlign w:val="center"/>
          </w:tcPr>
          <w:p w14:paraId="2F9330A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mdm_review_queue</w:t>
            </w:r>
          </w:p>
        </w:tc>
        <w:tc>
          <w:tcPr>
            <w:tcW w:w="4824" w:type="dxa"/>
            <w:vAlign w:val="center"/>
          </w:tcPr>
          <w:p w14:paraId="3CBEB98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Records source rows requiring steward review, including rows that cannot be matched safely.</w:t>
            </w:r>
          </w:p>
        </w:tc>
      </w:tr>
      <w:tr w:rsidR="009A4008" w:rsidRPr="009A4008" w14:paraId="1836B209" w14:textId="77777777" w:rsidTr="00B6247C">
        <w:trPr>
          <w:cantSplit/>
          <w:jc w:val="center"/>
        </w:trPr>
        <w:tc>
          <w:tcPr>
            <w:tcW w:w="4824" w:type="dxa"/>
            <w:vAlign w:val="center"/>
          </w:tcPr>
          <w:p w14:paraId="114FA7A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master_audit</w:t>
            </w:r>
          </w:p>
        </w:tc>
        <w:tc>
          <w:tcPr>
            <w:tcW w:w="4824" w:type="dxa"/>
            <w:vAlign w:val="center"/>
          </w:tcPr>
          <w:p w14:paraId="37DF9A7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Audit trail for changes to the master patient record.</w:t>
            </w:r>
          </w:p>
        </w:tc>
      </w:tr>
    </w:tbl>
    <w:p w14:paraId="0558CA15" w14:textId="77777777" w:rsidR="009A4008" w:rsidRPr="009A4008" w:rsidRDefault="009A4008" w:rsidP="009A4008">
      <w:pPr>
        <w:rPr>
          <w:rFonts w:ascii="Times New Roman" w:hAnsi="Times New Roman" w:cs="Times New Roman"/>
          <w:sz w:val="22"/>
          <w:szCs w:val="22"/>
        </w:rPr>
      </w:pPr>
    </w:p>
    <w:p w14:paraId="3A4D2DB1"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 xml:space="preserve">The core schema should use primary and foreign keys to preserve referential integrity. The brief describes m_patient as a third normal form design because patient_key determines the patient's attributes, while visits and billing are held separately. </w:t>
      </w:r>
    </w:p>
    <w:p w14:paraId="3DDEC3A1" w14:textId="77777777" w:rsidR="009A4008" w:rsidRPr="009A4008" w:rsidRDefault="009A4008" w:rsidP="009A4008">
      <w:pPr>
        <w:rPr>
          <w:rFonts w:ascii="Times New Roman" w:hAnsi="Times New Roman" w:cs="Times New Roman"/>
          <w:sz w:val="22"/>
          <w:szCs w:val="22"/>
        </w:rPr>
      </w:pPr>
    </w:p>
    <w:p w14:paraId="2603D9A5"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4.3 Warehouse schema</w:t>
      </w:r>
    </w:p>
    <w:tbl>
      <w:tblPr>
        <w:tblStyle w:val="TableGrid"/>
        <w:tblW w:w="0" w:type="auto"/>
        <w:jc w:val="center"/>
        <w:tblLook w:val="04A0" w:firstRow="1" w:lastRow="0" w:firstColumn="1" w:lastColumn="0" w:noHBand="0" w:noVBand="1"/>
      </w:tblPr>
      <w:tblGrid>
        <w:gridCol w:w="4819"/>
        <w:gridCol w:w="4819"/>
      </w:tblGrid>
      <w:tr w:rsidR="009A4008" w:rsidRPr="009A4008" w14:paraId="761CB8BF" w14:textId="77777777" w:rsidTr="00B6247C">
        <w:trPr>
          <w:cantSplit/>
          <w:jc w:val="center"/>
        </w:trPr>
        <w:tc>
          <w:tcPr>
            <w:tcW w:w="4824" w:type="dxa"/>
            <w:shd w:val="clear" w:color="auto" w:fill="EDEDED"/>
            <w:vAlign w:val="center"/>
          </w:tcPr>
          <w:p w14:paraId="7CC166D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Warehouse object</w:t>
            </w:r>
          </w:p>
        </w:tc>
        <w:tc>
          <w:tcPr>
            <w:tcW w:w="4824" w:type="dxa"/>
            <w:shd w:val="clear" w:color="auto" w:fill="EDEDED"/>
            <w:vAlign w:val="center"/>
          </w:tcPr>
          <w:p w14:paraId="2292D5B1"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Role in reporting</w:t>
            </w:r>
          </w:p>
        </w:tc>
      </w:tr>
      <w:tr w:rsidR="009A4008" w:rsidRPr="009A4008" w14:paraId="0AEFCA57" w14:textId="77777777" w:rsidTr="00B6247C">
        <w:trPr>
          <w:cantSplit/>
          <w:jc w:val="center"/>
        </w:trPr>
        <w:tc>
          <w:tcPr>
            <w:tcW w:w="4824" w:type="dxa"/>
            <w:vAlign w:val="center"/>
          </w:tcPr>
          <w:p w14:paraId="46E8623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lastRenderedPageBreak/>
              <w:t>dim_clinic</w:t>
            </w:r>
          </w:p>
        </w:tc>
        <w:tc>
          <w:tcPr>
            <w:tcW w:w="4824" w:type="dxa"/>
            <w:vAlign w:val="center"/>
          </w:tcPr>
          <w:p w14:paraId="5C0D7289"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Clinic descriptive attributes, including clinic name and district.</w:t>
            </w:r>
          </w:p>
        </w:tc>
      </w:tr>
      <w:tr w:rsidR="009A4008" w:rsidRPr="009A4008" w14:paraId="4D70C233" w14:textId="77777777" w:rsidTr="00B6247C">
        <w:trPr>
          <w:cantSplit/>
          <w:jc w:val="center"/>
        </w:trPr>
        <w:tc>
          <w:tcPr>
            <w:tcW w:w="4824" w:type="dxa"/>
            <w:vAlign w:val="center"/>
          </w:tcPr>
          <w:p w14:paraId="2C32138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dim_patient</w:t>
            </w:r>
          </w:p>
        </w:tc>
        <w:tc>
          <w:tcPr>
            <w:tcW w:w="4824" w:type="dxa"/>
            <w:vAlign w:val="center"/>
          </w:tcPr>
          <w:p w14:paraId="18248E3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De-identified patient analysis attributes, including sex, age band and home district.</w:t>
            </w:r>
          </w:p>
        </w:tc>
      </w:tr>
      <w:tr w:rsidR="009A4008" w:rsidRPr="009A4008" w14:paraId="7E57E7ED" w14:textId="77777777" w:rsidTr="00B6247C">
        <w:trPr>
          <w:cantSplit/>
          <w:jc w:val="center"/>
        </w:trPr>
        <w:tc>
          <w:tcPr>
            <w:tcW w:w="4824" w:type="dxa"/>
            <w:vAlign w:val="center"/>
          </w:tcPr>
          <w:p w14:paraId="79D6FFC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dim_date</w:t>
            </w:r>
          </w:p>
        </w:tc>
        <w:tc>
          <w:tcPr>
            <w:tcW w:w="4824" w:type="dxa"/>
            <w:vAlign w:val="center"/>
          </w:tcPr>
          <w:p w14:paraId="481F930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Calendar attributes used for month, quarter, year and day-based reporting.</w:t>
            </w:r>
          </w:p>
        </w:tc>
      </w:tr>
      <w:tr w:rsidR="009A4008" w:rsidRPr="009A4008" w14:paraId="38811BF8" w14:textId="77777777" w:rsidTr="00B6247C">
        <w:trPr>
          <w:cantSplit/>
          <w:jc w:val="center"/>
        </w:trPr>
        <w:tc>
          <w:tcPr>
            <w:tcW w:w="4824" w:type="dxa"/>
            <w:vAlign w:val="center"/>
          </w:tcPr>
          <w:p w14:paraId="0D696962"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fact_visits</w:t>
            </w:r>
          </w:p>
        </w:tc>
        <w:tc>
          <w:tcPr>
            <w:tcW w:w="4824" w:type="dxa"/>
            <w:vAlign w:val="center"/>
          </w:tcPr>
          <w:p w14:paraId="1FFC98D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One row per visit, with clinic and patient dimension keys, visit type, diagnosis and service-level amounts.</w:t>
            </w:r>
          </w:p>
        </w:tc>
      </w:tr>
    </w:tbl>
    <w:p w14:paraId="4C1AD016" w14:textId="77777777" w:rsidR="009A4008" w:rsidRPr="009A4008" w:rsidRDefault="009A4008" w:rsidP="009A4008">
      <w:pPr>
        <w:rPr>
          <w:rFonts w:ascii="Times New Roman" w:hAnsi="Times New Roman" w:cs="Times New Roman"/>
          <w:sz w:val="22"/>
          <w:szCs w:val="22"/>
        </w:rPr>
      </w:pPr>
    </w:p>
    <w:p w14:paraId="3BADB169"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warehouse follows a star-schema pattern. The fact table records measurable visit activity and revenue, while the dimension tables provide descriptive context for grouping and filtering. The brief's fill_dim_date procedure is intended to populate the date dimension. The ETL process should load dimensions before the fact table and should check that every fact row resolves to valid dimension records.</w:t>
      </w:r>
    </w:p>
    <w:p w14:paraId="117BE5AF"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source SQL defines amounts for consultation, laboratory services, medication and total billing. If the management dashboard must report revenue by every service, the implementation should preserve service-level detail or document a reliable transformation from billing rows. The brief's sample revenue-by-payment-mode query uses a placeholder payment mode and notes that the fact table would need extending. That query must be corrected before it can be treated as a valid result.</w:t>
      </w:r>
    </w:p>
    <w:p w14:paraId="59272A90"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4.4 Architecture and ERD evidence</w:t>
      </w:r>
    </w:p>
    <w:p w14:paraId="4E98B4CC"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 Insert the completed architecture diagram and ERD in the final submission or include them as numbered figures with captions. The architecture diagram should identify sources, staging, cleansing, MDM, the master database, warehouse and BI/reporting. The ERD should show primary keys, foreign keys and cardinality for clinics, staff, m_patient, patient_source_links, visits, billing and the warehouse objects. Confirm that the diagrams match the actual schema rather than an earlier design draft. ]</w:t>
      </w:r>
    </w:p>
    <w:p w14:paraId="535CD1D2" w14:textId="77777777" w:rsidR="009A4008" w:rsidRPr="009A4008" w:rsidRDefault="009A4008" w:rsidP="009A4008">
      <w:pPr>
        <w:pStyle w:val="Heading1"/>
        <w:rPr>
          <w:rFonts w:ascii="Times New Roman" w:hAnsi="Times New Roman" w:cs="Times New Roman"/>
          <w:sz w:val="22"/>
          <w:szCs w:val="22"/>
        </w:rPr>
      </w:pPr>
      <w:r w:rsidRPr="009A4008">
        <w:rPr>
          <w:rFonts w:ascii="Times New Roman" w:hAnsi="Times New Roman" w:cs="Times New Roman"/>
          <w:sz w:val="22"/>
          <w:szCs w:val="22"/>
        </w:rPr>
        <w:t>5. Data Quality Management</w:t>
      </w:r>
    </w:p>
    <w:p w14:paraId="2AEA4BB8"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5.1 Data quality risks</w:t>
      </w:r>
    </w:p>
    <w:p w14:paraId="796790EE"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seed data illustrates several recurring quality issues: inconsistent name casing and spacing, multiple telephone formats, invalid placeholder values, inconsistent sex labels, incomplete dates of birth, missing email addresses and missing or inconsistent National ID values. These defects can cause duplicate records, failed joins, inaccurate reporting and avoidable manual work.</w:t>
      </w:r>
    </w:p>
    <w:p w14:paraId="152FF86B"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data quality process should profile source records before cleaning, retain the raw fields for traceability, write standardized values to separate columns, validate those values, and then monitor the master data on a schedule. Records that cannot be corrected safely should be flagged for review rather than populated with guessed values.</w:t>
      </w:r>
    </w:p>
    <w:p w14:paraId="6C59E162"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5.2 Cleaning rules</w:t>
      </w:r>
    </w:p>
    <w:tbl>
      <w:tblPr>
        <w:tblStyle w:val="TableGrid"/>
        <w:tblW w:w="0" w:type="auto"/>
        <w:jc w:val="center"/>
        <w:tblLook w:val="04A0" w:firstRow="1" w:lastRow="0" w:firstColumn="1" w:lastColumn="0" w:noHBand="0" w:noVBand="1"/>
      </w:tblPr>
      <w:tblGrid>
        <w:gridCol w:w="3212"/>
        <w:gridCol w:w="3214"/>
        <w:gridCol w:w="3212"/>
      </w:tblGrid>
      <w:tr w:rsidR="009A4008" w:rsidRPr="009A4008" w14:paraId="4B0CDC90" w14:textId="77777777" w:rsidTr="00B6247C">
        <w:trPr>
          <w:cantSplit/>
          <w:jc w:val="center"/>
        </w:trPr>
        <w:tc>
          <w:tcPr>
            <w:tcW w:w="3216" w:type="dxa"/>
            <w:shd w:val="clear" w:color="auto" w:fill="EDEDED"/>
            <w:vAlign w:val="center"/>
          </w:tcPr>
          <w:p w14:paraId="4F285580"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Field</w:t>
            </w:r>
          </w:p>
        </w:tc>
        <w:tc>
          <w:tcPr>
            <w:tcW w:w="3216" w:type="dxa"/>
            <w:shd w:val="clear" w:color="auto" w:fill="EDEDED"/>
            <w:vAlign w:val="center"/>
          </w:tcPr>
          <w:p w14:paraId="5964F4B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Rule</w:t>
            </w:r>
          </w:p>
        </w:tc>
        <w:tc>
          <w:tcPr>
            <w:tcW w:w="3216" w:type="dxa"/>
            <w:shd w:val="clear" w:color="auto" w:fill="EDEDED"/>
            <w:vAlign w:val="center"/>
          </w:tcPr>
          <w:p w14:paraId="110D6C9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Handling when the value is uncertain</w:t>
            </w:r>
          </w:p>
        </w:tc>
      </w:tr>
      <w:tr w:rsidR="009A4008" w:rsidRPr="009A4008" w14:paraId="06C99939" w14:textId="77777777" w:rsidTr="00B6247C">
        <w:trPr>
          <w:cantSplit/>
          <w:jc w:val="center"/>
        </w:trPr>
        <w:tc>
          <w:tcPr>
            <w:tcW w:w="3216" w:type="dxa"/>
            <w:vAlign w:val="center"/>
          </w:tcPr>
          <w:p w14:paraId="4776611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Name</w:t>
            </w:r>
          </w:p>
        </w:tc>
        <w:tc>
          <w:tcPr>
            <w:tcW w:w="3216" w:type="dxa"/>
            <w:vAlign w:val="center"/>
          </w:tcPr>
          <w:p w14:paraId="2378AFD1"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Trim leading and trailing spaces and standardize presentation for display.</w:t>
            </w:r>
          </w:p>
        </w:tc>
        <w:tc>
          <w:tcPr>
            <w:tcW w:w="3216" w:type="dxa"/>
            <w:vAlign w:val="center"/>
          </w:tcPr>
          <w:p w14:paraId="67FD985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Do not assume similarly named people are the same person.</w:t>
            </w:r>
          </w:p>
        </w:tc>
      </w:tr>
      <w:tr w:rsidR="009A4008" w:rsidRPr="009A4008" w14:paraId="53AC4D66" w14:textId="77777777" w:rsidTr="00B6247C">
        <w:trPr>
          <w:cantSplit/>
          <w:jc w:val="center"/>
        </w:trPr>
        <w:tc>
          <w:tcPr>
            <w:tcW w:w="3216" w:type="dxa"/>
            <w:vAlign w:val="center"/>
          </w:tcPr>
          <w:p w14:paraId="7F07D6D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Telephone</w:t>
            </w:r>
          </w:p>
        </w:tc>
        <w:tc>
          <w:tcPr>
            <w:tcW w:w="3216" w:type="dxa"/>
            <w:vAlign w:val="center"/>
          </w:tcPr>
          <w:p w14:paraId="6ACA5D6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Remove non-digit characters and normalize valid Ugandan numbers to 256XXXXXXXXX.</w:t>
            </w:r>
          </w:p>
        </w:tc>
        <w:tc>
          <w:tcPr>
            <w:tcW w:w="3216" w:type="dxa"/>
            <w:vAlign w:val="center"/>
          </w:tcPr>
          <w:p w14:paraId="706E547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Set invalid or ambiguous values to NULL in the clean field and flag them for review.</w:t>
            </w:r>
          </w:p>
        </w:tc>
      </w:tr>
      <w:tr w:rsidR="009A4008" w:rsidRPr="009A4008" w14:paraId="7E93850B" w14:textId="77777777" w:rsidTr="00B6247C">
        <w:trPr>
          <w:cantSplit/>
          <w:jc w:val="center"/>
        </w:trPr>
        <w:tc>
          <w:tcPr>
            <w:tcW w:w="3216" w:type="dxa"/>
            <w:vAlign w:val="center"/>
          </w:tcPr>
          <w:p w14:paraId="142223F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lastRenderedPageBreak/>
              <w:t>Sex</w:t>
            </w:r>
          </w:p>
        </w:tc>
        <w:tc>
          <w:tcPr>
            <w:tcW w:w="3216" w:type="dxa"/>
            <w:vAlign w:val="center"/>
          </w:tcPr>
          <w:p w14:paraId="7CCB63E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Map recognized variants such as M, Male, F and Female to the approved M/F domain.</w:t>
            </w:r>
          </w:p>
        </w:tc>
        <w:tc>
          <w:tcPr>
            <w:tcW w:w="3216" w:type="dxa"/>
            <w:vAlign w:val="center"/>
          </w:tcPr>
          <w:p w14:paraId="21C430D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Leave unrecognized values unresolved and log the issue.</w:t>
            </w:r>
          </w:p>
        </w:tc>
      </w:tr>
      <w:tr w:rsidR="009A4008" w:rsidRPr="009A4008" w14:paraId="5818CD20" w14:textId="77777777" w:rsidTr="00B6247C">
        <w:trPr>
          <w:cantSplit/>
          <w:jc w:val="center"/>
        </w:trPr>
        <w:tc>
          <w:tcPr>
            <w:tcW w:w="3216" w:type="dxa"/>
            <w:vAlign w:val="center"/>
          </w:tcPr>
          <w:p w14:paraId="7C63F360"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Date of birth</w:t>
            </w:r>
          </w:p>
        </w:tc>
        <w:tc>
          <w:tcPr>
            <w:tcW w:w="3216" w:type="dxa"/>
            <w:vAlign w:val="center"/>
          </w:tcPr>
          <w:p w14:paraId="217C97C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Parse supported formats such as YYYY-MM-DD and DD/MM/YYYY into DATE.</w:t>
            </w:r>
          </w:p>
        </w:tc>
        <w:tc>
          <w:tcPr>
            <w:tcW w:w="3216" w:type="dxa"/>
            <w:vAlign w:val="center"/>
          </w:tcPr>
          <w:p w14:paraId="43D83291"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Do not invent a date when parsing fails.</w:t>
            </w:r>
          </w:p>
        </w:tc>
      </w:tr>
      <w:tr w:rsidR="009A4008" w:rsidRPr="009A4008" w14:paraId="0033017F" w14:textId="77777777" w:rsidTr="00B6247C">
        <w:trPr>
          <w:cantSplit/>
          <w:jc w:val="center"/>
        </w:trPr>
        <w:tc>
          <w:tcPr>
            <w:tcW w:w="3216" w:type="dxa"/>
            <w:vAlign w:val="center"/>
          </w:tcPr>
          <w:p w14:paraId="4A82266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National ID</w:t>
            </w:r>
          </w:p>
        </w:tc>
        <w:tc>
          <w:tcPr>
            <w:tcW w:w="3216" w:type="dxa"/>
            <w:vAlign w:val="center"/>
          </w:tcPr>
          <w:p w14:paraId="7E083F31"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Hash the value using SHA-256 during controlled ingestion and avoid plaintext in the trusted master.</w:t>
            </w:r>
          </w:p>
        </w:tc>
        <w:tc>
          <w:tcPr>
            <w:tcW w:w="3216" w:type="dxa"/>
            <w:vAlign w:val="center"/>
          </w:tcPr>
          <w:p w14:paraId="1D6D2BB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Restrict access to any legacy plaintext while migration and deletion are managed.</w:t>
            </w:r>
          </w:p>
        </w:tc>
      </w:tr>
      <w:tr w:rsidR="009A4008" w:rsidRPr="009A4008" w14:paraId="05C9BE8F" w14:textId="77777777" w:rsidTr="00B6247C">
        <w:trPr>
          <w:cantSplit/>
          <w:jc w:val="center"/>
        </w:trPr>
        <w:tc>
          <w:tcPr>
            <w:tcW w:w="3216" w:type="dxa"/>
            <w:vAlign w:val="center"/>
          </w:tcPr>
          <w:p w14:paraId="3FCD1BD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Email</w:t>
            </w:r>
          </w:p>
        </w:tc>
        <w:tc>
          <w:tcPr>
            <w:tcW w:w="3216" w:type="dxa"/>
            <w:vAlign w:val="center"/>
          </w:tcPr>
          <w:p w14:paraId="3AB1AB2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Trim whitespace and validate basic structure before accepting it.</w:t>
            </w:r>
          </w:p>
        </w:tc>
        <w:tc>
          <w:tcPr>
            <w:tcW w:w="3216" w:type="dxa"/>
            <w:vAlign w:val="center"/>
          </w:tcPr>
          <w:p w14:paraId="4CFFA0D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Preserve NULL when no valid value is available.</w:t>
            </w:r>
          </w:p>
        </w:tc>
      </w:tr>
      <w:tr w:rsidR="009A4008" w:rsidRPr="009A4008" w14:paraId="3C2FDF04" w14:textId="77777777" w:rsidTr="00B6247C">
        <w:trPr>
          <w:cantSplit/>
          <w:jc w:val="center"/>
        </w:trPr>
        <w:tc>
          <w:tcPr>
            <w:tcW w:w="3216" w:type="dxa"/>
            <w:vAlign w:val="center"/>
          </w:tcPr>
          <w:p w14:paraId="27A029C0"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Duplicates</w:t>
            </w:r>
          </w:p>
        </w:tc>
        <w:tc>
          <w:tcPr>
            <w:tcW w:w="3216" w:type="dxa"/>
            <w:vAlign w:val="center"/>
          </w:tcPr>
          <w:p w14:paraId="466E6E4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Use normalized telephone as the primary matching key, with supporting evidence and steward review.</w:t>
            </w:r>
          </w:p>
        </w:tc>
        <w:tc>
          <w:tcPr>
            <w:tcW w:w="3216" w:type="dxa"/>
            <w:vAlign w:val="center"/>
          </w:tcPr>
          <w:p w14:paraId="1588CD12"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Do not automatically merge identity conflicts.</w:t>
            </w:r>
          </w:p>
        </w:tc>
      </w:tr>
    </w:tbl>
    <w:p w14:paraId="138B6E21" w14:textId="77777777" w:rsidR="009A4008" w:rsidRPr="009A4008" w:rsidRDefault="009A4008" w:rsidP="009A4008">
      <w:pPr>
        <w:rPr>
          <w:rFonts w:ascii="Times New Roman" w:hAnsi="Times New Roman" w:cs="Times New Roman"/>
          <w:sz w:val="22"/>
          <w:szCs w:val="22"/>
        </w:rPr>
      </w:pPr>
    </w:p>
    <w:p w14:paraId="670C9B03"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5.3 Measurement and targets</w:t>
      </w:r>
    </w:p>
    <w:p w14:paraId="69A3B6AD"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project sets two primary master-data targets: at least 97% telephone completeness and zero invalid telephone numbers, measured weekly and logged. Additional useful measures include date-of-birth completeness, sex-domain consistency, duplicate candidates, unresolved MDM queue items and the number of rejected or corrected source rows.</w:t>
      </w:r>
    </w:p>
    <w:tbl>
      <w:tblPr>
        <w:tblStyle w:val="TableGrid"/>
        <w:tblW w:w="0" w:type="auto"/>
        <w:jc w:val="center"/>
        <w:tblLook w:val="04A0" w:firstRow="1" w:lastRow="0" w:firstColumn="1" w:lastColumn="0" w:noHBand="0" w:noVBand="1"/>
      </w:tblPr>
      <w:tblGrid>
        <w:gridCol w:w="2410"/>
        <w:gridCol w:w="2411"/>
        <w:gridCol w:w="2409"/>
        <w:gridCol w:w="2408"/>
      </w:tblGrid>
      <w:tr w:rsidR="009A4008" w:rsidRPr="009A4008" w14:paraId="30B565F1" w14:textId="77777777" w:rsidTr="00B6247C">
        <w:trPr>
          <w:cantSplit/>
          <w:jc w:val="center"/>
        </w:trPr>
        <w:tc>
          <w:tcPr>
            <w:tcW w:w="2412" w:type="dxa"/>
            <w:shd w:val="clear" w:color="auto" w:fill="EDEDED"/>
            <w:vAlign w:val="center"/>
          </w:tcPr>
          <w:p w14:paraId="48A3FCF7"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Metric</w:t>
            </w:r>
          </w:p>
        </w:tc>
        <w:tc>
          <w:tcPr>
            <w:tcW w:w="2412" w:type="dxa"/>
            <w:shd w:val="clear" w:color="auto" w:fill="EDEDED"/>
            <w:vAlign w:val="center"/>
          </w:tcPr>
          <w:p w14:paraId="562C5BB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Definition</w:t>
            </w:r>
          </w:p>
        </w:tc>
        <w:tc>
          <w:tcPr>
            <w:tcW w:w="2412" w:type="dxa"/>
            <w:shd w:val="clear" w:color="auto" w:fill="EDEDED"/>
            <w:vAlign w:val="center"/>
          </w:tcPr>
          <w:p w14:paraId="7EC70FA2"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Target or reporting requirement</w:t>
            </w:r>
          </w:p>
        </w:tc>
        <w:tc>
          <w:tcPr>
            <w:tcW w:w="2412" w:type="dxa"/>
            <w:shd w:val="clear" w:color="auto" w:fill="EDEDED"/>
            <w:vAlign w:val="center"/>
          </w:tcPr>
          <w:p w14:paraId="35AFB4B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Actual result</w:t>
            </w:r>
          </w:p>
        </w:tc>
      </w:tr>
      <w:tr w:rsidR="009A4008" w:rsidRPr="009A4008" w14:paraId="5FAC48B8" w14:textId="77777777" w:rsidTr="00B6247C">
        <w:trPr>
          <w:cantSplit/>
          <w:jc w:val="center"/>
        </w:trPr>
        <w:tc>
          <w:tcPr>
            <w:tcW w:w="2412" w:type="dxa"/>
            <w:vAlign w:val="center"/>
          </w:tcPr>
          <w:p w14:paraId="3A1499A1"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Telephone completeness</w:t>
            </w:r>
          </w:p>
        </w:tc>
        <w:tc>
          <w:tcPr>
            <w:tcW w:w="2412" w:type="dxa"/>
            <w:vAlign w:val="center"/>
          </w:tcPr>
          <w:p w14:paraId="43568F7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Master records with a non-null normalized phone divided by all master records, multiplied by 100.</w:t>
            </w:r>
          </w:p>
        </w:tc>
        <w:tc>
          <w:tcPr>
            <w:tcW w:w="2412" w:type="dxa"/>
            <w:vAlign w:val="center"/>
          </w:tcPr>
          <w:p w14:paraId="6ACB1AE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At least 97%.</w:t>
            </w:r>
          </w:p>
        </w:tc>
        <w:tc>
          <w:tcPr>
            <w:tcW w:w="2412" w:type="dxa"/>
            <w:vAlign w:val="center"/>
          </w:tcPr>
          <w:p w14:paraId="0CD4ED9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[Enter verified result]</w:t>
            </w:r>
          </w:p>
        </w:tc>
      </w:tr>
      <w:tr w:rsidR="009A4008" w:rsidRPr="009A4008" w14:paraId="380440A5" w14:textId="77777777" w:rsidTr="00B6247C">
        <w:trPr>
          <w:cantSplit/>
          <w:jc w:val="center"/>
        </w:trPr>
        <w:tc>
          <w:tcPr>
            <w:tcW w:w="2412" w:type="dxa"/>
            <w:vAlign w:val="center"/>
          </w:tcPr>
          <w:p w14:paraId="6F6EACE2"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Invalid telephone count</w:t>
            </w:r>
          </w:p>
        </w:tc>
        <w:tc>
          <w:tcPr>
            <w:tcW w:w="2412" w:type="dxa"/>
            <w:vAlign w:val="center"/>
          </w:tcPr>
          <w:p w14:paraId="03EB457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Records with a phone that fails the 256 plus nine digits validation rule.</w:t>
            </w:r>
          </w:p>
        </w:tc>
        <w:tc>
          <w:tcPr>
            <w:tcW w:w="2412" w:type="dxa"/>
            <w:vAlign w:val="center"/>
          </w:tcPr>
          <w:p w14:paraId="73D5180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0.</w:t>
            </w:r>
          </w:p>
        </w:tc>
        <w:tc>
          <w:tcPr>
            <w:tcW w:w="2412" w:type="dxa"/>
            <w:vAlign w:val="center"/>
          </w:tcPr>
          <w:p w14:paraId="5107EC62"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[Enter verified result]</w:t>
            </w:r>
          </w:p>
        </w:tc>
      </w:tr>
      <w:tr w:rsidR="009A4008" w:rsidRPr="009A4008" w14:paraId="268C80AF" w14:textId="77777777" w:rsidTr="00B6247C">
        <w:trPr>
          <w:cantSplit/>
          <w:jc w:val="center"/>
        </w:trPr>
        <w:tc>
          <w:tcPr>
            <w:tcW w:w="2412" w:type="dxa"/>
            <w:vAlign w:val="center"/>
          </w:tcPr>
          <w:p w14:paraId="1630DA01"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Date-of-birth completeness</w:t>
            </w:r>
          </w:p>
        </w:tc>
        <w:tc>
          <w:tcPr>
            <w:tcW w:w="2412" w:type="dxa"/>
            <w:vAlign w:val="center"/>
          </w:tcPr>
          <w:p w14:paraId="6B280697"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Master records with a non-null date_of_birth divided by all master records, multiplied by 100.</w:t>
            </w:r>
          </w:p>
        </w:tc>
        <w:tc>
          <w:tcPr>
            <w:tcW w:w="2412" w:type="dxa"/>
            <w:vAlign w:val="center"/>
          </w:tcPr>
          <w:p w14:paraId="7991D1D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Monitor and report weekly.</w:t>
            </w:r>
          </w:p>
        </w:tc>
        <w:tc>
          <w:tcPr>
            <w:tcW w:w="2412" w:type="dxa"/>
            <w:vAlign w:val="center"/>
          </w:tcPr>
          <w:p w14:paraId="6A2B9F5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[Enter verified result]</w:t>
            </w:r>
          </w:p>
        </w:tc>
      </w:tr>
      <w:tr w:rsidR="009A4008" w:rsidRPr="009A4008" w14:paraId="503C7597" w14:textId="77777777" w:rsidTr="00B6247C">
        <w:trPr>
          <w:cantSplit/>
          <w:jc w:val="center"/>
        </w:trPr>
        <w:tc>
          <w:tcPr>
            <w:tcW w:w="2412" w:type="dxa"/>
            <w:vAlign w:val="center"/>
          </w:tcPr>
          <w:p w14:paraId="7731764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Potential duplicate count</w:t>
            </w:r>
          </w:p>
        </w:tc>
        <w:tc>
          <w:tcPr>
            <w:tcW w:w="2412" w:type="dxa"/>
            <w:vAlign w:val="center"/>
          </w:tcPr>
          <w:p w14:paraId="3F92ED7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Candidate duplicates identified by the implemented duplicate-check rule.</w:t>
            </w:r>
          </w:p>
        </w:tc>
        <w:tc>
          <w:tcPr>
            <w:tcW w:w="2412" w:type="dxa"/>
            <w:vAlign w:val="center"/>
          </w:tcPr>
          <w:p w14:paraId="02ADA5B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Investigate and resolve; do not treat the count as confirmed duplicates without review.</w:t>
            </w:r>
          </w:p>
        </w:tc>
        <w:tc>
          <w:tcPr>
            <w:tcW w:w="2412" w:type="dxa"/>
            <w:vAlign w:val="center"/>
          </w:tcPr>
          <w:p w14:paraId="5ABAEDA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[Enter verified result]</w:t>
            </w:r>
          </w:p>
        </w:tc>
      </w:tr>
      <w:tr w:rsidR="009A4008" w:rsidRPr="009A4008" w14:paraId="10DC7DB5" w14:textId="77777777" w:rsidTr="00B6247C">
        <w:trPr>
          <w:cantSplit/>
          <w:jc w:val="center"/>
        </w:trPr>
        <w:tc>
          <w:tcPr>
            <w:tcW w:w="2412" w:type="dxa"/>
            <w:vAlign w:val="center"/>
          </w:tcPr>
          <w:p w14:paraId="3A7802B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Open MDM review items</w:t>
            </w:r>
          </w:p>
        </w:tc>
        <w:tc>
          <w:tcPr>
            <w:tcW w:w="2412" w:type="dxa"/>
            <w:vAlign w:val="center"/>
          </w:tcPr>
          <w:p w14:paraId="290DE12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Number of unresolved records in mdm_review_queue.</w:t>
            </w:r>
          </w:p>
        </w:tc>
        <w:tc>
          <w:tcPr>
            <w:tcW w:w="2412" w:type="dxa"/>
            <w:vAlign w:val="center"/>
          </w:tcPr>
          <w:p w14:paraId="1484775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Review regularly and assign an owner.</w:t>
            </w:r>
          </w:p>
        </w:tc>
        <w:tc>
          <w:tcPr>
            <w:tcW w:w="2412" w:type="dxa"/>
            <w:vAlign w:val="center"/>
          </w:tcPr>
          <w:p w14:paraId="38E3A92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[Enter verified result]</w:t>
            </w:r>
          </w:p>
        </w:tc>
      </w:tr>
      <w:tr w:rsidR="009A4008" w:rsidRPr="009A4008" w14:paraId="4947692B" w14:textId="77777777" w:rsidTr="00B6247C">
        <w:trPr>
          <w:cantSplit/>
          <w:jc w:val="center"/>
        </w:trPr>
        <w:tc>
          <w:tcPr>
            <w:tcW w:w="2412" w:type="dxa"/>
            <w:vAlign w:val="center"/>
          </w:tcPr>
          <w:p w14:paraId="75CF41F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lastRenderedPageBreak/>
              <w:t>Rejected source rows</w:t>
            </w:r>
          </w:p>
        </w:tc>
        <w:tc>
          <w:tcPr>
            <w:tcW w:w="2412" w:type="dxa"/>
            <w:vAlign w:val="center"/>
          </w:tcPr>
          <w:p w14:paraId="2B23CB2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Rows held because they fail validation or cannot be safely matched.</w:t>
            </w:r>
          </w:p>
        </w:tc>
        <w:tc>
          <w:tcPr>
            <w:tcW w:w="2412" w:type="dxa"/>
            <w:vAlign w:val="center"/>
          </w:tcPr>
          <w:p w14:paraId="17353FD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Track by source and reason.</w:t>
            </w:r>
          </w:p>
        </w:tc>
        <w:tc>
          <w:tcPr>
            <w:tcW w:w="2412" w:type="dxa"/>
            <w:vAlign w:val="center"/>
          </w:tcPr>
          <w:p w14:paraId="70DF803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[Enter verified result]</w:t>
            </w:r>
          </w:p>
        </w:tc>
      </w:tr>
    </w:tbl>
    <w:p w14:paraId="539A7BB3" w14:textId="77777777" w:rsidR="009A4008" w:rsidRPr="009A4008" w:rsidRDefault="009A4008" w:rsidP="009A4008">
      <w:pPr>
        <w:rPr>
          <w:rFonts w:ascii="Times New Roman" w:hAnsi="Times New Roman" w:cs="Times New Roman"/>
          <w:sz w:val="22"/>
          <w:szCs w:val="22"/>
        </w:rPr>
      </w:pPr>
    </w:p>
    <w:p w14:paraId="68885D23"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brief provides an example of phone completeness changing from 71% to 100%, but these figures are illustrative and should not be reported as the group's achieved results unless the actual database queries return those values. The scorecard view v_dq_scorecard should be corrected and tested before use. Its calculations must use valid SQL syntax and a correct denominator, and its output should be saved in dq_scorecard_log for each scheduled run.</w:t>
      </w:r>
    </w:p>
    <w:p w14:paraId="526A031F"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5.4 Root-cause analysis and monitoring</w:t>
      </w:r>
    </w:p>
    <w:p w14:paraId="48069C52"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A fishbone analysis should consider people, process, technology, source design and governance. Possible causes include free-text entry, absence of a common phone validation rule, inconsistent date formats, migration without mapping rules, unclear ownership and a lack of regular feedback to source users. These are hypotheses to assess against the group's source inventory and sample data, not findings to assert without evidence.</w:t>
      </w:r>
    </w:p>
    <w:p w14:paraId="40A7CA62"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monitoring plan should run the same checks each week, compare the results with targets, assign a responsible owner to each failure and record corrective action. The data steward should review quality trends and recurring defects with the relevant source owner. The IT custodian should ensure that the queries and scheduled event run successfully and that failed runs are visible rather than silently ignored.</w:t>
      </w:r>
    </w:p>
    <w:p w14:paraId="000BEE38" w14:textId="77777777" w:rsidR="009A4008" w:rsidRPr="009A4008" w:rsidRDefault="009A4008" w:rsidP="009A4008">
      <w:pPr>
        <w:pStyle w:val="Heading1"/>
        <w:rPr>
          <w:rFonts w:ascii="Times New Roman" w:hAnsi="Times New Roman" w:cs="Times New Roman"/>
          <w:sz w:val="22"/>
          <w:szCs w:val="22"/>
        </w:rPr>
      </w:pPr>
      <w:r w:rsidRPr="009A4008">
        <w:rPr>
          <w:rFonts w:ascii="Times New Roman" w:hAnsi="Times New Roman" w:cs="Times New Roman"/>
          <w:sz w:val="22"/>
          <w:szCs w:val="22"/>
        </w:rPr>
        <w:t>6. Master Data Management</w:t>
      </w:r>
    </w:p>
    <w:p w14:paraId="64BE7AF0"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6.1 Purpose and matching strategy</w:t>
      </w:r>
    </w:p>
    <w:p w14:paraId="7A7F238D"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MDM creates a consistent patient identity across the source systems without discarding the source history. The primary matching key is the normalized telephone number, as specified in the brief. Name matching alone is not sufficient because names can be entered with different casing, spacing, abbreviations or spelling. Telephone matching is also imperfect: a family may share a number, a number may be changed or recycled, and a source may contain an invalid value. The matching process therefore needs a review path and a record of how each match was made.</w:t>
      </w:r>
    </w:p>
    <w:p w14:paraId="7A83C1F1"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MDM process uses the staging tables stg_legacy_a and stg_legacy_b, standardizes the source fields, combines eligible records through v_all_sources, and creates a golden record in m_patient. patient_source_links records the relationship between each source record and the master patient. The mdm_review_queue holds records that cannot be matched safely or that require human judgment.</w:t>
      </w:r>
    </w:p>
    <w:p w14:paraId="2BB44625"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6.2 Survivorship rules</w:t>
      </w:r>
    </w:p>
    <w:tbl>
      <w:tblPr>
        <w:tblStyle w:val="TableGrid"/>
        <w:tblW w:w="0" w:type="auto"/>
        <w:jc w:val="center"/>
        <w:tblLook w:val="04A0" w:firstRow="1" w:lastRow="0" w:firstColumn="1" w:lastColumn="0" w:noHBand="0" w:noVBand="1"/>
      </w:tblPr>
      <w:tblGrid>
        <w:gridCol w:w="3212"/>
        <w:gridCol w:w="3214"/>
        <w:gridCol w:w="3212"/>
      </w:tblGrid>
      <w:tr w:rsidR="009A4008" w:rsidRPr="009A4008" w14:paraId="15881D8F" w14:textId="77777777" w:rsidTr="00B6247C">
        <w:trPr>
          <w:cantSplit/>
          <w:jc w:val="center"/>
        </w:trPr>
        <w:tc>
          <w:tcPr>
            <w:tcW w:w="3216" w:type="dxa"/>
            <w:shd w:val="clear" w:color="auto" w:fill="EDEDED"/>
            <w:vAlign w:val="center"/>
          </w:tcPr>
          <w:p w14:paraId="3DF3BC3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Field</w:t>
            </w:r>
          </w:p>
        </w:tc>
        <w:tc>
          <w:tcPr>
            <w:tcW w:w="3216" w:type="dxa"/>
            <w:shd w:val="clear" w:color="auto" w:fill="EDEDED"/>
            <w:vAlign w:val="center"/>
          </w:tcPr>
          <w:p w14:paraId="4A87EAA9"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Survivorship rule</w:t>
            </w:r>
          </w:p>
        </w:tc>
        <w:tc>
          <w:tcPr>
            <w:tcW w:w="3216" w:type="dxa"/>
            <w:shd w:val="clear" w:color="auto" w:fill="EDEDED"/>
            <w:vAlign w:val="center"/>
          </w:tcPr>
          <w:p w14:paraId="5B42321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Reason and safeguard</w:t>
            </w:r>
          </w:p>
        </w:tc>
      </w:tr>
      <w:tr w:rsidR="009A4008" w:rsidRPr="009A4008" w14:paraId="0A47AE00" w14:textId="77777777" w:rsidTr="00B6247C">
        <w:trPr>
          <w:cantSplit/>
          <w:jc w:val="center"/>
        </w:trPr>
        <w:tc>
          <w:tcPr>
            <w:tcW w:w="3216" w:type="dxa"/>
            <w:vAlign w:val="center"/>
          </w:tcPr>
          <w:p w14:paraId="21E2A6D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Telephone</w:t>
            </w:r>
          </w:p>
        </w:tc>
        <w:tc>
          <w:tcPr>
            <w:tcW w:w="3216" w:type="dxa"/>
            <w:vAlign w:val="center"/>
          </w:tcPr>
          <w:p w14:paraId="0F26EF7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Use the normalized valid number as the primary match key; for the surviving contact value, use the most recently updated eligible source.</w:t>
            </w:r>
          </w:p>
        </w:tc>
        <w:tc>
          <w:tcPr>
            <w:tcW w:w="3216" w:type="dxa"/>
            <w:vAlign w:val="center"/>
          </w:tcPr>
          <w:p w14:paraId="63BDFAB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Supports matching while preventing invalid values from becoming trusted identifiers.</w:t>
            </w:r>
          </w:p>
        </w:tc>
      </w:tr>
      <w:tr w:rsidR="009A4008" w:rsidRPr="009A4008" w14:paraId="2CB51EC8" w14:textId="77777777" w:rsidTr="00B6247C">
        <w:trPr>
          <w:cantSplit/>
          <w:jc w:val="center"/>
        </w:trPr>
        <w:tc>
          <w:tcPr>
            <w:tcW w:w="3216" w:type="dxa"/>
            <w:vAlign w:val="center"/>
          </w:tcPr>
          <w:p w14:paraId="7AEAEAF9"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Email</w:t>
            </w:r>
          </w:p>
        </w:tc>
        <w:tc>
          <w:tcPr>
            <w:tcW w:w="3216" w:type="dxa"/>
            <w:vAlign w:val="center"/>
          </w:tcPr>
          <w:p w14:paraId="21453C6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Use the most recently updated eligible source with a valid value.</w:t>
            </w:r>
          </w:p>
        </w:tc>
        <w:tc>
          <w:tcPr>
            <w:tcW w:w="3216" w:type="dxa"/>
            <w:vAlign w:val="center"/>
          </w:tcPr>
          <w:p w14:paraId="782B359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Email may be missing from some systems, so a newer valid value should not be replaced by an empty field.</w:t>
            </w:r>
          </w:p>
        </w:tc>
      </w:tr>
      <w:tr w:rsidR="009A4008" w:rsidRPr="009A4008" w14:paraId="28E0A319" w14:textId="77777777" w:rsidTr="00B6247C">
        <w:trPr>
          <w:cantSplit/>
          <w:jc w:val="center"/>
        </w:trPr>
        <w:tc>
          <w:tcPr>
            <w:tcW w:w="3216" w:type="dxa"/>
            <w:vAlign w:val="center"/>
          </w:tcPr>
          <w:p w14:paraId="3B6AA89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Full name</w:t>
            </w:r>
          </w:p>
        </w:tc>
        <w:tc>
          <w:tcPr>
            <w:tcW w:w="3216" w:type="dxa"/>
            <w:vAlign w:val="center"/>
          </w:tcPr>
          <w:p w14:paraId="05D34D3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Do not silently merge conflicting identity values; refer material conflicts to the steward.</w:t>
            </w:r>
          </w:p>
        </w:tc>
        <w:tc>
          <w:tcPr>
            <w:tcW w:w="3216" w:type="dxa"/>
            <w:vAlign w:val="center"/>
          </w:tcPr>
          <w:p w14:paraId="16467AC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Different spellings may refer to the same person, but identical names may also belong to different people.</w:t>
            </w:r>
          </w:p>
        </w:tc>
      </w:tr>
      <w:tr w:rsidR="009A4008" w:rsidRPr="009A4008" w14:paraId="16254D34" w14:textId="77777777" w:rsidTr="00B6247C">
        <w:trPr>
          <w:cantSplit/>
          <w:jc w:val="center"/>
        </w:trPr>
        <w:tc>
          <w:tcPr>
            <w:tcW w:w="3216" w:type="dxa"/>
            <w:vAlign w:val="center"/>
          </w:tcPr>
          <w:p w14:paraId="4CDDAD27"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lastRenderedPageBreak/>
              <w:t>Date of birth</w:t>
            </w:r>
          </w:p>
        </w:tc>
        <w:tc>
          <w:tcPr>
            <w:tcW w:w="3216" w:type="dxa"/>
            <w:vAlign w:val="center"/>
          </w:tcPr>
          <w:p w14:paraId="6F489E69"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Use a consistent parsed date only when supported; send conflicts to review.</w:t>
            </w:r>
          </w:p>
        </w:tc>
        <w:tc>
          <w:tcPr>
            <w:tcW w:w="3216" w:type="dxa"/>
            <w:vAlign w:val="center"/>
          </w:tcPr>
          <w:p w14:paraId="4FF21BE7"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A wrong date may cause clinical and reporting errors.</w:t>
            </w:r>
          </w:p>
        </w:tc>
      </w:tr>
      <w:tr w:rsidR="009A4008" w:rsidRPr="009A4008" w14:paraId="57837AD0" w14:textId="77777777" w:rsidTr="00B6247C">
        <w:trPr>
          <w:cantSplit/>
          <w:jc w:val="center"/>
        </w:trPr>
        <w:tc>
          <w:tcPr>
            <w:tcW w:w="3216" w:type="dxa"/>
            <w:vAlign w:val="center"/>
          </w:tcPr>
          <w:p w14:paraId="300F8707"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Sex</w:t>
            </w:r>
          </w:p>
        </w:tc>
        <w:tc>
          <w:tcPr>
            <w:tcW w:w="3216" w:type="dxa"/>
            <w:vAlign w:val="center"/>
          </w:tcPr>
          <w:p w14:paraId="5EBBE7C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Normalize known values to the approved domain; refer conflicting or unknown values to review.</w:t>
            </w:r>
          </w:p>
        </w:tc>
        <w:tc>
          <w:tcPr>
            <w:tcW w:w="3216" w:type="dxa"/>
            <w:vAlign w:val="center"/>
          </w:tcPr>
          <w:p w14:paraId="69B81ED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Prevents inconsistent labels from being treated as distinct categories.</w:t>
            </w:r>
          </w:p>
        </w:tc>
      </w:tr>
      <w:tr w:rsidR="009A4008" w:rsidRPr="009A4008" w14:paraId="15D7270C" w14:textId="77777777" w:rsidTr="00B6247C">
        <w:trPr>
          <w:cantSplit/>
          <w:jc w:val="center"/>
        </w:trPr>
        <w:tc>
          <w:tcPr>
            <w:tcW w:w="3216" w:type="dxa"/>
            <w:vAlign w:val="center"/>
          </w:tcPr>
          <w:p w14:paraId="6A0B688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National ID</w:t>
            </w:r>
          </w:p>
        </w:tc>
        <w:tc>
          <w:tcPr>
            <w:tcW w:w="3216" w:type="dxa"/>
            <w:vAlign w:val="center"/>
          </w:tcPr>
          <w:p w14:paraId="52B71E79"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Store a SHA-256 hash in the master, not plaintext.</w:t>
            </w:r>
          </w:p>
        </w:tc>
        <w:tc>
          <w:tcPr>
            <w:tcW w:w="3216" w:type="dxa"/>
            <w:vAlign w:val="center"/>
          </w:tcPr>
          <w:p w14:paraId="5618F0B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Reduces exposure of the raw identifier; the hash still requires protection.</w:t>
            </w:r>
          </w:p>
        </w:tc>
      </w:tr>
      <w:tr w:rsidR="009A4008" w:rsidRPr="009A4008" w14:paraId="645FB11D" w14:textId="77777777" w:rsidTr="00B6247C">
        <w:trPr>
          <w:cantSplit/>
          <w:jc w:val="center"/>
        </w:trPr>
        <w:tc>
          <w:tcPr>
            <w:tcW w:w="3216" w:type="dxa"/>
            <w:vAlign w:val="center"/>
          </w:tcPr>
          <w:p w14:paraId="7A01C249"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Source links</w:t>
            </w:r>
          </w:p>
        </w:tc>
        <w:tc>
          <w:tcPr>
            <w:tcW w:w="3216" w:type="dxa"/>
            <w:vAlign w:val="center"/>
          </w:tcPr>
          <w:p w14:paraId="30875CF0"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Retain each source-system name and source record ID linked to the golden record.</w:t>
            </w:r>
          </w:p>
        </w:tc>
        <w:tc>
          <w:tcPr>
            <w:tcW w:w="3216" w:type="dxa"/>
            <w:vAlign w:val="center"/>
          </w:tcPr>
          <w:p w14:paraId="540524C0"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Allows traceability, correction and investigation.</w:t>
            </w:r>
          </w:p>
        </w:tc>
      </w:tr>
      <w:tr w:rsidR="009A4008" w:rsidRPr="009A4008" w14:paraId="1F5BEACD" w14:textId="77777777" w:rsidTr="00B6247C">
        <w:trPr>
          <w:cantSplit/>
          <w:jc w:val="center"/>
        </w:trPr>
        <w:tc>
          <w:tcPr>
            <w:tcW w:w="3216" w:type="dxa"/>
            <w:vAlign w:val="center"/>
          </w:tcPr>
          <w:p w14:paraId="461A9DC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Unmatched records</w:t>
            </w:r>
          </w:p>
        </w:tc>
        <w:tc>
          <w:tcPr>
            <w:tcW w:w="3216" w:type="dxa"/>
            <w:vAlign w:val="center"/>
          </w:tcPr>
          <w:p w14:paraId="0624630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Place unresolved rows in mdm_review_queue with a reason and resolution fields.</w:t>
            </w:r>
          </w:p>
        </w:tc>
        <w:tc>
          <w:tcPr>
            <w:tcW w:w="3216" w:type="dxa"/>
            <w:vAlign w:val="center"/>
          </w:tcPr>
          <w:p w14:paraId="3CF85ED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Prevents silent loss or unsafe merging.</w:t>
            </w:r>
          </w:p>
        </w:tc>
      </w:tr>
    </w:tbl>
    <w:p w14:paraId="244B7BE3" w14:textId="77777777" w:rsidR="009A4008" w:rsidRPr="009A4008" w:rsidRDefault="009A4008" w:rsidP="009A4008">
      <w:pPr>
        <w:rPr>
          <w:rFonts w:ascii="Times New Roman" w:hAnsi="Times New Roman" w:cs="Times New Roman"/>
          <w:sz w:val="22"/>
          <w:szCs w:val="22"/>
        </w:rPr>
      </w:pPr>
    </w:p>
    <w:p w14:paraId="7EDC7CE4"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 xml:space="preserve">The brief's Sarah Nakato example expects source rows 1 and 2 from Legacy A and row 101 from Legacy B to resolve to one master record where the matching and survivorship checks support that decision. </w:t>
      </w:r>
    </w:p>
    <w:p w14:paraId="6BB03754"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6.3 Review workflow</w:t>
      </w:r>
    </w:p>
    <w:p w14:paraId="62477F22" w14:textId="77777777" w:rsidR="009A4008" w:rsidRPr="009A4008" w:rsidRDefault="009A4008" w:rsidP="009A4008">
      <w:pPr>
        <w:pStyle w:val="ListNumber"/>
        <w:spacing w:after="60"/>
        <w:rPr>
          <w:rFonts w:cs="Times New Roman"/>
        </w:rPr>
      </w:pPr>
      <w:r w:rsidRPr="009A4008">
        <w:rPr>
          <w:rFonts w:cs="Times New Roman"/>
        </w:rPr>
        <w:t>Load source data into staging while preserving the original source identifiers.</w:t>
      </w:r>
    </w:p>
    <w:p w14:paraId="6BE531A9" w14:textId="77777777" w:rsidR="009A4008" w:rsidRPr="009A4008" w:rsidRDefault="009A4008" w:rsidP="009A4008">
      <w:pPr>
        <w:pStyle w:val="ListNumber"/>
        <w:spacing w:after="60"/>
        <w:rPr>
          <w:rFonts w:cs="Times New Roman"/>
        </w:rPr>
      </w:pPr>
      <w:r w:rsidRPr="009A4008">
        <w:rPr>
          <w:rFonts w:cs="Times New Roman"/>
        </w:rPr>
        <w:t>Normalize phone, name, sex and date-of-birth values in separate clean columns.</w:t>
      </w:r>
    </w:p>
    <w:p w14:paraId="52AF1954" w14:textId="77777777" w:rsidR="009A4008" w:rsidRPr="009A4008" w:rsidRDefault="009A4008" w:rsidP="009A4008">
      <w:pPr>
        <w:pStyle w:val="ListNumber"/>
        <w:spacing w:after="60"/>
        <w:rPr>
          <w:rFonts w:cs="Times New Roman"/>
        </w:rPr>
      </w:pPr>
      <w:r w:rsidRPr="009A4008">
        <w:rPr>
          <w:rFonts w:cs="Times New Roman"/>
        </w:rPr>
        <w:t>Match records using valid normalized telephone numbers and calculate or record match confidence.</w:t>
      </w:r>
    </w:p>
    <w:p w14:paraId="226B8BF3" w14:textId="77777777" w:rsidR="009A4008" w:rsidRPr="009A4008" w:rsidRDefault="009A4008" w:rsidP="009A4008">
      <w:pPr>
        <w:pStyle w:val="ListNumber"/>
        <w:spacing w:after="60"/>
        <w:rPr>
          <w:rFonts w:cs="Times New Roman"/>
        </w:rPr>
      </w:pPr>
      <w:r w:rsidRPr="009A4008">
        <w:rPr>
          <w:rFonts w:cs="Times New Roman"/>
        </w:rPr>
        <w:t>Create or update a golden record only when the matching rule supports the decision.</w:t>
      </w:r>
    </w:p>
    <w:p w14:paraId="12E4BA5A" w14:textId="77777777" w:rsidR="009A4008" w:rsidRPr="009A4008" w:rsidRDefault="009A4008" w:rsidP="009A4008">
      <w:pPr>
        <w:pStyle w:val="ListNumber"/>
        <w:spacing w:after="60"/>
        <w:rPr>
          <w:rFonts w:cs="Times New Roman"/>
        </w:rPr>
      </w:pPr>
      <w:r w:rsidRPr="009A4008">
        <w:rPr>
          <w:rFonts w:cs="Times New Roman"/>
        </w:rPr>
        <w:t>Send missing-phone cases, conflicting identity fields and uncertain matches to mdm_review_queue.</w:t>
      </w:r>
    </w:p>
    <w:p w14:paraId="6BCDD6B3" w14:textId="77777777" w:rsidR="009A4008" w:rsidRPr="009A4008" w:rsidRDefault="009A4008" w:rsidP="009A4008">
      <w:pPr>
        <w:pStyle w:val="ListNumber"/>
        <w:spacing w:after="60"/>
        <w:rPr>
          <w:rFonts w:cs="Times New Roman"/>
        </w:rPr>
      </w:pPr>
      <w:r w:rsidRPr="009A4008">
        <w:rPr>
          <w:rFonts w:cs="Times New Roman"/>
        </w:rPr>
        <w:t>Have the data steward review the evidence and record the resolution and reviewer.</w:t>
      </w:r>
    </w:p>
    <w:p w14:paraId="52B28038" w14:textId="77777777" w:rsidR="009A4008" w:rsidRPr="009A4008" w:rsidRDefault="009A4008" w:rsidP="009A4008">
      <w:pPr>
        <w:pStyle w:val="ListNumber"/>
        <w:spacing w:after="60"/>
        <w:rPr>
          <w:rFonts w:cs="Times New Roman"/>
        </w:rPr>
      </w:pPr>
      <w:r w:rsidRPr="009A4008">
        <w:rPr>
          <w:rFonts w:cs="Times New Roman"/>
        </w:rPr>
        <w:t>Maintain patient_source_links so each accepted source record remains traceable to its master.</w:t>
      </w:r>
    </w:p>
    <w:p w14:paraId="24EDD377" w14:textId="77777777" w:rsidR="009A4008" w:rsidRPr="009A4008" w:rsidRDefault="009A4008" w:rsidP="009A4008">
      <w:pPr>
        <w:pStyle w:val="ListNumber"/>
        <w:spacing w:after="60"/>
        <w:rPr>
          <w:rFonts w:cs="Times New Roman"/>
        </w:rPr>
      </w:pPr>
      <w:r w:rsidRPr="009A4008">
        <w:rPr>
          <w:rFonts w:cs="Times New Roman"/>
        </w:rPr>
        <w:t>Run duplicate and crosswalk verification queries and save the results as implementation evidence.</w:t>
      </w:r>
    </w:p>
    <w:p w14:paraId="52D63E04" w14:textId="77777777" w:rsidR="009A4008" w:rsidRPr="009A4008" w:rsidRDefault="009A4008" w:rsidP="009A4008">
      <w:pPr>
        <w:pStyle w:val="Heading1"/>
        <w:rPr>
          <w:rFonts w:ascii="Times New Roman" w:hAnsi="Times New Roman" w:cs="Times New Roman"/>
          <w:sz w:val="22"/>
          <w:szCs w:val="22"/>
        </w:rPr>
      </w:pPr>
      <w:r w:rsidRPr="009A4008">
        <w:rPr>
          <w:rFonts w:ascii="Times New Roman" w:hAnsi="Times New Roman" w:cs="Times New Roman"/>
          <w:sz w:val="22"/>
          <w:szCs w:val="22"/>
        </w:rPr>
        <w:t>7. Metadata, Cataloguing and Lineage</w:t>
      </w:r>
    </w:p>
    <w:p w14:paraId="00160BBB"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Metadata allows users to understand what data means, who is responsible for it, where it came from and how it has been transformed. The project brief states that every source system must register its owner, definitions and lineage in the catalog before it is trusted. This requirement is particularly important when staff change or when a new clinic joins the network.</w:t>
      </w:r>
    </w:p>
    <w:p w14:paraId="68CCA41A"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7.1 Catalog components</w:t>
      </w:r>
    </w:p>
    <w:tbl>
      <w:tblPr>
        <w:tblStyle w:val="TableGrid"/>
        <w:tblW w:w="0" w:type="auto"/>
        <w:jc w:val="center"/>
        <w:tblLook w:val="04A0" w:firstRow="1" w:lastRow="0" w:firstColumn="1" w:lastColumn="0" w:noHBand="0" w:noVBand="1"/>
      </w:tblPr>
      <w:tblGrid>
        <w:gridCol w:w="3211"/>
        <w:gridCol w:w="3216"/>
        <w:gridCol w:w="3211"/>
      </w:tblGrid>
      <w:tr w:rsidR="009A4008" w:rsidRPr="009A4008" w14:paraId="09146687" w14:textId="77777777" w:rsidTr="00B6247C">
        <w:trPr>
          <w:cantSplit/>
          <w:jc w:val="center"/>
        </w:trPr>
        <w:tc>
          <w:tcPr>
            <w:tcW w:w="3216" w:type="dxa"/>
            <w:shd w:val="clear" w:color="auto" w:fill="EDEDED"/>
            <w:vAlign w:val="center"/>
          </w:tcPr>
          <w:p w14:paraId="0DC068D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Component</w:t>
            </w:r>
          </w:p>
        </w:tc>
        <w:tc>
          <w:tcPr>
            <w:tcW w:w="3216" w:type="dxa"/>
            <w:shd w:val="clear" w:color="auto" w:fill="EDEDED"/>
            <w:vAlign w:val="center"/>
          </w:tcPr>
          <w:p w14:paraId="2983D19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Implementation in the brief</w:t>
            </w:r>
          </w:p>
        </w:tc>
        <w:tc>
          <w:tcPr>
            <w:tcW w:w="3216" w:type="dxa"/>
            <w:shd w:val="clear" w:color="auto" w:fill="EDEDED"/>
            <w:vAlign w:val="center"/>
          </w:tcPr>
          <w:p w14:paraId="410C1F2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Expected use</w:t>
            </w:r>
          </w:p>
        </w:tc>
      </w:tr>
      <w:tr w:rsidR="009A4008" w:rsidRPr="009A4008" w14:paraId="1C4DAF5D" w14:textId="77777777" w:rsidTr="00B6247C">
        <w:trPr>
          <w:cantSplit/>
          <w:jc w:val="center"/>
        </w:trPr>
        <w:tc>
          <w:tcPr>
            <w:tcW w:w="3216" w:type="dxa"/>
            <w:vAlign w:val="center"/>
          </w:tcPr>
          <w:p w14:paraId="6EADFB7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Technical data dictionary</w:t>
            </w:r>
          </w:p>
        </w:tc>
        <w:tc>
          <w:tcPr>
            <w:tcW w:w="3216" w:type="dxa"/>
            <w:vAlign w:val="center"/>
          </w:tcPr>
          <w:p w14:paraId="23950DC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Query information_schema.COLUMNS for the medilink schema, including data type and column comments.</w:t>
            </w:r>
          </w:p>
        </w:tc>
        <w:tc>
          <w:tcPr>
            <w:tcW w:w="3216" w:type="dxa"/>
            <w:vAlign w:val="center"/>
          </w:tcPr>
          <w:p w14:paraId="283F37D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Shows table structure and technical definitions.</w:t>
            </w:r>
          </w:p>
        </w:tc>
      </w:tr>
      <w:tr w:rsidR="009A4008" w:rsidRPr="009A4008" w14:paraId="13C77A65" w14:textId="77777777" w:rsidTr="00B6247C">
        <w:trPr>
          <w:cantSplit/>
          <w:jc w:val="center"/>
        </w:trPr>
        <w:tc>
          <w:tcPr>
            <w:tcW w:w="3216" w:type="dxa"/>
            <w:vAlign w:val="center"/>
          </w:tcPr>
          <w:p w14:paraId="6B4D331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Business glossary</w:t>
            </w:r>
          </w:p>
        </w:tc>
        <w:tc>
          <w:tcPr>
            <w:tcW w:w="3216" w:type="dxa"/>
            <w:vAlign w:val="center"/>
          </w:tcPr>
          <w:p w14:paraId="0BAEBF72"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glossary table containing terms such as Golden Record, OPD Attendance and Revenue.</w:t>
            </w:r>
          </w:p>
        </w:tc>
        <w:tc>
          <w:tcPr>
            <w:tcW w:w="3216" w:type="dxa"/>
            <w:vAlign w:val="center"/>
          </w:tcPr>
          <w:p w14:paraId="49F33F12"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Gives business users consistent meanings.</w:t>
            </w:r>
          </w:p>
        </w:tc>
      </w:tr>
      <w:tr w:rsidR="009A4008" w:rsidRPr="009A4008" w14:paraId="06F1EF36" w14:textId="77777777" w:rsidTr="00B6247C">
        <w:trPr>
          <w:cantSplit/>
          <w:jc w:val="center"/>
        </w:trPr>
        <w:tc>
          <w:tcPr>
            <w:tcW w:w="3216" w:type="dxa"/>
            <w:vAlign w:val="center"/>
          </w:tcPr>
          <w:p w14:paraId="66AF3AE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lastRenderedPageBreak/>
              <w:t>Lineage register</w:t>
            </w:r>
          </w:p>
        </w:tc>
        <w:tc>
          <w:tcPr>
            <w:tcW w:w="3216" w:type="dxa"/>
            <w:vAlign w:val="center"/>
          </w:tcPr>
          <w:p w14:paraId="6B736AF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data_lineage table recording source_object, target_object and transformation.</w:t>
            </w:r>
          </w:p>
        </w:tc>
        <w:tc>
          <w:tcPr>
            <w:tcW w:w="3216" w:type="dxa"/>
            <w:vAlign w:val="center"/>
          </w:tcPr>
          <w:p w14:paraId="45DB3E4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Explains how staging and operational data feed master and warehouse objects.</w:t>
            </w:r>
          </w:p>
        </w:tc>
      </w:tr>
      <w:tr w:rsidR="009A4008" w:rsidRPr="009A4008" w14:paraId="20237415" w14:textId="77777777" w:rsidTr="00B6247C">
        <w:trPr>
          <w:cantSplit/>
          <w:jc w:val="center"/>
        </w:trPr>
        <w:tc>
          <w:tcPr>
            <w:tcW w:w="3216" w:type="dxa"/>
            <w:vAlign w:val="center"/>
          </w:tcPr>
          <w:p w14:paraId="0A7298E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Source inventory</w:t>
            </w:r>
          </w:p>
        </w:tc>
        <w:tc>
          <w:tcPr>
            <w:tcW w:w="3216" w:type="dxa"/>
            <w:vAlign w:val="center"/>
          </w:tcPr>
          <w:p w14:paraId="69617950"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Inventory of source name, owner, format, volume and quality reputation.</w:t>
            </w:r>
          </w:p>
        </w:tc>
        <w:tc>
          <w:tcPr>
            <w:tcW w:w="3216" w:type="dxa"/>
            <w:vAlign w:val="center"/>
          </w:tcPr>
          <w:p w14:paraId="5B77DB4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Supports source onboarding and trust decisions.</w:t>
            </w:r>
          </w:p>
        </w:tc>
      </w:tr>
      <w:tr w:rsidR="009A4008" w:rsidRPr="009A4008" w14:paraId="3CE6F1AE" w14:textId="77777777" w:rsidTr="00B6247C">
        <w:trPr>
          <w:cantSplit/>
          <w:jc w:val="center"/>
        </w:trPr>
        <w:tc>
          <w:tcPr>
            <w:tcW w:w="3216" w:type="dxa"/>
            <w:vAlign w:val="center"/>
          </w:tcPr>
          <w:p w14:paraId="0B28FBD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Impact analysis</w:t>
            </w:r>
          </w:p>
        </w:tc>
        <w:tc>
          <w:tcPr>
            <w:tcW w:w="3216" w:type="dxa"/>
            <w:vAlign w:val="center"/>
          </w:tcPr>
          <w:p w14:paraId="3E51E8A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One-page analysis of what depends on m_patient or another changed object.</w:t>
            </w:r>
          </w:p>
        </w:tc>
        <w:tc>
          <w:tcPr>
            <w:tcW w:w="3216" w:type="dxa"/>
            <w:vAlign w:val="center"/>
          </w:tcPr>
          <w:p w14:paraId="67582DE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Helps assess the consequences of schema or definition changes.</w:t>
            </w:r>
          </w:p>
        </w:tc>
      </w:tr>
    </w:tbl>
    <w:p w14:paraId="02D28179" w14:textId="77777777" w:rsidR="009A4008" w:rsidRPr="009A4008" w:rsidRDefault="009A4008" w:rsidP="009A4008">
      <w:pPr>
        <w:rPr>
          <w:rFonts w:ascii="Times New Roman" w:hAnsi="Times New Roman" w:cs="Times New Roman"/>
          <w:sz w:val="22"/>
          <w:szCs w:val="22"/>
        </w:rPr>
      </w:pPr>
    </w:p>
    <w:p w14:paraId="60BDA997"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7.2 Example lineage</w:t>
      </w:r>
    </w:p>
    <w:p w14:paraId="671FED42"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brief describes a lineage path from stg_legacy_a and stg_legacy_b to m_patient through phone and name normalization, matching and survivorship. It also describes a path from visits and billing to fact_visits through joins to dimension tables and aggregation of billing amounts by service. These transformations should be recorded in data_lineage and checked against the SQL that actually runs.</w:t>
      </w:r>
    </w:p>
    <w:p w14:paraId="4EDDE0EE"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impact analysis should identify affected downstream objects if m_patient changes. Likely dependencies include patient_source_links, visits, dim_patient, fact_visits, views, data-quality queries and reports. The final impact statement should be confirmed by examining the implemented schema and queries.</w:t>
      </w:r>
    </w:p>
    <w:p w14:paraId="310AF024" w14:textId="77777777" w:rsidR="009A4008" w:rsidRPr="009A4008" w:rsidRDefault="009A4008" w:rsidP="009A4008">
      <w:pPr>
        <w:pStyle w:val="Heading1"/>
        <w:rPr>
          <w:rFonts w:ascii="Times New Roman" w:hAnsi="Times New Roman" w:cs="Times New Roman"/>
          <w:sz w:val="22"/>
          <w:szCs w:val="22"/>
        </w:rPr>
      </w:pPr>
      <w:r w:rsidRPr="009A4008">
        <w:rPr>
          <w:rFonts w:ascii="Times New Roman" w:hAnsi="Times New Roman" w:cs="Times New Roman"/>
          <w:sz w:val="22"/>
          <w:szCs w:val="22"/>
        </w:rPr>
        <w:t>8. Security, Privacy and Compliance</w:t>
      </w:r>
    </w:p>
    <w:p w14:paraId="0BAB5B37"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8.1 Data classification</w:t>
      </w:r>
    </w:p>
    <w:p w14:paraId="47D7010E"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data_classification table records the sensitivity level assigned to each object. The sample classifies m_patient and visits as RESTRICTED, fact_visits as CONFIDENTIAL and dim_clinic as INTERNAL. The classification should be reviewed at column level where a table contains a mix of sensitive and less sensitive attributes. De-identification reduces exposure but does not automatically mean that all re-identification risk has disappeared.</w:t>
      </w:r>
    </w:p>
    <w:p w14:paraId="1E505925"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8.2 National ID handling</w:t>
      </w:r>
    </w:p>
    <w:p w14:paraId="0B7898DE"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project rule is explicit: National ID must be stored as a SHA-256 hash only, never as plaintext in the trusted master. The migration procedure must be controlled so that the raw value is not copied into the master, logs or exported reports. Access to legacy source fields containing plaintext must be restricted while migration is completed, and any residual plaintext copies should be managed under an approved deletion and retention procedure. A hash of an identifier can still be personal data where it remains linkable to an individual, so the hashed value must still be protected.</w:t>
      </w:r>
    </w:p>
    <w:p w14:paraId="2C8D2782"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8.3 Role-based access control</w:t>
      </w:r>
    </w:p>
    <w:tbl>
      <w:tblPr>
        <w:tblStyle w:val="TableGrid"/>
        <w:tblW w:w="0" w:type="auto"/>
        <w:jc w:val="center"/>
        <w:tblLook w:val="04A0" w:firstRow="1" w:lastRow="0" w:firstColumn="1" w:lastColumn="0" w:noHBand="0" w:noVBand="1"/>
      </w:tblPr>
      <w:tblGrid>
        <w:gridCol w:w="3212"/>
        <w:gridCol w:w="3212"/>
        <w:gridCol w:w="3214"/>
      </w:tblGrid>
      <w:tr w:rsidR="009A4008" w:rsidRPr="009A4008" w14:paraId="67B4B963" w14:textId="77777777" w:rsidTr="00B6247C">
        <w:trPr>
          <w:cantSplit/>
          <w:jc w:val="center"/>
        </w:trPr>
        <w:tc>
          <w:tcPr>
            <w:tcW w:w="3216" w:type="dxa"/>
            <w:shd w:val="clear" w:color="auto" w:fill="EDEDED"/>
            <w:vAlign w:val="center"/>
          </w:tcPr>
          <w:p w14:paraId="3E317C2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Role</w:t>
            </w:r>
          </w:p>
        </w:tc>
        <w:tc>
          <w:tcPr>
            <w:tcW w:w="3216" w:type="dxa"/>
            <w:shd w:val="clear" w:color="auto" w:fill="EDEDED"/>
            <w:vAlign w:val="center"/>
          </w:tcPr>
          <w:p w14:paraId="0B75649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Intended access</w:t>
            </w:r>
          </w:p>
        </w:tc>
        <w:tc>
          <w:tcPr>
            <w:tcW w:w="3216" w:type="dxa"/>
            <w:shd w:val="clear" w:color="auto" w:fill="EDEDED"/>
            <w:vAlign w:val="center"/>
          </w:tcPr>
          <w:p w14:paraId="31A024E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Database implementation referenced in the brief</w:t>
            </w:r>
          </w:p>
        </w:tc>
      </w:tr>
      <w:tr w:rsidR="009A4008" w:rsidRPr="009A4008" w14:paraId="3CD5CDE0" w14:textId="77777777" w:rsidTr="00B6247C">
        <w:trPr>
          <w:cantSplit/>
          <w:jc w:val="center"/>
        </w:trPr>
        <w:tc>
          <w:tcPr>
            <w:tcW w:w="3216" w:type="dxa"/>
            <w:vAlign w:val="center"/>
          </w:tcPr>
          <w:p w14:paraId="1B38F46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ml_reception</w:t>
            </w:r>
          </w:p>
        </w:tc>
        <w:tc>
          <w:tcPr>
            <w:tcW w:w="3216" w:type="dxa"/>
            <w:vAlign w:val="center"/>
          </w:tcPr>
          <w:p w14:paraId="7304699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Masked patient directory only.</w:t>
            </w:r>
          </w:p>
        </w:tc>
        <w:tc>
          <w:tcPr>
            <w:tcW w:w="3216" w:type="dxa"/>
            <w:vAlign w:val="center"/>
          </w:tcPr>
          <w:p w14:paraId="0B5451E1"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SELECT on v_patient_directory.</w:t>
            </w:r>
          </w:p>
        </w:tc>
      </w:tr>
      <w:tr w:rsidR="009A4008" w:rsidRPr="009A4008" w14:paraId="0C96BBA1" w14:textId="77777777" w:rsidTr="00B6247C">
        <w:trPr>
          <w:cantSplit/>
          <w:jc w:val="center"/>
        </w:trPr>
        <w:tc>
          <w:tcPr>
            <w:tcW w:w="3216" w:type="dxa"/>
            <w:vAlign w:val="center"/>
          </w:tcPr>
          <w:p w14:paraId="7147D97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ml_clinician</w:t>
            </w:r>
          </w:p>
        </w:tc>
        <w:tc>
          <w:tcPr>
            <w:tcW w:w="3216" w:type="dxa"/>
            <w:vAlign w:val="center"/>
          </w:tcPr>
          <w:p w14:paraId="6C6FD62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Full patient master data needed for clinical duties.</w:t>
            </w:r>
          </w:p>
        </w:tc>
        <w:tc>
          <w:tcPr>
            <w:tcW w:w="3216" w:type="dxa"/>
            <w:vAlign w:val="center"/>
          </w:tcPr>
          <w:p w14:paraId="197730C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SELECT, INSERT and UPDATE on m_patient, subject to operational authorization.</w:t>
            </w:r>
          </w:p>
        </w:tc>
      </w:tr>
      <w:tr w:rsidR="009A4008" w:rsidRPr="009A4008" w14:paraId="20086131" w14:textId="77777777" w:rsidTr="00B6247C">
        <w:trPr>
          <w:cantSplit/>
          <w:jc w:val="center"/>
        </w:trPr>
        <w:tc>
          <w:tcPr>
            <w:tcW w:w="3216" w:type="dxa"/>
            <w:vAlign w:val="center"/>
          </w:tcPr>
          <w:p w14:paraId="0DA8BC99"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ml_analyst</w:t>
            </w:r>
          </w:p>
        </w:tc>
        <w:tc>
          <w:tcPr>
            <w:tcW w:w="3216" w:type="dxa"/>
            <w:vAlign w:val="center"/>
          </w:tcPr>
          <w:p w14:paraId="1D57FA6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De-identified warehouse data only.</w:t>
            </w:r>
          </w:p>
        </w:tc>
        <w:tc>
          <w:tcPr>
            <w:tcW w:w="3216" w:type="dxa"/>
            <w:vAlign w:val="center"/>
          </w:tcPr>
          <w:p w14:paraId="532DD31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SELECT on fact_visits and approved dimensions or reporting views.</w:t>
            </w:r>
          </w:p>
        </w:tc>
      </w:tr>
      <w:tr w:rsidR="009A4008" w:rsidRPr="009A4008" w14:paraId="2B40DA13" w14:textId="77777777" w:rsidTr="00B6247C">
        <w:trPr>
          <w:cantSplit/>
          <w:jc w:val="center"/>
        </w:trPr>
        <w:tc>
          <w:tcPr>
            <w:tcW w:w="3216" w:type="dxa"/>
            <w:vAlign w:val="center"/>
          </w:tcPr>
          <w:p w14:paraId="7C8558F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ml_auditor</w:t>
            </w:r>
          </w:p>
        </w:tc>
        <w:tc>
          <w:tcPr>
            <w:tcW w:w="3216" w:type="dxa"/>
            <w:vAlign w:val="center"/>
          </w:tcPr>
          <w:p w14:paraId="22B3A0A1"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Read access to the evidence required for audit.</w:t>
            </w:r>
          </w:p>
        </w:tc>
        <w:tc>
          <w:tcPr>
            <w:tcW w:w="3216" w:type="dxa"/>
            <w:vAlign w:val="center"/>
          </w:tcPr>
          <w:p w14:paraId="6025F550"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Read-only grants restricted to approved objects.</w:t>
            </w:r>
          </w:p>
        </w:tc>
      </w:tr>
    </w:tbl>
    <w:p w14:paraId="71FAE6D6" w14:textId="77777777" w:rsidR="009A4008" w:rsidRPr="009A4008" w:rsidRDefault="009A4008" w:rsidP="009A4008">
      <w:pPr>
        <w:rPr>
          <w:rFonts w:ascii="Times New Roman" w:hAnsi="Times New Roman" w:cs="Times New Roman"/>
          <w:sz w:val="22"/>
          <w:szCs w:val="22"/>
        </w:rPr>
      </w:pPr>
    </w:p>
    <w:p w14:paraId="41769B13"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lastRenderedPageBreak/>
        <w:t>The SQL examples in the brief should be checked before execution. In particular, the sample grant for ml_auditor has an incomplete object name, and the exact analyst grants should cover the required warehouse dimensions and reporting views without exposing direct identifiers. The sample account name and password should not be used as production credentials. Create named accounts with appropriate authentication and do not commit credentials to Git.</w:t>
      </w:r>
    </w:p>
    <w:p w14:paraId="7E280123"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8.4 Masking and audit trails</w:t>
      </w:r>
    </w:p>
    <w:p w14:paraId="5FC0A8BA"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v_patient_directory view is intended to provide a masked name and phone number for reception users. Its output must be reviewed to ensure that it masks enough information to reduce unnecessary disclosure while still supporting the intended workflow. The master_audit table and trg_master_audit trigger are intended to record who changed a master record, when the change occurred and a summary of the change. Test updates should confirm that audit rows are written and that access to the audit data is restricted.</w:t>
      </w:r>
    </w:p>
    <w:p w14:paraId="7D15E213"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8.5 Billing immutability</w:t>
      </w:r>
    </w:p>
    <w:p w14:paraId="4B8EF26E"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trg_billing_immutable trigger is intended to reject updates to existing billing rows with an error message instructing users to insert an adjustment instead. This supports the rule that billing rows are immutable. The final design should document the adjustment-row structure and ensure that users cannot bypass the rule through privileges or alternative procedures. A screenshot of an attempted update being rejected should be retained as evidence.</w:t>
      </w:r>
    </w:p>
    <w:p w14:paraId="45F745CB"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8.6 DPIA for SMS reminders</w:t>
      </w:r>
    </w:p>
    <w:p w14:paraId="3A3D62CD"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proposed SMS reminder service may use a patient's contact number and limited appointment information. Before launch, MediLink should document the purpose, data fields, lawful basis, intended recipients, retention period, possible harm and safeguards. Messages should avoid disclosing diagnosis, HIV status or other sensitive clinical information on a lock screen or to a person who may share the telephone. Contact preferences and the process for handling incorrect numbers should be defined.</w:t>
      </w:r>
    </w:p>
    <w:tbl>
      <w:tblPr>
        <w:tblStyle w:val="TableGrid"/>
        <w:tblW w:w="0" w:type="auto"/>
        <w:jc w:val="center"/>
        <w:tblLook w:val="04A0" w:firstRow="1" w:lastRow="0" w:firstColumn="1" w:lastColumn="0" w:noHBand="0" w:noVBand="1"/>
      </w:tblPr>
      <w:tblGrid>
        <w:gridCol w:w="4819"/>
        <w:gridCol w:w="4819"/>
      </w:tblGrid>
      <w:tr w:rsidR="009A4008" w:rsidRPr="009A4008" w14:paraId="643E2D94" w14:textId="77777777" w:rsidTr="00B6247C">
        <w:trPr>
          <w:cantSplit/>
          <w:jc w:val="center"/>
        </w:trPr>
        <w:tc>
          <w:tcPr>
            <w:tcW w:w="4824" w:type="dxa"/>
            <w:shd w:val="clear" w:color="auto" w:fill="EDEDED"/>
            <w:vAlign w:val="center"/>
          </w:tcPr>
          <w:p w14:paraId="6004151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DPIA area</w:t>
            </w:r>
          </w:p>
        </w:tc>
        <w:tc>
          <w:tcPr>
            <w:tcW w:w="4824" w:type="dxa"/>
            <w:shd w:val="clear" w:color="auto" w:fill="EDEDED"/>
            <w:vAlign w:val="center"/>
          </w:tcPr>
          <w:p w14:paraId="17A9B2D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Assessment to complete</w:t>
            </w:r>
          </w:p>
        </w:tc>
      </w:tr>
      <w:tr w:rsidR="009A4008" w:rsidRPr="009A4008" w14:paraId="144EB613" w14:textId="77777777" w:rsidTr="00B6247C">
        <w:trPr>
          <w:cantSplit/>
          <w:jc w:val="center"/>
        </w:trPr>
        <w:tc>
          <w:tcPr>
            <w:tcW w:w="4824" w:type="dxa"/>
            <w:vAlign w:val="center"/>
          </w:tcPr>
          <w:p w14:paraId="40677A4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Purpose</w:t>
            </w:r>
          </w:p>
        </w:tc>
        <w:tc>
          <w:tcPr>
            <w:tcW w:w="4824" w:type="dxa"/>
            <w:vAlign w:val="center"/>
          </w:tcPr>
          <w:p w14:paraId="5CCBDF9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Explain the specific service and why SMS reminders are needed.</w:t>
            </w:r>
          </w:p>
        </w:tc>
      </w:tr>
      <w:tr w:rsidR="009A4008" w:rsidRPr="009A4008" w14:paraId="6D5FDD68" w14:textId="77777777" w:rsidTr="00B6247C">
        <w:trPr>
          <w:cantSplit/>
          <w:jc w:val="center"/>
        </w:trPr>
        <w:tc>
          <w:tcPr>
            <w:tcW w:w="4824" w:type="dxa"/>
            <w:vAlign w:val="center"/>
          </w:tcPr>
          <w:p w14:paraId="2AABAC2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Data used</w:t>
            </w:r>
          </w:p>
        </w:tc>
        <w:tc>
          <w:tcPr>
            <w:tcW w:w="4824" w:type="dxa"/>
            <w:vAlign w:val="center"/>
          </w:tcPr>
          <w:p w14:paraId="16F919C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List the phone number, reminder date and minimum appointment information required.</w:t>
            </w:r>
          </w:p>
        </w:tc>
      </w:tr>
      <w:tr w:rsidR="009A4008" w:rsidRPr="009A4008" w14:paraId="27EC3290" w14:textId="77777777" w:rsidTr="00B6247C">
        <w:trPr>
          <w:cantSplit/>
          <w:jc w:val="center"/>
        </w:trPr>
        <w:tc>
          <w:tcPr>
            <w:tcW w:w="4824" w:type="dxa"/>
            <w:vAlign w:val="center"/>
          </w:tcPr>
          <w:p w14:paraId="11BDDC5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Lawful basis and transparency</w:t>
            </w:r>
          </w:p>
        </w:tc>
        <w:tc>
          <w:tcPr>
            <w:tcW w:w="4824" w:type="dxa"/>
            <w:vAlign w:val="center"/>
          </w:tcPr>
          <w:p w14:paraId="3BBB9FB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Confirm the applicable lawful basis and how patients are informed.</w:t>
            </w:r>
          </w:p>
        </w:tc>
      </w:tr>
      <w:tr w:rsidR="009A4008" w:rsidRPr="009A4008" w14:paraId="5F314E93" w14:textId="77777777" w:rsidTr="00B6247C">
        <w:trPr>
          <w:cantSplit/>
          <w:jc w:val="center"/>
        </w:trPr>
        <w:tc>
          <w:tcPr>
            <w:tcW w:w="4824" w:type="dxa"/>
            <w:vAlign w:val="center"/>
          </w:tcPr>
          <w:p w14:paraId="2B5C7F6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Risks</w:t>
            </w:r>
          </w:p>
        </w:tc>
        <w:tc>
          <w:tcPr>
            <w:tcW w:w="4824" w:type="dxa"/>
            <w:vAlign w:val="center"/>
          </w:tcPr>
          <w:p w14:paraId="16914C8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Wrong-number disclosure, shared phones, message interception, excessive messaging and inaccurate contact data.</w:t>
            </w:r>
          </w:p>
        </w:tc>
      </w:tr>
      <w:tr w:rsidR="009A4008" w:rsidRPr="009A4008" w14:paraId="7F8135FB" w14:textId="77777777" w:rsidTr="00B6247C">
        <w:trPr>
          <w:cantSplit/>
          <w:jc w:val="center"/>
        </w:trPr>
        <w:tc>
          <w:tcPr>
            <w:tcW w:w="4824" w:type="dxa"/>
            <w:vAlign w:val="center"/>
          </w:tcPr>
          <w:p w14:paraId="01A0497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Mitigations</w:t>
            </w:r>
          </w:p>
        </w:tc>
        <w:tc>
          <w:tcPr>
            <w:tcW w:w="4824" w:type="dxa"/>
            <w:vAlign w:val="center"/>
          </w:tcPr>
          <w:p w14:paraId="7D2E97C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Use minimal message content, validate contact details, restrict access, log sending activity and provide a process for corrections or opting out where applicable.</w:t>
            </w:r>
          </w:p>
        </w:tc>
      </w:tr>
      <w:tr w:rsidR="009A4008" w:rsidRPr="009A4008" w14:paraId="60D4B6B3" w14:textId="77777777" w:rsidTr="00B6247C">
        <w:trPr>
          <w:cantSplit/>
          <w:jc w:val="center"/>
        </w:trPr>
        <w:tc>
          <w:tcPr>
            <w:tcW w:w="4824" w:type="dxa"/>
            <w:vAlign w:val="center"/>
          </w:tcPr>
          <w:p w14:paraId="1B00ECA0"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Retention</w:t>
            </w:r>
          </w:p>
        </w:tc>
        <w:tc>
          <w:tcPr>
            <w:tcW w:w="4824" w:type="dxa"/>
            <w:vAlign w:val="center"/>
          </w:tcPr>
          <w:p w14:paraId="0D82752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Define how long reminder logs and contact preferences are retained.</w:t>
            </w:r>
          </w:p>
        </w:tc>
      </w:tr>
      <w:tr w:rsidR="009A4008" w:rsidRPr="009A4008" w14:paraId="0D4B0A41" w14:textId="77777777" w:rsidTr="00B6247C">
        <w:trPr>
          <w:cantSplit/>
          <w:jc w:val="center"/>
        </w:trPr>
        <w:tc>
          <w:tcPr>
            <w:tcW w:w="4824" w:type="dxa"/>
            <w:vAlign w:val="center"/>
          </w:tcPr>
          <w:p w14:paraId="5B71DBF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Approval</w:t>
            </w:r>
          </w:p>
        </w:tc>
        <w:tc>
          <w:tcPr>
            <w:tcW w:w="4824" w:type="dxa"/>
            <w:vAlign w:val="center"/>
          </w:tcPr>
          <w:p w14:paraId="3A0FDAD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Record review by the responsible data owner and privacy lead before the service is enabled.</w:t>
            </w:r>
          </w:p>
        </w:tc>
      </w:tr>
    </w:tbl>
    <w:p w14:paraId="12D5102B" w14:textId="77777777" w:rsidR="009A4008" w:rsidRPr="009A4008" w:rsidRDefault="009A4008" w:rsidP="009A4008">
      <w:pPr>
        <w:rPr>
          <w:rFonts w:ascii="Times New Roman" w:hAnsi="Times New Roman" w:cs="Times New Roman"/>
          <w:sz w:val="22"/>
          <w:szCs w:val="22"/>
        </w:rPr>
      </w:pPr>
    </w:p>
    <w:p w14:paraId="12DA1013"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8.7 Incident and breach response</w:t>
      </w:r>
    </w:p>
    <w:p w14:paraId="52A76332"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 xml:space="preserve">The compliance register identifies the lack of a breach procedure as a gap. A breach playbook should define how staff report suspected disclosure, who triages the incident, how access is contained, how evidence is preserved, how impact is assessed, who decides on required notifications and how corrective action is </w:t>
      </w:r>
      <w:r w:rsidRPr="009A4008">
        <w:rPr>
          <w:rFonts w:ascii="Times New Roman" w:hAnsi="Times New Roman" w:cs="Times New Roman"/>
          <w:sz w:val="22"/>
          <w:szCs w:val="22"/>
        </w:rPr>
        <w:lastRenderedPageBreak/>
        <w:t>recorded. Any notification deadline must be verified against applicable law and organizational policy. The final audit report should include evidence of the approved procedure and its owner.</w:t>
      </w:r>
    </w:p>
    <w:p w14:paraId="7A955B23"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8.8 Retention and lifecycle automation</w:t>
      </w:r>
    </w:p>
    <w:p w14:paraId="4ED65615"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brief defines a 10-year clinical retention rule and shows a scheduled event named ev_archive_old_visits. It explicitly notes that the demonstration window is shortened and production retention is 10 years. The sample event uses a 10-day interval for demonstration, so it must not be represented as a production retention configuration. Test automation against synthetic or isolated test records, confirm the status transition, and document archive and authorized purge controls before considering production use.</w:t>
      </w:r>
    </w:p>
    <w:p w14:paraId="0FB153F3" w14:textId="77777777" w:rsidR="009A4008" w:rsidRPr="009A4008" w:rsidRDefault="009A4008" w:rsidP="009A4008">
      <w:pPr>
        <w:pStyle w:val="Heading1"/>
        <w:rPr>
          <w:rFonts w:ascii="Times New Roman" w:hAnsi="Times New Roman" w:cs="Times New Roman"/>
          <w:sz w:val="22"/>
          <w:szCs w:val="22"/>
        </w:rPr>
      </w:pPr>
      <w:r w:rsidRPr="009A4008">
        <w:rPr>
          <w:rFonts w:ascii="Times New Roman" w:hAnsi="Times New Roman" w:cs="Times New Roman"/>
          <w:sz w:val="22"/>
          <w:szCs w:val="22"/>
        </w:rPr>
        <w:t>9. Analytics and Ministry of Health Reporting</w:t>
      </w:r>
    </w:p>
    <w:p w14:paraId="20EE4F78"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9.1 Reporting requirements</w:t>
      </w:r>
    </w:p>
    <w:p w14:paraId="716B7F4A"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Ministry of Health report should consolidate outpatient attendance, leading diagnoses and revenue by service, and be ready by the fifth day of each month. The warehouse is intended to reduce repeated manual extraction and make figures consistent across the four clinics. The SQL query pack should be the source of each dashboard chart so that the report can be reproduced and checked.</w:t>
      </w:r>
    </w:p>
    <w:p w14:paraId="43FF2BC6"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9.2 Required analysis</w:t>
      </w:r>
    </w:p>
    <w:tbl>
      <w:tblPr>
        <w:tblStyle w:val="TableGrid"/>
        <w:tblW w:w="0" w:type="auto"/>
        <w:jc w:val="center"/>
        <w:tblLook w:val="04A0" w:firstRow="1" w:lastRow="0" w:firstColumn="1" w:lastColumn="0" w:noHBand="0" w:noVBand="1"/>
      </w:tblPr>
      <w:tblGrid>
        <w:gridCol w:w="3212"/>
        <w:gridCol w:w="3213"/>
        <w:gridCol w:w="3213"/>
      </w:tblGrid>
      <w:tr w:rsidR="009A4008" w:rsidRPr="009A4008" w14:paraId="3FD0E52E" w14:textId="77777777" w:rsidTr="00B6247C">
        <w:trPr>
          <w:cantSplit/>
          <w:jc w:val="center"/>
        </w:trPr>
        <w:tc>
          <w:tcPr>
            <w:tcW w:w="3216" w:type="dxa"/>
            <w:shd w:val="clear" w:color="auto" w:fill="EDEDED"/>
            <w:vAlign w:val="center"/>
          </w:tcPr>
          <w:p w14:paraId="2F3F285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Analysis</w:t>
            </w:r>
          </w:p>
        </w:tc>
        <w:tc>
          <w:tcPr>
            <w:tcW w:w="3216" w:type="dxa"/>
            <w:shd w:val="clear" w:color="auto" w:fill="EDEDED"/>
            <w:vAlign w:val="center"/>
          </w:tcPr>
          <w:p w14:paraId="24FC650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Question answered</w:t>
            </w:r>
          </w:p>
        </w:tc>
        <w:tc>
          <w:tcPr>
            <w:tcW w:w="3216" w:type="dxa"/>
            <w:shd w:val="clear" w:color="auto" w:fill="EDEDED"/>
            <w:vAlign w:val="center"/>
          </w:tcPr>
          <w:p w14:paraId="01BCB74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Required implementation check</w:t>
            </w:r>
          </w:p>
        </w:tc>
      </w:tr>
      <w:tr w:rsidR="009A4008" w:rsidRPr="009A4008" w14:paraId="7758654E" w14:textId="77777777" w:rsidTr="00B6247C">
        <w:trPr>
          <w:cantSplit/>
          <w:jc w:val="center"/>
        </w:trPr>
        <w:tc>
          <w:tcPr>
            <w:tcW w:w="3216" w:type="dxa"/>
            <w:vAlign w:val="center"/>
          </w:tcPr>
          <w:p w14:paraId="4BF4F83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Monthly attendance by clinic and district</w:t>
            </w:r>
          </w:p>
        </w:tc>
        <w:tc>
          <w:tcPr>
            <w:tcW w:w="3216" w:type="dxa"/>
            <w:vAlign w:val="center"/>
          </w:tcPr>
          <w:p w14:paraId="0FE44DE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How many visits occurred at each clinic and district each month?</w:t>
            </w:r>
          </w:p>
        </w:tc>
        <w:tc>
          <w:tcPr>
            <w:tcW w:w="3216" w:type="dxa"/>
            <w:vAlign w:val="center"/>
          </w:tcPr>
          <w:p w14:paraId="448D2F32"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Check date filters, roll-ups and the definition of OPD attendance.</w:t>
            </w:r>
          </w:p>
        </w:tc>
      </w:tr>
      <w:tr w:rsidR="009A4008" w:rsidRPr="009A4008" w14:paraId="7FFDF566" w14:textId="77777777" w:rsidTr="00B6247C">
        <w:trPr>
          <w:cantSplit/>
          <w:jc w:val="center"/>
        </w:trPr>
        <w:tc>
          <w:tcPr>
            <w:tcW w:w="3216" w:type="dxa"/>
            <w:vAlign w:val="center"/>
          </w:tcPr>
          <w:p w14:paraId="153360D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Leading diagnoses</w:t>
            </w:r>
          </w:p>
        </w:tc>
        <w:tc>
          <w:tcPr>
            <w:tcW w:w="3216" w:type="dxa"/>
            <w:vAlign w:val="center"/>
          </w:tcPr>
          <w:p w14:paraId="6F17DE1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Which diagnosis codes account for the largest number of visits?</w:t>
            </w:r>
          </w:p>
        </w:tc>
        <w:tc>
          <w:tcPr>
            <w:tcW w:w="3216" w:type="dxa"/>
            <w:vAlign w:val="center"/>
          </w:tcPr>
          <w:p w14:paraId="01B10AF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Use a clearly stated top-10 or top-5 limit consistent with the report requirement.</w:t>
            </w:r>
          </w:p>
        </w:tc>
      </w:tr>
      <w:tr w:rsidR="009A4008" w:rsidRPr="009A4008" w14:paraId="5DD644CA" w14:textId="77777777" w:rsidTr="00B6247C">
        <w:trPr>
          <w:cantSplit/>
          <w:jc w:val="center"/>
        </w:trPr>
        <w:tc>
          <w:tcPr>
            <w:tcW w:w="3216" w:type="dxa"/>
            <w:vAlign w:val="center"/>
          </w:tcPr>
          <w:p w14:paraId="4CBC4431"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Revenue by service</w:t>
            </w:r>
          </w:p>
        </w:tc>
        <w:tc>
          <w:tcPr>
            <w:tcW w:w="3216" w:type="dxa"/>
            <w:vAlign w:val="center"/>
          </w:tcPr>
          <w:p w14:paraId="6D90D93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How much revenue was recorded for consultation, laboratory, medication and other services?</w:t>
            </w:r>
          </w:p>
        </w:tc>
        <w:tc>
          <w:tcPr>
            <w:tcW w:w="3216" w:type="dxa"/>
            <w:vAlign w:val="center"/>
          </w:tcPr>
          <w:p w14:paraId="68E96BB7"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Use actual billing service values and avoid double-counting visit-level totals.</w:t>
            </w:r>
          </w:p>
        </w:tc>
      </w:tr>
      <w:tr w:rsidR="009A4008" w:rsidRPr="009A4008" w14:paraId="484E2968" w14:textId="77777777" w:rsidTr="00B6247C">
        <w:trPr>
          <w:cantSplit/>
          <w:jc w:val="center"/>
        </w:trPr>
        <w:tc>
          <w:tcPr>
            <w:tcW w:w="3216" w:type="dxa"/>
            <w:vAlign w:val="center"/>
          </w:tcPr>
          <w:p w14:paraId="0019D62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Payment-mode mix</w:t>
            </w:r>
          </w:p>
        </w:tc>
        <w:tc>
          <w:tcPr>
            <w:tcW w:w="3216" w:type="dxa"/>
            <w:vAlign w:val="center"/>
          </w:tcPr>
          <w:p w14:paraId="7A391E5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How is revenue distributed across cash, mobile money and insurance?</w:t>
            </w:r>
          </w:p>
        </w:tc>
        <w:tc>
          <w:tcPr>
            <w:tcW w:w="3216" w:type="dxa"/>
            <w:vAlign w:val="center"/>
          </w:tcPr>
          <w:p w14:paraId="7C4D9B5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Retain payment_mode in the fact table or join it from an appropriate source; do not use a hard-coded placeholder.</w:t>
            </w:r>
          </w:p>
        </w:tc>
      </w:tr>
      <w:tr w:rsidR="009A4008" w:rsidRPr="009A4008" w14:paraId="480D4BEC" w14:textId="77777777" w:rsidTr="00B6247C">
        <w:trPr>
          <w:cantSplit/>
          <w:jc w:val="center"/>
        </w:trPr>
        <w:tc>
          <w:tcPr>
            <w:tcW w:w="3216" w:type="dxa"/>
            <w:vAlign w:val="center"/>
          </w:tcPr>
          <w:p w14:paraId="799766E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Three-month moving average</w:t>
            </w:r>
          </w:p>
        </w:tc>
        <w:tc>
          <w:tcPr>
            <w:tcW w:w="3216" w:type="dxa"/>
            <w:vAlign w:val="center"/>
          </w:tcPr>
          <w:p w14:paraId="405389E1"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How does monthly attendance trend over time?</w:t>
            </w:r>
          </w:p>
        </w:tc>
        <w:tc>
          <w:tcPr>
            <w:tcW w:w="3216" w:type="dxa"/>
            <w:vAlign w:val="center"/>
          </w:tcPr>
          <w:p w14:paraId="5FDD4E2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Aggregate at month level first, then calculate the moving average.</w:t>
            </w:r>
          </w:p>
        </w:tc>
      </w:tr>
      <w:tr w:rsidR="009A4008" w:rsidRPr="009A4008" w14:paraId="68B48692" w14:textId="77777777" w:rsidTr="00B6247C">
        <w:trPr>
          <w:cantSplit/>
          <w:jc w:val="center"/>
        </w:trPr>
        <w:tc>
          <w:tcPr>
            <w:tcW w:w="3216" w:type="dxa"/>
            <w:vAlign w:val="center"/>
          </w:tcPr>
          <w:p w14:paraId="4126775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Re-attendance within 30 days</w:t>
            </w:r>
          </w:p>
        </w:tc>
        <w:tc>
          <w:tcPr>
            <w:tcW w:w="3216" w:type="dxa"/>
            <w:vAlign w:val="center"/>
          </w:tcPr>
          <w:p w14:paraId="7BBC75C7"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What proportion of eligible patients returned within 30 days?</w:t>
            </w:r>
          </w:p>
        </w:tc>
        <w:tc>
          <w:tcPr>
            <w:tcW w:w="3216" w:type="dxa"/>
            <w:vAlign w:val="center"/>
          </w:tcPr>
          <w:p w14:paraId="07FF503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Define the denominator clearly and test the window-function query.</w:t>
            </w:r>
          </w:p>
        </w:tc>
      </w:tr>
    </w:tbl>
    <w:p w14:paraId="709B8B44" w14:textId="77777777" w:rsidR="009A4008" w:rsidRPr="009A4008" w:rsidRDefault="009A4008" w:rsidP="009A4008">
      <w:pPr>
        <w:rPr>
          <w:rFonts w:ascii="Times New Roman" w:hAnsi="Times New Roman" w:cs="Times New Roman"/>
          <w:sz w:val="22"/>
          <w:szCs w:val="22"/>
        </w:rPr>
      </w:pPr>
    </w:p>
    <w:p w14:paraId="1A3AB60D"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9.3 Dashboard and management finding</w:t>
      </w:r>
    </w:p>
    <w:p w14:paraId="5966DE6C"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project requires a dashboard chart for each query in Power BI or Tableau and a one-page management finding. Each chart should have a clear title, date range, measure, source and short interpretation. The management finding should state what the data shows, what operational decision it may support and any limitations in the data. Avoid interpreting a small or synthetic sample as a network-wide clinical trend.</w:t>
      </w:r>
    </w:p>
    <w:p w14:paraId="5A6FBCEF"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brief's sample SQL contains incomplete expressions and placeholder logic in several places, including aggregate functions, aliases and the payment-mode example. The queries must be corrected and tested against the implemented schema. Report only results generated by the actual database, and ensure that the figures shown in the dashboard reconcile to the SQL output.</w:t>
      </w:r>
    </w:p>
    <w:p w14:paraId="0BB005A7" w14:textId="77777777" w:rsidR="009A4008" w:rsidRPr="009A4008" w:rsidRDefault="009A4008" w:rsidP="009A4008">
      <w:pPr>
        <w:pStyle w:val="Heading1"/>
        <w:rPr>
          <w:rFonts w:ascii="Times New Roman" w:hAnsi="Times New Roman" w:cs="Times New Roman"/>
          <w:sz w:val="22"/>
          <w:szCs w:val="22"/>
        </w:rPr>
      </w:pPr>
      <w:r w:rsidRPr="009A4008">
        <w:rPr>
          <w:rFonts w:ascii="Times New Roman" w:hAnsi="Times New Roman" w:cs="Times New Roman"/>
          <w:sz w:val="22"/>
          <w:szCs w:val="22"/>
        </w:rPr>
        <w:lastRenderedPageBreak/>
        <w:t>10. Implementation Roadmap and Future Development</w:t>
      </w:r>
    </w:p>
    <w:p w14:paraId="7AD58F90"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10.1 Implementation sequence</w:t>
      </w:r>
    </w:p>
    <w:tbl>
      <w:tblPr>
        <w:tblStyle w:val="TableGrid"/>
        <w:tblW w:w="0" w:type="auto"/>
        <w:jc w:val="center"/>
        <w:tblLook w:val="04A0" w:firstRow="1" w:lastRow="0" w:firstColumn="1" w:lastColumn="0" w:noHBand="0" w:noVBand="1"/>
      </w:tblPr>
      <w:tblGrid>
        <w:gridCol w:w="3212"/>
        <w:gridCol w:w="3213"/>
        <w:gridCol w:w="3213"/>
      </w:tblGrid>
      <w:tr w:rsidR="009A4008" w:rsidRPr="009A4008" w14:paraId="3821B770" w14:textId="77777777" w:rsidTr="00B6247C">
        <w:trPr>
          <w:cantSplit/>
          <w:jc w:val="center"/>
        </w:trPr>
        <w:tc>
          <w:tcPr>
            <w:tcW w:w="3216" w:type="dxa"/>
            <w:shd w:val="clear" w:color="auto" w:fill="EDEDED"/>
            <w:vAlign w:val="center"/>
          </w:tcPr>
          <w:p w14:paraId="6DF1747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Stage</w:t>
            </w:r>
          </w:p>
        </w:tc>
        <w:tc>
          <w:tcPr>
            <w:tcW w:w="3216" w:type="dxa"/>
            <w:shd w:val="clear" w:color="auto" w:fill="EDEDED"/>
            <w:vAlign w:val="center"/>
          </w:tcPr>
          <w:p w14:paraId="630E858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Work</w:t>
            </w:r>
          </w:p>
        </w:tc>
        <w:tc>
          <w:tcPr>
            <w:tcW w:w="3216" w:type="dxa"/>
            <w:shd w:val="clear" w:color="auto" w:fill="EDEDED"/>
            <w:vAlign w:val="center"/>
          </w:tcPr>
          <w:p w14:paraId="3F26373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Exit evidence</w:t>
            </w:r>
          </w:p>
        </w:tc>
      </w:tr>
      <w:tr w:rsidR="009A4008" w:rsidRPr="009A4008" w14:paraId="177F834B" w14:textId="77777777" w:rsidTr="00B6247C">
        <w:trPr>
          <w:cantSplit/>
          <w:jc w:val="center"/>
        </w:trPr>
        <w:tc>
          <w:tcPr>
            <w:tcW w:w="3216" w:type="dxa"/>
            <w:vAlign w:val="center"/>
          </w:tcPr>
          <w:p w14:paraId="008717D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1. Foundation</w:t>
            </w:r>
          </w:p>
        </w:tc>
        <w:tc>
          <w:tcPr>
            <w:tcW w:w="3216" w:type="dxa"/>
            <w:vAlign w:val="center"/>
          </w:tcPr>
          <w:p w14:paraId="59AA1F8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Set up MySQL 8, Workbench, repository, source inventory and lifecycle policies.</w:t>
            </w:r>
          </w:p>
        </w:tc>
        <w:tc>
          <w:tcPr>
            <w:tcW w:w="3216" w:type="dxa"/>
            <w:vAlign w:val="center"/>
          </w:tcPr>
          <w:p w14:paraId="6E88F72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Connection test, repository structure, inventory and lifecycle maps.</w:t>
            </w:r>
          </w:p>
        </w:tc>
      </w:tr>
      <w:tr w:rsidR="009A4008" w:rsidRPr="009A4008" w14:paraId="2A67F3FC" w14:textId="77777777" w:rsidTr="00B6247C">
        <w:trPr>
          <w:cantSplit/>
          <w:jc w:val="center"/>
        </w:trPr>
        <w:tc>
          <w:tcPr>
            <w:tcW w:w="3216" w:type="dxa"/>
            <w:vAlign w:val="center"/>
          </w:tcPr>
          <w:p w14:paraId="11DC9729"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2. Governance and schema</w:t>
            </w:r>
          </w:p>
        </w:tc>
        <w:tc>
          <w:tcPr>
            <w:tcW w:w="3216" w:type="dxa"/>
            <w:vAlign w:val="center"/>
          </w:tcPr>
          <w:p w14:paraId="569FBB3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Create governance registers, core relational tables, constraints and source staging.</w:t>
            </w:r>
          </w:p>
        </w:tc>
        <w:tc>
          <w:tcPr>
            <w:tcW w:w="3216" w:type="dxa"/>
            <w:vAlign w:val="center"/>
          </w:tcPr>
          <w:p w14:paraId="48DEE79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Successful schema build, ERD and referential-integrity checks.</w:t>
            </w:r>
          </w:p>
        </w:tc>
      </w:tr>
      <w:tr w:rsidR="009A4008" w:rsidRPr="009A4008" w14:paraId="43068CBE" w14:textId="77777777" w:rsidTr="00B6247C">
        <w:trPr>
          <w:cantSplit/>
          <w:jc w:val="center"/>
        </w:trPr>
        <w:tc>
          <w:tcPr>
            <w:tcW w:w="3216" w:type="dxa"/>
            <w:vAlign w:val="center"/>
          </w:tcPr>
          <w:p w14:paraId="7107D9B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3. Data quality and MDM</w:t>
            </w:r>
          </w:p>
        </w:tc>
        <w:tc>
          <w:tcPr>
            <w:tcW w:w="3216" w:type="dxa"/>
            <w:vAlign w:val="center"/>
          </w:tcPr>
          <w:p w14:paraId="55394E00"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Profile and clean source data, normalize telephone values, create golden records and review queue.</w:t>
            </w:r>
          </w:p>
        </w:tc>
        <w:tc>
          <w:tcPr>
            <w:tcW w:w="3216" w:type="dxa"/>
            <w:vAlign w:val="center"/>
          </w:tcPr>
          <w:p w14:paraId="12723922"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Before-and-after metrics, crosswalk query and steward-review examples.</w:t>
            </w:r>
          </w:p>
        </w:tc>
      </w:tr>
      <w:tr w:rsidR="009A4008" w:rsidRPr="009A4008" w14:paraId="78DE8B72" w14:textId="77777777" w:rsidTr="00B6247C">
        <w:trPr>
          <w:cantSplit/>
          <w:jc w:val="center"/>
        </w:trPr>
        <w:tc>
          <w:tcPr>
            <w:tcW w:w="3216" w:type="dxa"/>
            <w:vAlign w:val="center"/>
          </w:tcPr>
          <w:p w14:paraId="6D52221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4. Warehouse and metadata</w:t>
            </w:r>
          </w:p>
        </w:tc>
        <w:tc>
          <w:tcPr>
            <w:tcW w:w="3216" w:type="dxa"/>
            <w:vAlign w:val="center"/>
          </w:tcPr>
          <w:p w14:paraId="02F3FBF2"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Populate dimensions and fact table; document dictionary, glossary, lineage and ETL.</w:t>
            </w:r>
          </w:p>
        </w:tc>
        <w:tc>
          <w:tcPr>
            <w:tcW w:w="3216" w:type="dxa"/>
            <w:vAlign w:val="center"/>
          </w:tcPr>
          <w:p w14:paraId="65152FF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ETL workflow, warehouse row counts and catalog export.</w:t>
            </w:r>
          </w:p>
        </w:tc>
      </w:tr>
      <w:tr w:rsidR="009A4008" w:rsidRPr="009A4008" w14:paraId="1DBF91DC" w14:textId="77777777" w:rsidTr="00B6247C">
        <w:trPr>
          <w:cantSplit/>
          <w:jc w:val="center"/>
        </w:trPr>
        <w:tc>
          <w:tcPr>
            <w:tcW w:w="3216" w:type="dxa"/>
            <w:vAlign w:val="center"/>
          </w:tcPr>
          <w:p w14:paraId="0C988E67"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5. Security and reporting</w:t>
            </w:r>
          </w:p>
        </w:tc>
        <w:tc>
          <w:tcPr>
            <w:tcW w:w="3216" w:type="dxa"/>
            <w:vAlign w:val="center"/>
          </w:tcPr>
          <w:p w14:paraId="539BADC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Apply role permissions, masking, audit triggers and billing protection; create SQL reports and dashboard.</w:t>
            </w:r>
          </w:p>
        </w:tc>
        <w:tc>
          <w:tcPr>
            <w:tcW w:w="3216" w:type="dxa"/>
            <w:vAlign w:val="center"/>
          </w:tcPr>
          <w:p w14:paraId="16678E02"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Access tests, trigger tests, compliance evidence and dashboard outputs.</w:t>
            </w:r>
          </w:p>
        </w:tc>
      </w:tr>
      <w:tr w:rsidR="009A4008" w:rsidRPr="009A4008" w14:paraId="3F3C0FC0" w14:textId="77777777" w:rsidTr="00B6247C">
        <w:trPr>
          <w:cantSplit/>
          <w:jc w:val="center"/>
        </w:trPr>
        <w:tc>
          <w:tcPr>
            <w:tcW w:w="3216" w:type="dxa"/>
            <w:vAlign w:val="center"/>
          </w:tcPr>
          <w:p w14:paraId="594B6210"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6. Automation and final review</w:t>
            </w:r>
          </w:p>
        </w:tc>
        <w:tc>
          <w:tcPr>
            <w:tcW w:w="3216" w:type="dxa"/>
            <w:vAlign w:val="center"/>
          </w:tcPr>
          <w:p w14:paraId="3BFDE20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Enable scheduled quality logging and lifecycle demonstration; compile strategy and rehearse presentation.</w:t>
            </w:r>
          </w:p>
        </w:tc>
        <w:tc>
          <w:tcPr>
            <w:tcW w:w="3216" w:type="dxa"/>
            <w:vAlign w:val="center"/>
          </w:tcPr>
          <w:p w14:paraId="15D59ED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Event logs, completed evidence checklist, final report and 15-minute demonstration.</w:t>
            </w:r>
          </w:p>
        </w:tc>
      </w:tr>
    </w:tbl>
    <w:p w14:paraId="7E350A91" w14:textId="77777777" w:rsidR="009A4008" w:rsidRPr="009A4008" w:rsidRDefault="009A4008" w:rsidP="009A4008">
      <w:pPr>
        <w:rPr>
          <w:rFonts w:ascii="Times New Roman" w:hAnsi="Times New Roman" w:cs="Times New Roman"/>
          <w:sz w:val="22"/>
          <w:szCs w:val="22"/>
        </w:rPr>
      </w:pPr>
    </w:p>
    <w:p w14:paraId="53E36A5D"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10.2 Cloud migration</w:t>
      </w:r>
    </w:p>
    <w:p w14:paraId="56745E35"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A future cloud option could use a managed MySQL service to reduce the burden of database patching, backups and availability management. The decision should compare recurring cost, data residency and contractual requirements, connectivity at the clinics, recovery objectives, integration needs, staff capacity and vendor dependence. A managed service does not remove MediLink's responsibility for access control, data quality, privacy, retention and governance. The group should present this as a roadmap option, not as an implemented feature.</w:t>
      </w:r>
    </w:p>
    <w:p w14:paraId="494EEAB9"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10.3 Data mesh opportunities</w:t>
      </w:r>
    </w:p>
    <w:p w14:paraId="738FA261"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If the network grows, each clinic could be treated as a domain responsible for the quality and meaning of its operational data. This would not remove the need for shared patient identity rules, common definitions and central privacy controls. Any domain approach should preserve the central MDM rules and require new sources to complete catalog registration before their data is trusted.</w:t>
      </w:r>
    </w:p>
    <w:p w14:paraId="68556802"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10.4 Artificial intelligence candidates</w:t>
      </w:r>
    </w:p>
    <w:p w14:paraId="2F840FD6"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brief identifies automated diagnosis coding as a possible future use. It should remain exploratory until the network has reliable diagnosis data, an agreed coding standard, appropriate clinical review and a process for measuring errors. Any model should assist authorized staff rather than silently replace clinical judgment. Patient information should not be sent to external services without a documented lawful basis, security review and approved data-processing arrangements.</w:t>
      </w:r>
    </w:p>
    <w:p w14:paraId="786048EC" w14:textId="77777777" w:rsidR="009A4008" w:rsidRPr="009A4008" w:rsidRDefault="009A4008" w:rsidP="009A4008">
      <w:pPr>
        <w:pStyle w:val="Heading1"/>
        <w:rPr>
          <w:rFonts w:ascii="Times New Roman" w:hAnsi="Times New Roman" w:cs="Times New Roman"/>
          <w:sz w:val="22"/>
          <w:szCs w:val="22"/>
        </w:rPr>
      </w:pPr>
      <w:r w:rsidRPr="009A4008">
        <w:rPr>
          <w:rFonts w:ascii="Times New Roman" w:hAnsi="Times New Roman" w:cs="Times New Roman"/>
          <w:sz w:val="22"/>
          <w:szCs w:val="22"/>
        </w:rPr>
        <w:lastRenderedPageBreak/>
        <w:t>11. Operations, Monitoring and Risk Management</w:t>
      </w:r>
    </w:p>
    <w:p w14:paraId="20DA912E"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11.1 Routine operation</w:t>
      </w:r>
    </w:p>
    <w:p w14:paraId="7C004688" w14:textId="77777777" w:rsidR="009A4008" w:rsidRPr="009A4008" w:rsidRDefault="009A4008" w:rsidP="009A4008">
      <w:pPr>
        <w:pStyle w:val="ListBullet"/>
        <w:spacing w:after="60"/>
        <w:rPr>
          <w:rFonts w:cs="Times New Roman"/>
        </w:rPr>
      </w:pPr>
      <w:r w:rsidRPr="009A4008">
        <w:rPr>
          <w:rFonts w:cs="Times New Roman"/>
        </w:rPr>
        <w:t>Review the weekly data quality scorecard and assign actions for failed checks.</w:t>
      </w:r>
    </w:p>
    <w:p w14:paraId="319ED1C8" w14:textId="77777777" w:rsidR="009A4008" w:rsidRPr="009A4008" w:rsidRDefault="009A4008" w:rsidP="009A4008">
      <w:pPr>
        <w:pStyle w:val="ListBullet"/>
        <w:spacing w:after="60"/>
        <w:rPr>
          <w:rFonts w:cs="Times New Roman"/>
        </w:rPr>
      </w:pPr>
      <w:r w:rsidRPr="009A4008">
        <w:rPr>
          <w:rFonts w:cs="Times New Roman"/>
        </w:rPr>
        <w:t>Review unresolved MDM queue items and confirm that identity conflicts are resolved by an authorized steward.</w:t>
      </w:r>
    </w:p>
    <w:p w14:paraId="34E2C198" w14:textId="77777777" w:rsidR="009A4008" w:rsidRPr="009A4008" w:rsidRDefault="009A4008" w:rsidP="009A4008">
      <w:pPr>
        <w:pStyle w:val="ListBullet"/>
        <w:spacing w:after="60"/>
        <w:rPr>
          <w:rFonts w:cs="Times New Roman"/>
        </w:rPr>
      </w:pPr>
      <w:r w:rsidRPr="009A4008">
        <w:rPr>
          <w:rFonts w:cs="Times New Roman"/>
        </w:rPr>
        <w:t>Check ETL row counts, rejected records and warehouse reconciliation before publishing monthly figures.</w:t>
      </w:r>
    </w:p>
    <w:p w14:paraId="7A29B92F" w14:textId="77777777" w:rsidR="009A4008" w:rsidRPr="009A4008" w:rsidRDefault="009A4008" w:rsidP="009A4008">
      <w:pPr>
        <w:pStyle w:val="ListBullet"/>
        <w:spacing w:after="60"/>
        <w:rPr>
          <w:rFonts w:cs="Times New Roman"/>
        </w:rPr>
      </w:pPr>
      <w:r w:rsidRPr="009A4008">
        <w:rPr>
          <w:rFonts w:cs="Times New Roman"/>
        </w:rPr>
        <w:t>Review database accounts and role assignments when staff responsibilities change.</w:t>
      </w:r>
    </w:p>
    <w:p w14:paraId="2DB23F87" w14:textId="77777777" w:rsidR="009A4008" w:rsidRPr="009A4008" w:rsidRDefault="009A4008" w:rsidP="009A4008">
      <w:pPr>
        <w:pStyle w:val="ListBullet"/>
        <w:spacing w:after="60"/>
        <w:rPr>
          <w:rFonts w:cs="Times New Roman"/>
        </w:rPr>
      </w:pPr>
      <w:r w:rsidRPr="009A4008">
        <w:rPr>
          <w:rFonts w:cs="Times New Roman"/>
        </w:rPr>
        <w:t>Check master_audit for unexpected changes and investigate anomalies.</w:t>
      </w:r>
    </w:p>
    <w:p w14:paraId="2A3BF6D6" w14:textId="77777777" w:rsidR="009A4008" w:rsidRPr="009A4008" w:rsidRDefault="009A4008" w:rsidP="009A4008">
      <w:pPr>
        <w:pStyle w:val="ListBullet"/>
        <w:spacing w:after="60"/>
        <w:rPr>
          <w:rFonts w:cs="Times New Roman"/>
        </w:rPr>
      </w:pPr>
      <w:r w:rsidRPr="009A4008">
        <w:rPr>
          <w:rFonts w:cs="Times New Roman"/>
        </w:rPr>
        <w:t>Confirm that scheduled events run, that event failures are visible and that logs are retained.</w:t>
      </w:r>
    </w:p>
    <w:p w14:paraId="59792C95" w14:textId="77777777" w:rsidR="009A4008" w:rsidRPr="009A4008" w:rsidRDefault="009A4008" w:rsidP="009A4008">
      <w:pPr>
        <w:pStyle w:val="ListBullet"/>
        <w:spacing w:after="60"/>
        <w:rPr>
          <w:rFonts w:cs="Times New Roman"/>
        </w:rPr>
      </w:pPr>
      <w:r w:rsidRPr="009A4008">
        <w:rPr>
          <w:rFonts w:cs="Times New Roman"/>
        </w:rPr>
        <w:t>Test backups and recovery procedures before relying on the platform for operational reporting.</w:t>
      </w:r>
    </w:p>
    <w:p w14:paraId="18B03CDA" w14:textId="77777777" w:rsidR="009A4008" w:rsidRPr="009A4008" w:rsidRDefault="009A4008" w:rsidP="009A4008">
      <w:pPr>
        <w:pStyle w:val="ListBullet"/>
        <w:spacing w:after="60"/>
        <w:rPr>
          <w:rFonts w:cs="Times New Roman"/>
        </w:rPr>
      </w:pPr>
      <w:r w:rsidRPr="009A4008">
        <w:rPr>
          <w:rFonts w:cs="Times New Roman"/>
        </w:rPr>
        <w:t>Review catalog entries when source definitions, schema fields or transformations change.</w:t>
      </w:r>
    </w:p>
    <w:p w14:paraId="3C1B402D" w14:textId="77777777" w:rsidR="009A4008" w:rsidRPr="009A4008" w:rsidRDefault="009A4008" w:rsidP="009A4008">
      <w:pPr>
        <w:pStyle w:val="Heading2"/>
        <w:rPr>
          <w:rFonts w:ascii="Times New Roman" w:hAnsi="Times New Roman" w:cs="Times New Roman"/>
          <w:sz w:val="22"/>
          <w:szCs w:val="22"/>
        </w:rPr>
      </w:pPr>
    </w:p>
    <w:p w14:paraId="7C79D509"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11.2 Key risks and mitigations</w:t>
      </w:r>
    </w:p>
    <w:tbl>
      <w:tblPr>
        <w:tblStyle w:val="TableGrid"/>
        <w:tblW w:w="0" w:type="auto"/>
        <w:jc w:val="center"/>
        <w:tblLook w:val="04A0" w:firstRow="1" w:lastRow="0" w:firstColumn="1" w:lastColumn="0" w:noHBand="0" w:noVBand="1"/>
      </w:tblPr>
      <w:tblGrid>
        <w:gridCol w:w="3213"/>
        <w:gridCol w:w="3213"/>
        <w:gridCol w:w="3212"/>
      </w:tblGrid>
      <w:tr w:rsidR="009A4008" w:rsidRPr="009A4008" w14:paraId="4D65C863" w14:textId="77777777" w:rsidTr="00B6247C">
        <w:trPr>
          <w:cantSplit/>
          <w:jc w:val="center"/>
        </w:trPr>
        <w:tc>
          <w:tcPr>
            <w:tcW w:w="3216" w:type="dxa"/>
            <w:shd w:val="clear" w:color="auto" w:fill="EDEDED"/>
            <w:vAlign w:val="center"/>
          </w:tcPr>
          <w:p w14:paraId="68EEC08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Risk</w:t>
            </w:r>
          </w:p>
        </w:tc>
        <w:tc>
          <w:tcPr>
            <w:tcW w:w="3216" w:type="dxa"/>
            <w:shd w:val="clear" w:color="auto" w:fill="EDEDED"/>
            <w:vAlign w:val="center"/>
          </w:tcPr>
          <w:p w14:paraId="2A5D5B2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Possible consequence</w:t>
            </w:r>
          </w:p>
        </w:tc>
        <w:tc>
          <w:tcPr>
            <w:tcW w:w="3216" w:type="dxa"/>
            <w:shd w:val="clear" w:color="auto" w:fill="EDEDED"/>
            <w:vAlign w:val="center"/>
          </w:tcPr>
          <w:p w14:paraId="5A7ECC0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Mitigation</w:t>
            </w:r>
          </w:p>
        </w:tc>
      </w:tr>
      <w:tr w:rsidR="009A4008" w:rsidRPr="009A4008" w14:paraId="7E868719" w14:textId="77777777" w:rsidTr="00B6247C">
        <w:trPr>
          <w:cantSplit/>
          <w:jc w:val="center"/>
        </w:trPr>
        <w:tc>
          <w:tcPr>
            <w:tcW w:w="3216" w:type="dxa"/>
            <w:vAlign w:val="center"/>
          </w:tcPr>
          <w:p w14:paraId="54C55F5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Incorrect patient merge</w:t>
            </w:r>
          </w:p>
        </w:tc>
        <w:tc>
          <w:tcPr>
            <w:tcW w:w="3216" w:type="dxa"/>
            <w:vAlign w:val="center"/>
          </w:tcPr>
          <w:p w14:paraId="32E89E72"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Clinical information is attributed to the wrong person.</w:t>
            </w:r>
          </w:p>
        </w:tc>
        <w:tc>
          <w:tcPr>
            <w:tcW w:w="3216" w:type="dxa"/>
            <w:vAlign w:val="center"/>
          </w:tcPr>
          <w:p w14:paraId="21135A9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Use normalized identifiers, avoid silent identity merges, retain crosswalks and require steward review for conflicts.</w:t>
            </w:r>
          </w:p>
        </w:tc>
      </w:tr>
      <w:tr w:rsidR="009A4008" w:rsidRPr="009A4008" w14:paraId="36682C8A" w14:textId="77777777" w:rsidTr="00B6247C">
        <w:trPr>
          <w:cantSplit/>
          <w:jc w:val="center"/>
        </w:trPr>
        <w:tc>
          <w:tcPr>
            <w:tcW w:w="3216" w:type="dxa"/>
            <w:vAlign w:val="center"/>
          </w:tcPr>
          <w:p w14:paraId="09F9D82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Invalid or shared telephone number</w:t>
            </w:r>
          </w:p>
        </w:tc>
        <w:tc>
          <w:tcPr>
            <w:tcW w:w="3216" w:type="dxa"/>
            <w:vAlign w:val="center"/>
          </w:tcPr>
          <w:p w14:paraId="50E5EC4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Failed matching or disclosure to the wrong recipient.</w:t>
            </w:r>
          </w:p>
        </w:tc>
        <w:tc>
          <w:tcPr>
            <w:tcW w:w="3216" w:type="dxa"/>
            <w:vAlign w:val="center"/>
          </w:tcPr>
          <w:p w14:paraId="1FA5CAF7"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Validate phone formats, flag ambiguous values and confirm contact details before SMS use.</w:t>
            </w:r>
          </w:p>
        </w:tc>
      </w:tr>
      <w:tr w:rsidR="009A4008" w:rsidRPr="009A4008" w14:paraId="54AE432B" w14:textId="77777777" w:rsidTr="00B6247C">
        <w:trPr>
          <w:cantSplit/>
          <w:jc w:val="center"/>
        </w:trPr>
        <w:tc>
          <w:tcPr>
            <w:tcW w:w="3216" w:type="dxa"/>
            <w:vAlign w:val="center"/>
          </w:tcPr>
          <w:p w14:paraId="5581768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Unauthorized access</w:t>
            </w:r>
          </w:p>
        </w:tc>
        <w:tc>
          <w:tcPr>
            <w:tcW w:w="3216" w:type="dxa"/>
            <w:vAlign w:val="center"/>
          </w:tcPr>
          <w:p w14:paraId="62AE3047"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Disclosure of sensitive personal or clinical data.</w:t>
            </w:r>
          </w:p>
        </w:tc>
        <w:tc>
          <w:tcPr>
            <w:tcW w:w="3216" w:type="dxa"/>
            <w:vAlign w:val="center"/>
          </w:tcPr>
          <w:p w14:paraId="4F7EF5F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Use least privilege, masked views, named accounts, access reviews and audit logs.</w:t>
            </w:r>
          </w:p>
        </w:tc>
      </w:tr>
      <w:tr w:rsidR="009A4008" w:rsidRPr="009A4008" w14:paraId="36D3EEBF" w14:textId="77777777" w:rsidTr="00B6247C">
        <w:trPr>
          <w:cantSplit/>
          <w:jc w:val="center"/>
        </w:trPr>
        <w:tc>
          <w:tcPr>
            <w:tcW w:w="3216" w:type="dxa"/>
            <w:vAlign w:val="center"/>
          </w:tcPr>
          <w:p w14:paraId="3C53A4E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Poor source metadata</w:t>
            </w:r>
          </w:p>
        </w:tc>
        <w:tc>
          <w:tcPr>
            <w:tcW w:w="3216" w:type="dxa"/>
            <w:vAlign w:val="center"/>
          </w:tcPr>
          <w:p w14:paraId="6FEB364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Unclear definitions and untraceable data quality issues.</w:t>
            </w:r>
          </w:p>
        </w:tc>
        <w:tc>
          <w:tcPr>
            <w:tcW w:w="3216" w:type="dxa"/>
            <w:vAlign w:val="center"/>
          </w:tcPr>
          <w:p w14:paraId="2D8DDFE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Require catalog registration and ownership before accepting a source as trusted.</w:t>
            </w:r>
          </w:p>
        </w:tc>
      </w:tr>
      <w:tr w:rsidR="009A4008" w:rsidRPr="009A4008" w14:paraId="7738C427" w14:textId="77777777" w:rsidTr="00B6247C">
        <w:trPr>
          <w:cantSplit/>
          <w:jc w:val="center"/>
        </w:trPr>
        <w:tc>
          <w:tcPr>
            <w:tcW w:w="3216" w:type="dxa"/>
            <w:vAlign w:val="center"/>
          </w:tcPr>
          <w:p w14:paraId="7B7AEDF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ETL failure or duplicate loads</w:t>
            </w:r>
          </w:p>
        </w:tc>
        <w:tc>
          <w:tcPr>
            <w:tcW w:w="3216" w:type="dxa"/>
            <w:vAlign w:val="center"/>
          </w:tcPr>
          <w:p w14:paraId="360777F1"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Missing or double-counted visits and revenue.</w:t>
            </w:r>
          </w:p>
        </w:tc>
        <w:tc>
          <w:tcPr>
            <w:tcW w:w="3216" w:type="dxa"/>
            <w:vAlign w:val="center"/>
          </w:tcPr>
          <w:p w14:paraId="57912B5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Use controlled load order, validation checks, reconciliation and repeatable load procedures.</w:t>
            </w:r>
          </w:p>
        </w:tc>
      </w:tr>
      <w:tr w:rsidR="009A4008" w:rsidRPr="009A4008" w14:paraId="0C7AE46C" w14:textId="77777777" w:rsidTr="00B6247C">
        <w:trPr>
          <w:cantSplit/>
          <w:jc w:val="center"/>
        </w:trPr>
        <w:tc>
          <w:tcPr>
            <w:tcW w:w="3216" w:type="dxa"/>
            <w:vAlign w:val="center"/>
          </w:tcPr>
          <w:p w14:paraId="57CA0FA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Incorrect revenue query</w:t>
            </w:r>
          </w:p>
        </w:tc>
        <w:tc>
          <w:tcPr>
            <w:tcW w:w="3216" w:type="dxa"/>
            <w:vAlign w:val="center"/>
          </w:tcPr>
          <w:p w14:paraId="7DC7E491"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Misleading financial reports.</w:t>
            </w:r>
          </w:p>
        </w:tc>
        <w:tc>
          <w:tcPr>
            <w:tcW w:w="3216" w:type="dxa"/>
            <w:vAlign w:val="center"/>
          </w:tcPr>
          <w:p w14:paraId="7898798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Use service-level billing data, test aggregates and reconcile totals to source billing.</w:t>
            </w:r>
          </w:p>
        </w:tc>
      </w:tr>
      <w:tr w:rsidR="009A4008" w:rsidRPr="009A4008" w14:paraId="4028F9E9" w14:textId="77777777" w:rsidTr="00B6247C">
        <w:trPr>
          <w:cantSplit/>
          <w:jc w:val="center"/>
        </w:trPr>
        <w:tc>
          <w:tcPr>
            <w:tcW w:w="3216" w:type="dxa"/>
            <w:vAlign w:val="center"/>
          </w:tcPr>
          <w:p w14:paraId="6199B582"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Retention job misconfiguration</w:t>
            </w:r>
          </w:p>
        </w:tc>
        <w:tc>
          <w:tcPr>
            <w:tcW w:w="3216" w:type="dxa"/>
            <w:vAlign w:val="center"/>
          </w:tcPr>
          <w:p w14:paraId="60D537D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Premature archiving or failure to retain records.</w:t>
            </w:r>
          </w:p>
        </w:tc>
        <w:tc>
          <w:tcPr>
            <w:tcW w:w="3216" w:type="dxa"/>
            <w:vAlign w:val="center"/>
          </w:tcPr>
          <w:p w14:paraId="6ECCC18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Separate test and production schedules, verify retention rules and require authorized review.</w:t>
            </w:r>
          </w:p>
        </w:tc>
      </w:tr>
      <w:tr w:rsidR="009A4008" w:rsidRPr="009A4008" w14:paraId="1AF94562" w14:textId="77777777" w:rsidTr="00B6247C">
        <w:trPr>
          <w:cantSplit/>
          <w:jc w:val="center"/>
        </w:trPr>
        <w:tc>
          <w:tcPr>
            <w:tcW w:w="3216" w:type="dxa"/>
            <w:vAlign w:val="center"/>
          </w:tcPr>
          <w:p w14:paraId="7F083D60"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Staff turnover</w:t>
            </w:r>
          </w:p>
        </w:tc>
        <w:tc>
          <w:tcPr>
            <w:tcW w:w="3216" w:type="dxa"/>
            <w:vAlign w:val="center"/>
          </w:tcPr>
          <w:p w14:paraId="7A2794F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Loss of undocumented knowledge and inconsistent decisions.</w:t>
            </w:r>
          </w:p>
        </w:tc>
        <w:tc>
          <w:tcPr>
            <w:tcW w:w="3216" w:type="dxa"/>
            <w:vAlign w:val="center"/>
          </w:tcPr>
          <w:p w14:paraId="5B8BBDB2"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Maintain glossary, lineage, governance roles and a documented handover process.</w:t>
            </w:r>
          </w:p>
        </w:tc>
      </w:tr>
      <w:tr w:rsidR="009A4008" w:rsidRPr="009A4008" w14:paraId="3FF6A5C3" w14:textId="77777777" w:rsidTr="00B6247C">
        <w:trPr>
          <w:cantSplit/>
          <w:jc w:val="center"/>
        </w:trPr>
        <w:tc>
          <w:tcPr>
            <w:tcW w:w="3216" w:type="dxa"/>
            <w:vAlign w:val="center"/>
          </w:tcPr>
          <w:p w14:paraId="67E793C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Growth in data volume</w:t>
            </w:r>
          </w:p>
        </w:tc>
        <w:tc>
          <w:tcPr>
            <w:tcW w:w="3216" w:type="dxa"/>
            <w:vAlign w:val="center"/>
          </w:tcPr>
          <w:p w14:paraId="3A1CDE3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Slower staging, matching and reports.</w:t>
            </w:r>
          </w:p>
        </w:tc>
        <w:tc>
          <w:tcPr>
            <w:tcW w:w="3216" w:type="dxa"/>
            <w:vAlign w:val="center"/>
          </w:tcPr>
          <w:p w14:paraId="00866C5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Measure performance, index join and filter fields, review load strategy and assess scaling needs.</w:t>
            </w:r>
          </w:p>
        </w:tc>
      </w:tr>
    </w:tbl>
    <w:p w14:paraId="7441FC1C" w14:textId="77777777" w:rsidR="009A4008" w:rsidRPr="009A4008" w:rsidRDefault="009A4008" w:rsidP="009A4008">
      <w:pPr>
        <w:rPr>
          <w:rFonts w:ascii="Times New Roman" w:hAnsi="Times New Roman" w:cs="Times New Roman"/>
          <w:sz w:val="22"/>
          <w:szCs w:val="22"/>
        </w:rPr>
      </w:pPr>
    </w:p>
    <w:p w14:paraId="2271B469"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lastRenderedPageBreak/>
        <w:t>11.3 Performance and scale</w:t>
      </w:r>
    </w:p>
    <w:p w14:paraId="7F22EBE5"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If volume increases substantially, the first bottleneck should be identified from measurement rather than assumed. Staging loads may be affected by validation and transformation costs, MDM by matching and review volume, and reporting by joins and aggregation. The technical response may include indexing, batch processing, incremental ETL, query optimization, archiving, and capacity planning. The group should identify likely bottlenecks from test results and state what additional evidence would be needed to confirm them.</w:t>
      </w:r>
    </w:p>
    <w:p w14:paraId="79C0A287" w14:textId="77777777" w:rsidR="009A4008" w:rsidRPr="009A4008" w:rsidRDefault="009A4008" w:rsidP="009A4008">
      <w:pPr>
        <w:pStyle w:val="Heading1"/>
        <w:rPr>
          <w:rFonts w:ascii="Times New Roman" w:hAnsi="Times New Roman" w:cs="Times New Roman"/>
          <w:sz w:val="22"/>
          <w:szCs w:val="22"/>
        </w:rPr>
      </w:pPr>
      <w:r w:rsidRPr="009A4008">
        <w:rPr>
          <w:rFonts w:ascii="Times New Roman" w:hAnsi="Times New Roman" w:cs="Times New Roman"/>
          <w:sz w:val="22"/>
          <w:szCs w:val="22"/>
        </w:rPr>
        <w:t>12. Conclusion</w:t>
      </w:r>
    </w:p>
    <w:p w14:paraId="6E281C70"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MediLink project addresses a connected set of data problems: duplicate patient identities, inconsistent source values, unclear accountability, privacy exposure and slow reporting. The proposed platform brings these concerns into one lifecycle. Governance establishes ownership and policies; staging and data quality checks standardize incoming records; MDM establishes a traceable golden record; the warehouse supports consistent reporting; metadata explains meaning and lineage; and security and automation controls reduce the chance that the rules depend only on staff remembering them.</w:t>
      </w:r>
    </w:p>
    <w:p w14:paraId="13D7D739" w14:textId="77777777" w:rsidR="009A4008" w:rsidRPr="009A4008" w:rsidRDefault="009A4008" w:rsidP="009A4008">
      <w:pPr>
        <w:pStyle w:val="Heading1"/>
        <w:rPr>
          <w:rFonts w:ascii="Times New Roman" w:hAnsi="Times New Roman" w:cs="Times New Roman"/>
          <w:sz w:val="22"/>
          <w:szCs w:val="22"/>
        </w:rPr>
      </w:pPr>
      <w:r w:rsidRPr="009A4008">
        <w:rPr>
          <w:rFonts w:ascii="Times New Roman" w:hAnsi="Times New Roman" w:cs="Times New Roman"/>
          <w:sz w:val="22"/>
          <w:szCs w:val="22"/>
        </w:rPr>
        <w:t>Appendix A. Database Objects Referenced in the Design</w:t>
      </w:r>
    </w:p>
    <w:p w14:paraId="5A6853C9"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project brief contains the following principal database objects. The list summarizes their intended purpose; it is not confirmation that every object has been successfully created in the current environment.</w:t>
      </w:r>
    </w:p>
    <w:tbl>
      <w:tblPr>
        <w:tblStyle w:val="TableGrid"/>
        <w:tblW w:w="0" w:type="auto"/>
        <w:jc w:val="center"/>
        <w:tblLook w:val="04A0" w:firstRow="1" w:lastRow="0" w:firstColumn="1" w:lastColumn="0" w:noHBand="0" w:noVBand="1"/>
      </w:tblPr>
      <w:tblGrid>
        <w:gridCol w:w="3213"/>
        <w:gridCol w:w="3212"/>
        <w:gridCol w:w="3213"/>
      </w:tblGrid>
      <w:tr w:rsidR="009A4008" w:rsidRPr="009A4008" w14:paraId="338D545F" w14:textId="77777777" w:rsidTr="00B6247C">
        <w:trPr>
          <w:cantSplit/>
          <w:jc w:val="center"/>
        </w:trPr>
        <w:tc>
          <w:tcPr>
            <w:tcW w:w="3216" w:type="dxa"/>
            <w:shd w:val="clear" w:color="auto" w:fill="EDEDED"/>
            <w:vAlign w:val="center"/>
          </w:tcPr>
          <w:p w14:paraId="6F633B0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Object</w:t>
            </w:r>
          </w:p>
        </w:tc>
        <w:tc>
          <w:tcPr>
            <w:tcW w:w="3216" w:type="dxa"/>
            <w:shd w:val="clear" w:color="auto" w:fill="EDEDED"/>
            <w:vAlign w:val="center"/>
          </w:tcPr>
          <w:p w14:paraId="4CDD7DA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Type</w:t>
            </w:r>
          </w:p>
        </w:tc>
        <w:tc>
          <w:tcPr>
            <w:tcW w:w="3216" w:type="dxa"/>
            <w:shd w:val="clear" w:color="auto" w:fill="EDEDED"/>
            <w:vAlign w:val="center"/>
          </w:tcPr>
          <w:p w14:paraId="682A22F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Purpose</w:t>
            </w:r>
          </w:p>
        </w:tc>
      </w:tr>
      <w:tr w:rsidR="009A4008" w:rsidRPr="009A4008" w14:paraId="75872485" w14:textId="77777777" w:rsidTr="00B6247C">
        <w:trPr>
          <w:cantSplit/>
          <w:jc w:val="center"/>
        </w:trPr>
        <w:tc>
          <w:tcPr>
            <w:tcW w:w="3216" w:type="dxa"/>
            <w:vAlign w:val="center"/>
          </w:tcPr>
          <w:p w14:paraId="4FEAA22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medilink</w:t>
            </w:r>
          </w:p>
        </w:tc>
        <w:tc>
          <w:tcPr>
            <w:tcW w:w="3216" w:type="dxa"/>
            <w:vAlign w:val="center"/>
          </w:tcPr>
          <w:p w14:paraId="775B32E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Database</w:t>
            </w:r>
          </w:p>
        </w:tc>
        <w:tc>
          <w:tcPr>
            <w:tcW w:w="3216" w:type="dxa"/>
            <w:vAlign w:val="center"/>
          </w:tcPr>
          <w:p w14:paraId="00BD342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Project database.</w:t>
            </w:r>
          </w:p>
        </w:tc>
      </w:tr>
      <w:tr w:rsidR="009A4008" w:rsidRPr="009A4008" w14:paraId="402B6753" w14:textId="77777777" w:rsidTr="00B6247C">
        <w:trPr>
          <w:cantSplit/>
          <w:jc w:val="center"/>
        </w:trPr>
        <w:tc>
          <w:tcPr>
            <w:tcW w:w="3216" w:type="dxa"/>
            <w:vAlign w:val="center"/>
          </w:tcPr>
          <w:p w14:paraId="5C90E66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data_lifecycle_policy</w:t>
            </w:r>
          </w:p>
        </w:tc>
        <w:tc>
          <w:tcPr>
            <w:tcW w:w="3216" w:type="dxa"/>
            <w:vAlign w:val="center"/>
          </w:tcPr>
          <w:p w14:paraId="3DE4960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Table</w:t>
            </w:r>
          </w:p>
        </w:tc>
        <w:tc>
          <w:tcPr>
            <w:tcW w:w="3216" w:type="dxa"/>
            <w:vAlign w:val="center"/>
          </w:tcPr>
          <w:p w14:paraId="055C476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Retention, archive timing, lawful basis and owner by data class.</w:t>
            </w:r>
          </w:p>
        </w:tc>
      </w:tr>
      <w:tr w:rsidR="009A4008" w:rsidRPr="009A4008" w14:paraId="57A1B6F0" w14:textId="77777777" w:rsidTr="00B6247C">
        <w:trPr>
          <w:cantSplit/>
          <w:jc w:val="center"/>
        </w:trPr>
        <w:tc>
          <w:tcPr>
            <w:tcW w:w="3216" w:type="dxa"/>
            <w:vAlign w:val="center"/>
          </w:tcPr>
          <w:p w14:paraId="5C27A422"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data_ownership</w:t>
            </w:r>
          </w:p>
        </w:tc>
        <w:tc>
          <w:tcPr>
            <w:tcW w:w="3216" w:type="dxa"/>
            <w:vAlign w:val="center"/>
          </w:tcPr>
          <w:p w14:paraId="77D0830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Table</w:t>
            </w:r>
          </w:p>
        </w:tc>
        <w:tc>
          <w:tcPr>
            <w:tcW w:w="3216" w:type="dxa"/>
            <w:vAlign w:val="center"/>
          </w:tcPr>
          <w:p w14:paraId="15401CE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Data owner, steward and custodian register.</w:t>
            </w:r>
          </w:p>
        </w:tc>
      </w:tr>
      <w:tr w:rsidR="009A4008" w:rsidRPr="009A4008" w14:paraId="5E484C6A" w14:textId="77777777" w:rsidTr="00B6247C">
        <w:trPr>
          <w:cantSplit/>
          <w:jc w:val="center"/>
        </w:trPr>
        <w:tc>
          <w:tcPr>
            <w:tcW w:w="3216" w:type="dxa"/>
            <w:vAlign w:val="center"/>
          </w:tcPr>
          <w:p w14:paraId="71F3FA0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raci</w:t>
            </w:r>
          </w:p>
        </w:tc>
        <w:tc>
          <w:tcPr>
            <w:tcW w:w="3216" w:type="dxa"/>
            <w:vAlign w:val="center"/>
          </w:tcPr>
          <w:p w14:paraId="37CC3E3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Table</w:t>
            </w:r>
          </w:p>
        </w:tc>
        <w:tc>
          <w:tcPr>
            <w:tcW w:w="3216" w:type="dxa"/>
            <w:vAlign w:val="center"/>
          </w:tcPr>
          <w:p w14:paraId="317B3260"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Responsibilities for governance activities.</w:t>
            </w:r>
          </w:p>
        </w:tc>
      </w:tr>
      <w:tr w:rsidR="009A4008" w:rsidRPr="009A4008" w14:paraId="7E9C8094" w14:textId="77777777" w:rsidTr="00B6247C">
        <w:trPr>
          <w:cantSplit/>
          <w:jc w:val="center"/>
        </w:trPr>
        <w:tc>
          <w:tcPr>
            <w:tcW w:w="3216" w:type="dxa"/>
            <w:vAlign w:val="center"/>
          </w:tcPr>
          <w:p w14:paraId="16A8598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policies</w:t>
            </w:r>
          </w:p>
        </w:tc>
        <w:tc>
          <w:tcPr>
            <w:tcW w:w="3216" w:type="dxa"/>
            <w:vAlign w:val="center"/>
          </w:tcPr>
          <w:p w14:paraId="53801DE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Table</w:t>
            </w:r>
          </w:p>
        </w:tc>
        <w:tc>
          <w:tcPr>
            <w:tcW w:w="3216" w:type="dxa"/>
            <w:vAlign w:val="center"/>
          </w:tcPr>
          <w:p w14:paraId="75093E00"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Policy register.</w:t>
            </w:r>
          </w:p>
        </w:tc>
      </w:tr>
      <w:tr w:rsidR="009A4008" w:rsidRPr="009A4008" w14:paraId="35C41C5E" w14:textId="77777777" w:rsidTr="00B6247C">
        <w:trPr>
          <w:cantSplit/>
          <w:jc w:val="center"/>
        </w:trPr>
        <w:tc>
          <w:tcPr>
            <w:tcW w:w="3216" w:type="dxa"/>
            <w:vAlign w:val="center"/>
          </w:tcPr>
          <w:p w14:paraId="54FDB44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compliance_register</w:t>
            </w:r>
          </w:p>
        </w:tc>
        <w:tc>
          <w:tcPr>
            <w:tcW w:w="3216" w:type="dxa"/>
            <w:vAlign w:val="center"/>
          </w:tcPr>
          <w:p w14:paraId="23F949F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Table</w:t>
            </w:r>
          </w:p>
        </w:tc>
        <w:tc>
          <w:tcPr>
            <w:tcW w:w="3216" w:type="dxa"/>
            <w:vAlign w:val="center"/>
          </w:tcPr>
          <w:p w14:paraId="2D97DB4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Compliance requirements, gaps and remediation.</w:t>
            </w:r>
          </w:p>
        </w:tc>
      </w:tr>
      <w:tr w:rsidR="009A4008" w:rsidRPr="009A4008" w14:paraId="6BA87871" w14:textId="77777777" w:rsidTr="00B6247C">
        <w:trPr>
          <w:cantSplit/>
          <w:jc w:val="center"/>
        </w:trPr>
        <w:tc>
          <w:tcPr>
            <w:tcW w:w="3216" w:type="dxa"/>
            <w:vAlign w:val="center"/>
          </w:tcPr>
          <w:p w14:paraId="3F81195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clinics</w:t>
            </w:r>
          </w:p>
        </w:tc>
        <w:tc>
          <w:tcPr>
            <w:tcW w:w="3216" w:type="dxa"/>
            <w:vAlign w:val="center"/>
          </w:tcPr>
          <w:p w14:paraId="56B6EF1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Table</w:t>
            </w:r>
          </w:p>
        </w:tc>
        <w:tc>
          <w:tcPr>
            <w:tcW w:w="3216" w:type="dxa"/>
            <w:vAlign w:val="center"/>
          </w:tcPr>
          <w:p w14:paraId="42FFD55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Clinic master.</w:t>
            </w:r>
          </w:p>
        </w:tc>
      </w:tr>
      <w:tr w:rsidR="009A4008" w:rsidRPr="009A4008" w14:paraId="2785E7DA" w14:textId="77777777" w:rsidTr="00B6247C">
        <w:trPr>
          <w:cantSplit/>
          <w:jc w:val="center"/>
        </w:trPr>
        <w:tc>
          <w:tcPr>
            <w:tcW w:w="3216" w:type="dxa"/>
            <w:vAlign w:val="center"/>
          </w:tcPr>
          <w:p w14:paraId="3921815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staff</w:t>
            </w:r>
          </w:p>
        </w:tc>
        <w:tc>
          <w:tcPr>
            <w:tcW w:w="3216" w:type="dxa"/>
            <w:vAlign w:val="center"/>
          </w:tcPr>
          <w:p w14:paraId="556B8480"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Table</w:t>
            </w:r>
          </w:p>
        </w:tc>
        <w:tc>
          <w:tcPr>
            <w:tcW w:w="3216" w:type="dxa"/>
            <w:vAlign w:val="center"/>
          </w:tcPr>
          <w:p w14:paraId="18C70E8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Staff and clinic relationships.</w:t>
            </w:r>
          </w:p>
        </w:tc>
      </w:tr>
      <w:tr w:rsidR="009A4008" w:rsidRPr="009A4008" w14:paraId="4216F7F6" w14:textId="77777777" w:rsidTr="00B6247C">
        <w:trPr>
          <w:cantSplit/>
          <w:jc w:val="center"/>
        </w:trPr>
        <w:tc>
          <w:tcPr>
            <w:tcW w:w="3216" w:type="dxa"/>
            <w:vAlign w:val="center"/>
          </w:tcPr>
          <w:p w14:paraId="571C6B9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m_patient</w:t>
            </w:r>
          </w:p>
        </w:tc>
        <w:tc>
          <w:tcPr>
            <w:tcW w:w="3216" w:type="dxa"/>
            <w:vAlign w:val="center"/>
          </w:tcPr>
          <w:p w14:paraId="78594292"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Table</w:t>
            </w:r>
          </w:p>
        </w:tc>
        <w:tc>
          <w:tcPr>
            <w:tcW w:w="3216" w:type="dxa"/>
            <w:vAlign w:val="center"/>
          </w:tcPr>
          <w:p w14:paraId="135BC16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Golden patient master.</w:t>
            </w:r>
          </w:p>
        </w:tc>
      </w:tr>
      <w:tr w:rsidR="009A4008" w:rsidRPr="009A4008" w14:paraId="7BFCF96B" w14:textId="77777777" w:rsidTr="00B6247C">
        <w:trPr>
          <w:cantSplit/>
          <w:jc w:val="center"/>
        </w:trPr>
        <w:tc>
          <w:tcPr>
            <w:tcW w:w="3216" w:type="dxa"/>
            <w:vAlign w:val="center"/>
          </w:tcPr>
          <w:p w14:paraId="0633820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patient_source_links</w:t>
            </w:r>
          </w:p>
        </w:tc>
        <w:tc>
          <w:tcPr>
            <w:tcW w:w="3216" w:type="dxa"/>
            <w:vAlign w:val="center"/>
          </w:tcPr>
          <w:p w14:paraId="010FB1A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Table</w:t>
            </w:r>
          </w:p>
        </w:tc>
        <w:tc>
          <w:tcPr>
            <w:tcW w:w="3216" w:type="dxa"/>
            <w:vAlign w:val="center"/>
          </w:tcPr>
          <w:p w14:paraId="521EA06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Source-to-master crosswalk.</w:t>
            </w:r>
          </w:p>
        </w:tc>
      </w:tr>
      <w:tr w:rsidR="009A4008" w:rsidRPr="009A4008" w14:paraId="18B4C672" w14:textId="77777777" w:rsidTr="00B6247C">
        <w:trPr>
          <w:cantSplit/>
          <w:jc w:val="center"/>
        </w:trPr>
        <w:tc>
          <w:tcPr>
            <w:tcW w:w="3216" w:type="dxa"/>
            <w:vAlign w:val="center"/>
          </w:tcPr>
          <w:p w14:paraId="32F96D4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visits</w:t>
            </w:r>
          </w:p>
        </w:tc>
        <w:tc>
          <w:tcPr>
            <w:tcW w:w="3216" w:type="dxa"/>
            <w:vAlign w:val="center"/>
          </w:tcPr>
          <w:p w14:paraId="25E28D9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Table</w:t>
            </w:r>
          </w:p>
        </w:tc>
        <w:tc>
          <w:tcPr>
            <w:tcW w:w="3216" w:type="dxa"/>
            <w:vAlign w:val="center"/>
          </w:tcPr>
          <w:p w14:paraId="7F5FC92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Operational visit records.</w:t>
            </w:r>
          </w:p>
        </w:tc>
      </w:tr>
      <w:tr w:rsidR="009A4008" w:rsidRPr="009A4008" w14:paraId="6B79239E" w14:textId="77777777" w:rsidTr="00B6247C">
        <w:trPr>
          <w:cantSplit/>
          <w:jc w:val="center"/>
        </w:trPr>
        <w:tc>
          <w:tcPr>
            <w:tcW w:w="3216" w:type="dxa"/>
            <w:vAlign w:val="center"/>
          </w:tcPr>
          <w:p w14:paraId="6A2DBED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billing</w:t>
            </w:r>
          </w:p>
        </w:tc>
        <w:tc>
          <w:tcPr>
            <w:tcW w:w="3216" w:type="dxa"/>
            <w:vAlign w:val="center"/>
          </w:tcPr>
          <w:p w14:paraId="77FECCC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Table</w:t>
            </w:r>
          </w:p>
        </w:tc>
        <w:tc>
          <w:tcPr>
            <w:tcW w:w="3216" w:type="dxa"/>
            <w:vAlign w:val="center"/>
          </w:tcPr>
          <w:p w14:paraId="0503524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Service charges and payment mode.</w:t>
            </w:r>
          </w:p>
        </w:tc>
      </w:tr>
      <w:tr w:rsidR="009A4008" w:rsidRPr="009A4008" w14:paraId="18CBCF1C" w14:textId="77777777" w:rsidTr="00B6247C">
        <w:trPr>
          <w:cantSplit/>
          <w:jc w:val="center"/>
        </w:trPr>
        <w:tc>
          <w:tcPr>
            <w:tcW w:w="3216" w:type="dxa"/>
            <w:vAlign w:val="center"/>
          </w:tcPr>
          <w:p w14:paraId="215867D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stg_legacy_a</w:t>
            </w:r>
          </w:p>
        </w:tc>
        <w:tc>
          <w:tcPr>
            <w:tcW w:w="3216" w:type="dxa"/>
            <w:vAlign w:val="center"/>
          </w:tcPr>
          <w:p w14:paraId="5793D43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Table</w:t>
            </w:r>
          </w:p>
        </w:tc>
        <w:tc>
          <w:tcPr>
            <w:tcW w:w="3216" w:type="dxa"/>
            <w:vAlign w:val="center"/>
          </w:tcPr>
          <w:p w14:paraId="5D40C4D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Legacy A source staging.</w:t>
            </w:r>
          </w:p>
        </w:tc>
      </w:tr>
      <w:tr w:rsidR="009A4008" w:rsidRPr="009A4008" w14:paraId="6607800A" w14:textId="77777777" w:rsidTr="00B6247C">
        <w:trPr>
          <w:cantSplit/>
          <w:jc w:val="center"/>
        </w:trPr>
        <w:tc>
          <w:tcPr>
            <w:tcW w:w="3216" w:type="dxa"/>
            <w:vAlign w:val="center"/>
          </w:tcPr>
          <w:p w14:paraId="5DD533B2"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stg_legacy_b</w:t>
            </w:r>
          </w:p>
        </w:tc>
        <w:tc>
          <w:tcPr>
            <w:tcW w:w="3216" w:type="dxa"/>
            <w:vAlign w:val="center"/>
          </w:tcPr>
          <w:p w14:paraId="572D1B4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Table</w:t>
            </w:r>
          </w:p>
        </w:tc>
        <w:tc>
          <w:tcPr>
            <w:tcW w:w="3216" w:type="dxa"/>
            <w:vAlign w:val="center"/>
          </w:tcPr>
          <w:p w14:paraId="787CC7B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Legacy B source staging.</w:t>
            </w:r>
          </w:p>
        </w:tc>
      </w:tr>
      <w:tr w:rsidR="009A4008" w:rsidRPr="009A4008" w14:paraId="146D9678" w14:textId="77777777" w:rsidTr="00B6247C">
        <w:trPr>
          <w:cantSplit/>
          <w:jc w:val="center"/>
        </w:trPr>
        <w:tc>
          <w:tcPr>
            <w:tcW w:w="3216" w:type="dxa"/>
            <w:vAlign w:val="center"/>
          </w:tcPr>
          <w:p w14:paraId="48C7EC81"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mdm_review_queue</w:t>
            </w:r>
          </w:p>
        </w:tc>
        <w:tc>
          <w:tcPr>
            <w:tcW w:w="3216" w:type="dxa"/>
            <w:vAlign w:val="center"/>
          </w:tcPr>
          <w:p w14:paraId="38C8E7C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Table</w:t>
            </w:r>
          </w:p>
        </w:tc>
        <w:tc>
          <w:tcPr>
            <w:tcW w:w="3216" w:type="dxa"/>
            <w:vAlign w:val="center"/>
          </w:tcPr>
          <w:p w14:paraId="0E70B21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Unmatched or conflicting records awaiting review.</w:t>
            </w:r>
          </w:p>
        </w:tc>
      </w:tr>
      <w:tr w:rsidR="009A4008" w:rsidRPr="009A4008" w14:paraId="157EEDCE" w14:textId="77777777" w:rsidTr="00B6247C">
        <w:trPr>
          <w:cantSplit/>
          <w:jc w:val="center"/>
        </w:trPr>
        <w:tc>
          <w:tcPr>
            <w:tcW w:w="3216" w:type="dxa"/>
            <w:vAlign w:val="center"/>
          </w:tcPr>
          <w:p w14:paraId="4B32393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dim_clinic</w:t>
            </w:r>
          </w:p>
        </w:tc>
        <w:tc>
          <w:tcPr>
            <w:tcW w:w="3216" w:type="dxa"/>
            <w:vAlign w:val="center"/>
          </w:tcPr>
          <w:p w14:paraId="60C98842"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Table</w:t>
            </w:r>
          </w:p>
        </w:tc>
        <w:tc>
          <w:tcPr>
            <w:tcW w:w="3216" w:type="dxa"/>
            <w:vAlign w:val="center"/>
          </w:tcPr>
          <w:p w14:paraId="2E7D3C4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Clinic warehouse dimension.</w:t>
            </w:r>
          </w:p>
        </w:tc>
      </w:tr>
      <w:tr w:rsidR="009A4008" w:rsidRPr="009A4008" w14:paraId="6BE1DB6C" w14:textId="77777777" w:rsidTr="00B6247C">
        <w:trPr>
          <w:cantSplit/>
          <w:jc w:val="center"/>
        </w:trPr>
        <w:tc>
          <w:tcPr>
            <w:tcW w:w="3216" w:type="dxa"/>
            <w:vAlign w:val="center"/>
          </w:tcPr>
          <w:p w14:paraId="4175A22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dim_patient</w:t>
            </w:r>
          </w:p>
        </w:tc>
        <w:tc>
          <w:tcPr>
            <w:tcW w:w="3216" w:type="dxa"/>
            <w:vAlign w:val="center"/>
          </w:tcPr>
          <w:p w14:paraId="58DB3D8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Table</w:t>
            </w:r>
          </w:p>
        </w:tc>
        <w:tc>
          <w:tcPr>
            <w:tcW w:w="3216" w:type="dxa"/>
            <w:vAlign w:val="center"/>
          </w:tcPr>
          <w:p w14:paraId="6DD3A80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De-identified patient warehouse dimension.</w:t>
            </w:r>
          </w:p>
        </w:tc>
      </w:tr>
      <w:tr w:rsidR="009A4008" w:rsidRPr="009A4008" w14:paraId="2FDB8CA6" w14:textId="77777777" w:rsidTr="00B6247C">
        <w:trPr>
          <w:cantSplit/>
          <w:jc w:val="center"/>
        </w:trPr>
        <w:tc>
          <w:tcPr>
            <w:tcW w:w="3216" w:type="dxa"/>
            <w:vAlign w:val="center"/>
          </w:tcPr>
          <w:p w14:paraId="52ABB82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lastRenderedPageBreak/>
              <w:t>dim_date</w:t>
            </w:r>
          </w:p>
        </w:tc>
        <w:tc>
          <w:tcPr>
            <w:tcW w:w="3216" w:type="dxa"/>
            <w:vAlign w:val="center"/>
          </w:tcPr>
          <w:p w14:paraId="20C42B4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Table</w:t>
            </w:r>
          </w:p>
        </w:tc>
        <w:tc>
          <w:tcPr>
            <w:tcW w:w="3216" w:type="dxa"/>
            <w:vAlign w:val="center"/>
          </w:tcPr>
          <w:p w14:paraId="20BDE3D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Calendar dimension.</w:t>
            </w:r>
          </w:p>
        </w:tc>
      </w:tr>
      <w:tr w:rsidR="009A4008" w:rsidRPr="009A4008" w14:paraId="23BB5F36" w14:textId="77777777" w:rsidTr="00B6247C">
        <w:trPr>
          <w:cantSplit/>
          <w:jc w:val="center"/>
        </w:trPr>
        <w:tc>
          <w:tcPr>
            <w:tcW w:w="3216" w:type="dxa"/>
            <w:vAlign w:val="center"/>
          </w:tcPr>
          <w:p w14:paraId="14AF7D5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fact_visits</w:t>
            </w:r>
          </w:p>
        </w:tc>
        <w:tc>
          <w:tcPr>
            <w:tcW w:w="3216" w:type="dxa"/>
            <w:vAlign w:val="center"/>
          </w:tcPr>
          <w:p w14:paraId="2B6865E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Table</w:t>
            </w:r>
          </w:p>
        </w:tc>
        <w:tc>
          <w:tcPr>
            <w:tcW w:w="3216" w:type="dxa"/>
            <w:vAlign w:val="center"/>
          </w:tcPr>
          <w:p w14:paraId="5F1AD71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Visit and billing measures for analytics.</w:t>
            </w:r>
          </w:p>
        </w:tc>
      </w:tr>
      <w:tr w:rsidR="009A4008" w:rsidRPr="009A4008" w14:paraId="2DE853E5" w14:textId="77777777" w:rsidTr="00B6247C">
        <w:trPr>
          <w:cantSplit/>
          <w:jc w:val="center"/>
        </w:trPr>
        <w:tc>
          <w:tcPr>
            <w:tcW w:w="3216" w:type="dxa"/>
            <w:vAlign w:val="center"/>
          </w:tcPr>
          <w:p w14:paraId="66404EC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glossary</w:t>
            </w:r>
          </w:p>
        </w:tc>
        <w:tc>
          <w:tcPr>
            <w:tcW w:w="3216" w:type="dxa"/>
            <w:vAlign w:val="center"/>
          </w:tcPr>
          <w:p w14:paraId="4C1A9F3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Table</w:t>
            </w:r>
          </w:p>
        </w:tc>
        <w:tc>
          <w:tcPr>
            <w:tcW w:w="3216" w:type="dxa"/>
            <w:vAlign w:val="center"/>
          </w:tcPr>
          <w:p w14:paraId="345B4EB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Business definitions.</w:t>
            </w:r>
          </w:p>
        </w:tc>
      </w:tr>
      <w:tr w:rsidR="009A4008" w:rsidRPr="009A4008" w14:paraId="1CDD11D6" w14:textId="77777777" w:rsidTr="00B6247C">
        <w:trPr>
          <w:cantSplit/>
          <w:jc w:val="center"/>
        </w:trPr>
        <w:tc>
          <w:tcPr>
            <w:tcW w:w="3216" w:type="dxa"/>
            <w:vAlign w:val="center"/>
          </w:tcPr>
          <w:p w14:paraId="44E74A9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data_lineage</w:t>
            </w:r>
          </w:p>
        </w:tc>
        <w:tc>
          <w:tcPr>
            <w:tcW w:w="3216" w:type="dxa"/>
            <w:vAlign w:val="center"/>
          </w:tcPr>
          <w:p w14:paraId="78263B61"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Table</w:t>
            </w:r>
          </w:p>
        </w:tc>
        <w:tc>
          <w:tcPr>
            <w:tcW w:w="3216" w:type="dxa"/>
            <w:vAlign w:val="center"/>
          </w:tcPr>
          <w:p w14:paraId="6DC0E9F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Source-to-target transformation lineage.</w:t>
            </w:r>
          </w:p>
        </w:tc>
      </w:tr>
      <w:tr w:rsidR="009A4008" w:rsidRPr="009A4008" w14:paraId="38B87F9E" w14:textId="77777777" w:rsidTr="00B6247C">
        <w:trPr>
          <w:cantSplit/>
          <w:jc w:val="center"/>
        </w:trPr>
        <w:tc>
          <w:tcPr>
            <w:tcW w:w="3216" w:type="dxa"/>
            <w:vAlign w:val="center"/>
          </w:tcPr>
          <w:p w14:paraId="6801F58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data_classification</w:t>
            </w:r>
          </w:p>
        </w:tc>
        <w:tc>
          <w:tcPr>
            <w:tcW w:w="3216" w:type="dxa"/>
            <w:vAlign w:val="center"/>
          </w:tcPr>
          <w:p w14:paraId="2E349A5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Table</w:t>
            </w:r>
          </w:p>
        </w:tc>
        <w:tc>
          <w:tcPr>
            <w:tcW w:w="3216" w:type="dxa"/>
            <w:vAlign w:val="center"/>
          </w:tcPr>
          <w:p w14:paraId="3311460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Sensitivity classification by object.</w:t>
            </w:r>
          </w:p>
        </w:tc>
      </w:tr>
      <w:tr w:rsidR="009A4008" w:rsidRPr="009A4008" w14:paraId="768A0C9D" w14:textId="77777777" w:rsidTr="00B6247C">
        <w:trPr>
          <w:cantSplit/>
          <w:jc w:val="center"/>
        </w:trPr>
        <w:tc>
          <w:tcPr>
            <w:tcW w:w="3216" w:type="dxa"/>
            <w:vAlign w:val="center"/>
          </w:tcPr>
          <w:p w14:paraId="19049AA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master_audit</w:t>
            </w:r>
          </w:p>
        </w:tc>
        <w:tc>
          <w:tcPr>
            <w:tcW w:w="3216" w:type="dxa"/>
            <w:vAlign w:val="center"/>
          </w:tcPr>
          <w:p w14:paraId="60ADD2B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Table</w:t>
            </w:r>
          </w:p>
        </w:tc>
        <w:tc>
          <w:tcPr>
            <w:tcW w:w="3216" w:type="dxa"/>
            <w:vAlign w:val="center"/>
          </w:tcPr>
          <w:p w14:paraId="077A368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Master-data change audit trail.</w:t>
            </w:r>
          </w:p>
        </w:tc>
      </w:tr>
      <w:tr w:rsidR="009A4008" w:rsidRPr="009A4008" w14:paraId="2CE4E14C" w14:textId="77777777" w:rsidTr="00B6247C">
        <w:trPr>
          <w:cantSplit/>
          <w:jc w:val="center"/>
        </w:trPr>
        <w:tc>
          <w:tcPr>
            <w:tcW w:w="3216" w:type="dxa"/>
            <w:vAlign w:val="center"/>
          </w:tcPr>
          <w:p w14:paraId="2912D8C0"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dq_scorecard_log</w:t>
            </w:r>
          </w:p>
        </w:tc>
        <w:tc>
          <w:tcPr>
            <w:tcW w:w="3216" w:type="dxa"/>
            <w:vAlign w:val="center"/>
          </w:tcPr>
          <w:p w14:paraId="5311FF0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Table</w:t>
            </w:r>
          </w:p>
        </w:tc>
        <w:tc>
          <w:tcPr>
            <w:tcW w:w="3216" w:type="dxa"/>
            <w:vAlign w:val="center"/>
          </w:tcPr>
          <w:p w14:paraId="7470F7F1"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Scheduled quality metric history.</w:t>
            </w:r>
          </w:p>
        </w:tc>
      </w:tr>
      <w:tr w:rsidR="009A4008" w:rsidRPr="009A4008" w14:paraId="61EB2388" w14:textId="77777777" w:rsidTr="00B6247C">
        <w:trPr>
          <w:cantSplit/>
          <w:jc w:val="center"/>
        </w:trPr>
        <w:tc>
          <w:tcPr>
            <w:tcW w:w="3216" w:type="dxa"/>
            <w:vAlign w:val="center"/>
          </w:tcPr>
          <w:p w14:paraId="63A3E71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v_dq_scorecard</w:t>
            </w:r>
          </w:p>
        </w:tc>
        <w:tc>
          <w:tcPr>
            <w:tcW w:w="3216" w:type="dxa"/>
            <w:vAlign w:val="center"/>
          </w:tcPr>
          <w:p w14:paraId="21E640D1"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View</w:t>
            </w:r>
          </w:p>
        </w:tc>
        <w:tc>
          <w:tcPr>
            <w:tcW w:w="3216" w:type="dxa"/>
            <w:vAlign w:val="center"/>
          </w:tcPr>
          <w:p w14:paraId="19516061"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Master data quality measures.</w:t>
            </w:r>
          </w:p>
        </w:tc>
      </w:tr>
      <w:tr w:rsidR="009A4008" w:rsidRPr="009A4008" w14:paraId="1F60EFC2" w14:textId="77777777" w:rsidTr="00B6247C">
        <w:trPr>
          <w:cantSplit/>
          <w:jc w:val="center"/>
        </w:trPr>
        <w:tc>
          <w:tcPr>
            <w:tcW w:w="3216" w:type="dxa"/>
            <w:vAlign w:val="center"/>
          </w:tcPr>
          <w:p w14:paraId="14BEFE6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v_all_sources</w:t>
            </w:r>
          </w:p>
        </w:tc>
        <w:tc>
          <w:tcPr>
            <w:tcW w:w="3216" w:type="dxa"/>
            <w:vAlign w:val="center"/>
          </w:tcPr>
          <w:p w14:paraId="7E31D79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View</w:t>
            </w:r>
          </w:p>
        </w:tc>
        <w:tc>
          <w:tcPr>
            <w:tcW w:w="3216" w:type="dxa"/>
            <w:vAlign w:val="center"/>
          </w:tcPr>
          <w:p w14:paraId="592945A0"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Union of standardized source records.</w:t>
            </w:r>
          </w:p>
        </w:tc>
      </w:tr>
      <w:tr w:rsidR="009A4008" w:rsidRPr="009A4008" w14:paraId="3767C27D" w14:textId="77777777" w:rsidTr="00B6247C">
        <w:trPr>
          <w:cantSplit/>
          <w:jc w:val="center"/>
        </w:trPr>
        <w:tc>
          <w:tcPr>
            <w:tcW w:w="3216" w:type="dxa"/>
            <w:vAlign w:val="center"/>
          </w:tcPr>
          <w:p w14:paraId="64DA96C7"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v_patient_directory</w:t>
            </w:r>
          </w:p>
        </w:tc>
        <w:tc>
          <w:tcPr>
            <w:tcW w:w="3216" w:type="dxa"/>
            <w:vAlign w:val="center"/>
          </w:tcPr>
          <w:p w14:paraId="30D73E10"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View</w:t>
            </w:r>
          </w:p>
        </w:tc>
        <w:tc>
          <w:tcPr>
            <w:tcW w:w="3216" w:type="dxa"/>
            <w:vAlign w:val="center"/>
          </w:tcPr>
          <w:p w14:paraId="4C74C99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Masked patient directory.</w:t>
            </w:r>
          </w:p>
        </w:tc>
      </w:tr>
      <w:tr w:rsidR="009A4008" w:rsidRPr="009A4008" w14:paraId="224B6EA7" w14:textId="77777777" w:rsidTr="00B6247C">
        <w:trPr>
          <w:cantSplit/>
          <w:jc w:val="center"/>
        </w:trPr>
        <w:tc>
          <w:tcPr>
            <w:tcW w:w="3216" w:type="dxa"/>
            <w:vAlign w:val="center"/>
          </w:tcPr>
          <w:p w14:paraId="229CF43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fill_dim_date</w:t>
            </w:r>
          </w:p>
        </w:tc>
        <w:tc>
          <w:tcPr>
            <w:tcW w:w="3216" w:type="dxa"/>
            <w:vAlign w:val="center"/>
          </w:tcPr>
          <w:p w14:paraId="7A512A9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Procedure</w:t>
            </w:r>
          </w:p>
        </w:tc>
        <w:tc>
          <w:tcPr>
            <w:tcW w:w="3216" w:type="dxa"/>
            <w:vAlign w:val="center"/>
          </w:tcPr>
          <w:p w14:paraId="16DC7399"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Populates the date dimension.</w:t>
            </w:r>
          </w:p>
        </w:tc>
      </w:tr>
      <w:tr w:rsidR="009A4008" w:rsidRPr="009A4008" w14:paraId="2F6C546B" w14:textId="77777777" w:rsidTr="00B6247C">
        <w:trPr>
          <w:cantSplit/>
          <w:jc w:val="center"/>
        </w:trPr>
        <w:tc>
          <w:tcPr>
            <w:tcW w:w="3216" w:type="dxa"/>
            <w:vAlign w:val="center"/>
          </w:tcPr>
          <w:p w14:paraId="42E0CDB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trg_billing_immutable</w:t>
            </w:r>
          </w:p>
        </w:tc>
        <w:tc>
          <w:tcPr>
            <w:tcW w:w="3216" w:type="dxa"/>
            <w:vAlign w:val="center"/>
          </w:tcPr>
          <w:p w14:paraId="4541BA0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Trigger</w:t>
            </w:r>
          </w:p>
        </w:tc>
        <w:tc>
          <w:tcPr>
            <w:tcW w:w="3216" w:type="dxa"/>
            <w:vAlign w:val="center"/>
          </w:tcPr>
          <w:p w14:paraId="058A8DB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Rejects updates to existing billing rows.</w:t>
            </w:r>
          </w:p>
        </w:tc>
      </w:tr>
      <w:tr w:rsidR="009A4008" w:rsidRPr="009A4008" w14:paraId="7D69DC10" w14:textId="77777777" w:rsidTr="00B6247C">
        <w:trPr>
          <w:cantSplit/>
          <w:jc w:val="center"/>
        </w:trPr>
        <w:tc>
          <w:tcPr>
            <w:tcW w:w="3216" w:type="dxa"/>
            <w:vAlign w:val="center"/>
          </w:tcPr>
          <w:p w14:paraId="69EF4EA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trg_master_audit</w:t>
            </w:r>
          </w:p>
        </w:tc>
        <w:tc>
          <w:tcPr>
            <w:tcW w:w="3216" w:type="dxa"/>
            <w:vAlign w:val="center"/>
          </w:tcPr>
          <w:p w14:paraId="1CA96F4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Trigger</w:t>
            </w:r>
          </w:p>
        </w:tc>
        <w:tc>
          <w:tcPr>
            <w:tcW w:w="3216" w:type="dxa"/>
            <w:vAlign w:val="center"/>
          </w:tcPr>
          <w:p w14:paraId="2B1FC8D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Writes master changes to master_audit.</w:t>
            </w:r>
          </w:p>
        </w:tc>
      </w:tr>
      <w:tr w:rsidR="009A4008" w:rsidRPr="009A4008" w14:paraId="2A2AC3F4" w14:textId="77777777" w:rsidTr="00B6247C">
        <w:trPr>
          <w:cantSplit/>
          <w:jc w:val="center"/>
        </w:trPr>
        <w:tc>
          <w:tcPr>
            <w:tcW w:w="3216" w:type="dxa"/>
            <w:vAlign w:val="center"/>
          </w:tcPr>
          <w:p w14:paraId="612C55D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ev_nightly_dq</w:t>
            </w:r>
          </w:p>
        </w:tc>
        <w:tc>
          <w:tcPr>
            <w:tcW w:w="3216" w:type="dxa"/>
            <w:vAlign w:val="center"/>
          </w:tcPr>
          <w:p w14:paraId="7CE5CEA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Event</w:t>
            </w:r>
          </w:p>
        </w:tc>
        <w:tc>
          <w:tcPr>
            <w:tcW w:w="3216" w:type="dxa"/>
            <w:vAlign w:val="center"/>
          </w:tcPr>
          <w:p w14:paraId="1736BE2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Logs daily data quality results.</w:t>
            </w:r>
          </w:p>
        </w:tc>
      </w:tr>
      <w:tr w:rsidR="009A4008" w:rsidRPr="009A4008" w14:paraId="1D6CC5DD" w14:textId="77777777" w:rsidTr="00B6247C">
        <w:trPr>
          <w:cantSplit/>
          <w:jc w:val="center"/>
        </w:trPr>
        <w:tc>
          <w:tcPr>
            <w:tcW w:w="3216" w:type="dxa"/>
            <w:vAlign w:val="center"/>
          </w:tcPr>
          <w:p w14:paraId="45AC27E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ev_archive_old_visits</w:t>
            </w:r>
          </w:p>
        </w:tc>
        <w:tc>
          <w:tcPr>
            <w:tcW w:w="3216" w:type="dxa"/>
            <w:vAlign w:val="center"/>
          </w:tcPr>
          <w:p w14:paraId="7884A97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Event</w:t>
            </w:r>
          </w:p>
        </w:tc>
        <w:tc>
          <w:tcPr>
            <w:tcW w:w="3216" w:type="dxa"/>
            <w:vAlign w:val="center"/>
          </w:tcPr>
          <w:p w14:paraId="1465B8B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Demonstrates scheduled archiving.</w:t>
            </w:r>
          </w:p>
        </w:tc>
      </w:tr>
    </w:tbl>
    <w:p w14:paraId="70EF6049" w14:textId="77777777" w:rsidR="009A4008" w:rsidRPr="009A4008" w:rsidRDefault="009A4008" w:rsidP="009A4008">
      <w:pPr>
        <w:rPr>
          <w:rFonts w:ascii="Times New Roman" w:hAnsi="Times New Roman" w:cs="Times New Roman"/>
          <w:sz w:val="22"/>
          <w:szCs w:val="22"/>
        </w:rPr>
      </w:pPr>
    </w:p>
    <w:p w14:paraId="2A4DC8C8"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brief also defines four roles: ml_reception, ml_clinician, ml_analyst and ml_auditor. It includes one sample database user, agnes, which should be treated as an example rather than a recommended shared or production account.</w:t>
      </w:r>
    </w:p>
    <w:p w14:paraId="051C68AB" w14:textId="77777777" w:rsidR="009A4008" w:rsidRPr="009A4008" w:rsidRDefault="009A4008" w:rsidP="009A4008">
      <w:pPr>
        <w:pStyle w:val="Heading1"/>
        <w:rPr>
          <w:rFonts w:ascii="Times New Roman" w:hAnsi="Times New Roman" w:cs="Times New Roman"/>
          <w:sz w:val="22"/>
          <w:szCs w:val="22"/>
        </w:rPr>
      </w:pPr>
      <w:r w:rsidRPr="009A4008">
        <w:rPr>
          <w:rFonts w:ascii="Times New Roman" w:hAnsi="Times New Roman" w:cs="Times New Roman"/>
          <w:sz w:val="22"/>
          <w:szCs w:val="22"/>
        </w:rPr>
        <w:t>Appendix B. Evidence and Completion Checklist</w:t>
      </w:r>
    </w:p>
    <w:p w14:paraId="2DE80A97" w14:textId="77777777" w:rsidR="009A4008" w:rsidRPr="009A4008" w:rsidRDefault="009A4008" w:rsidP="009A4008">
      <w:pPr>
        <w:pStyle w:val="ListBullet"/>
        <w:spacing w:after="60"/>
        <w:rPr>
          <w:rFonts w:cs="Times New Roman"/>
        </w:rPr>
      </w:pPr>
      <w:r w:rsidRPr="009A4008">
        <w:rPr>
          <w:rFonts w:ascii="Segoe UI Symbol" w:hAnsi="Segoe UI Symbol" w:cs="Segoe UI Symbol"/>
        </w:rPr>
        <w:t>☐</w:t>
      </w:r>
      <w:r w:rsidRPr="009A4008">
        <w:rPr>
          <w:rFonts w:cs="Times New Roman"/>
        </w:rPr>
        <w:t xml:space="preserve"> Confirm MySQL version and successful connection to the medilink database.</w:t>
      </w:r>
    </w:p>
    <w:p w14:paraId="39EB0B9D" w14:textId="77777777" w:rsidR="009A4008" w:rsidRPr="009A4008" w:rsidRDefault="009A4008" w:rsidP="009A4008">
      <w:pPr>
        <w:pStyle w:val="ListBullet"/>
        <w:spacing w:after="60"/>
        <w:rPr>
          <w:rFonts w:cs="Times New Roman"/>
        </w:rPr>
      </w:pPr>
      <w:r w:rsidRPr="009A4008">
        <w:rPr>
          <w:rFonts w:ascii="Segoe UI Symbol" w:hAnsi="Segoe UI Symbol" w:cs="Segoe UI Symbol"/>
        </w:rPr>
        <w:t>☐</w:t>
      </w:r>
      <w:r w:rsidRPr="009A4008">
        <w:rPr>
          <w:rFonts w:cs="Times New Roman"/>
        </w:rPr>
        <w:t xml:space="preserve"> Run the schema script and retain the final successful execution evidence.</w:t>
      </w:r>
    </w:p>
    <w:p w14:paraId="092947D3" w14:textId="77777777" w:rsidR="009A4008" w:rsidRPr="009A4008" w:rsidRDefault="009A4008" w:rsidP="009A4008">
      <w:pPr>
        <w:pStyle w:val="ListBullet"/>
        <w:spacing w:after="60"/>
        <w:rPr>
          <w:rFonts w:cs="Times New Roman"/>
        </w:rPr>
      </w:pPr>
      <w:r w:rsidRPr="009A4008">
        <w:rPr>
          <w:rFonts w:ascii="Segoe UI Symbol" w:hAnsi="Segoe UI Symbol" w:cs="Segoe UI Symbol"/>
        </w:rPr>
        <w:t>☐</w:t>
      </w:r>
      <w:r w:rsidRPr="009A4008">
        <w:rPr>
          <w:rFonts w:cs="Times New Roman"/>
        </w:rPr>
        <w:t xml:space="preserve"> Verify all expected tables, views, procedure, triggers, roles and events in the database.</w:t>
      </w:r>
    </w:p>
    <w:p w14:paraId="0FB52F90" w14:textId="77777777" w:rsidR="009A4008" w:rsidRPr="009A4008" w:rsidRDefault="009A4008" w:rsidP="009A4008">
      <w:pPr>
        <w:pStyle w:val="ListBullet"/>
        <w:spacing w:after="60"/>
        <w:rPr>
          <w:rFonts w:cs="Times New Roman"/>
        </w:rPr>
      </w:pPr>
      <w:r w:rsidRPr="009A4008">
        <w:rPr>
          <w:rFonts w:ascii="Segoe UI Symbol" w:hAnsi="Segoe UI Symbol" w:cs="Segoe UI Symbol"/>
        </w:rPr>
        <w:t>☐</w:t>
      </w:r>
      <w:r w:rsidRPr="009A4008">
        <w:rPr>
          <w:rFonts w:cs="Times New Roman"/>
        </w:rPr>
        <w:t xml:space="preserve"> Capture the source inventory and completed lifecycle maps.</w:t>
      </w:r>
    </w:p>
    <w:p w14:paraId="34EE6CD9" w14:textId="77777777" w:rsidR="009A4008" w:rsidRPr="009A4008" w:rsidRDefault="009A4008" w:rsidP="009A4008">
      <w:pPr>
        <w:pStyle w:val="ListBullet"/>
        <w:spacing w:after="60"/>
        <w:rPr>
          <w:rFonts w:cs="Times New Roman"/>
        </w:rPr>
      </w:pPr>
      <w:r w:rsidRPr="009A4008">
        <w:rPr>
          <w:rFonts w:ascii="Segoe UI Symbol" w:hAnsi="Segoe UI Symbol" w:cs="Segoe UI Symbol"/>
        </w:rPr>
        <w:t>☐</w:t>
      </w:r>
      <w:r w:rsidRPr="009A4008">
        <w:rPr>
          <w:rFonts w:cs="Times New Roman"/>
        </w:rPr>
        <w:t xml:space="preserve"> Insert the final architecture diagram and ERD.</w:t>
      </w:r>
    </w:p>
    <w:p w14:paraId="39D289E3" w14:textId="77777777" w:rsidR="009A4008" w:rsidRPr="009A4008" w:rsidRDefault="009A4008" w:rsidP="009A4008">
      <w:pPr>
        <w:pStyle w:val="ListBullet"/>
        <w:spacing w:after="60"/>
        <w:rPr>
          <w:rFonts w:cs="Times New Roman"/>
        </w:rPr>
      </w:pPr>
      <w:r w:rsidRPr="009A4008">
        <w:rPr>
          <w:rFonts w:ascii="Segoe UI Symbol" w:hAnsi="Segoe UI Symbol" w:cs="Segoe UI Symbol"/>
        </w:rPr>
        <w:t>☐</w:t>
      </w:r>
      <w:r w:rsidRPr="009A4008">
        <w:rPr>
          <w:rFonts w:cs="Times New Roman"/>
        </w:rPr>
        <w:t xml:space="preserve"> Run data quality queries before and after cleaning and enter the actual results in Section 5.</w:t>
      </w:r>
    </w:p>
    <w:p w14:paraId="5D00A720" w14:textId="77777777" w:rsidR="009A4008" w:rsidRPr="009A4008" w:rsidRDefault="009A4008" w:rsidP="009A4008">
      <w:pPr>
        <w:pStyle w:val="ListBullet"/>
        <w:spacing w:after="60"/>
        <w:rPr>
          <w:rFonts w:cs="Times New Roman"/>
        </w:rPr>
      </w:pPr>
      <w:r w:rsidRPr="009A4008">
        <w:rPr>
          <w:rFonts w:ascii="Segoe UI Symbol" w:hAnsi="Segoe UI Symbol" w:cs="Segoe UI Symbol"/>
        </w:rPr>
        <w:t>☐</w:t>
      </w:r>
      <w:r w:rsidRPr="009A4008">
        <w:rPr>
          <w:rFonts w:cs="Times New Roman"/>
        </w:rPr>
        <w:t xml:space="preserve"> Verify normalized phone formats and document invalid or unresolved values.</w:t>
      </w:r>
    </w:p>
    <w:p w14:paraId="7D185269" w14:textId="77777777" w:rsidR="009A4008" w:rsidRPr="009A4008" w:rsidRDefault="009A4008" w:rsidP="009A4008">
      <w:pPr>
        <w:pStyle w:val="ListBullet"/>
        <w:spacing w:after="60"/>
        <w:rPr>
          <w:rFonts w:cs="Times New Roman"/>
        </w:rPr>
      </w:pPr>
      <w:r w:rsidRPr="009A4008">
        <w:rPr>
          <w:rFonts w:ascii="Segoe UI Symbol" w:hAnsi="Segoe UI Symbol" w:cs="Segoe UI Symbol"/>
        </w:rPr>
        <w:t>☐</w:t>
      </w:r>
      <w:r w:rsidRPr="009A4008">
        <w:rPr>
          <w:rFonts w:cs="Times New Roman"/>
        </w:rPr>
        <w:t xml:space="preserve"> Run the Sarah Nakato MDM example or the equivalent actual test and show its crosswalk.</w:t>
      </w:r>
    </w:p>
    <w:p w14:paraId="291E738B" w14:textId="77777777" w:rsidR="009A4008" w:rsidRPr="009A4008" w:rsidRDefault="009A4008" w:rsidP="009A4008">
      <w:pPr>
        <w:pStyle w:val="ListBullet"/>
        <w:spacing w:after="60"/>
        <w:rPr>
          <w:rFonts w:cs="Times New Roman"/>
        </w:rPr>
      </w:pPr>
      <w:r w:rsidRPr="009A4008">
        <w:rPr>
          <w:rFonts w:ascii="Segoe UI Symbol" w:hAnsi="Segoe UI Symbol" w:cs="Segoe UI Symbol"/>
        </w:rPr>
        <w:t>☐</w:t>
      </w:r>
      <w:r w:rsidRPr="009A4008">
        <w:rPr>
          <w:rFonts w:cs="Times New Roman"/>
        </w:rPr>
        <w:t xml:space="preserve"> Show the MDM review queue and at least one documented review decision.</w:t>
      </w:r>
    </w:p>
    <w:p w14:paraId="10435678" w14:textId="77777777" w:rsidR="009A4008" w:rsidRPr="009A4008" w:rsidRDefault="009A4008" w:rsidP="009A4008">
      <w:pPr>
        <w:pStyle w:val="ListBullet"/>
        <w:spacing w:after="60"/>
        <w:rPr>
          <w:rFonts w:cs="Times New Roman"/>
        </w:rPr>
      </w:pPr>
      <w:r w:rsidRPr="009A4008">
        <w:rPr>
          <w:rFonts w:ascii="Segoe UI Symbol" w:hAnsi="Segoe UI Symbol" w:cs="Segoe UI Symbol"/>
        </w:rPr>
        <w:t>☐</w:t>
      </w:r>
      <w:r w:rsidRPr="009A4008">
        <w:rPr>
          <w:rFonts w:cs="Times New Roman"/>
        </w:rPr>
        <w:t xml:space="preserve"> Populate the warehouse and reconcile fact counts and billing totals against the source.</w:t>
      </w:r>
    </w:p>
    <w:p w14:paraId="0258EB33" w14:textId="77777777" w:rsidR="009A4008" w:rsidRPr="009A4008" w:rsidRDefault="009A4008" w:rsidP="009A4008">
      <w:pPr>
        <w:pStyle w:val="ListBullet"/>
        <w:spacing w:after="60"/>
        <w:rPr>
          <w:rFonts w:cs="Times New Roman"/>
        </w:rPr>
      </w:pPr>
      <w:r w:rsidRPr="009A4008">
        <w:rPr>
          <w:rFonts w:ascii="Segoe UI Symbol" w:hAnsi="Segoe UI Symbol" w:cs="Segoe UI Symbol"/>
        </w:rPr>
        <w:t>☐</w:t>
      </w:r>
      <w:r w:rsidRPr="009A4008">
        <w:rPr>
          <w:rFonts w:cs="Times New Roman"/>
        </w:rPr>
        <w:t xml:space="preserve"> Export the data dictionary, glossary and lineage register.</w:t>
      </w:r>
    </w:p>
    <w:p w14:paraId="2843C072" w14:textId="77777777" w:rsidR="009A4008" w:rsidRPr="009A4008" w:rsidRDefault="009A4008" w:rsidP="009A4008">
      <w:pPr>
        <w:pStyle w:val="ListBullet"/>
        <w:spacing w:after="60"/>
        <w:rPr>
          <w:rFonts w:cs="Times New Roman"/>
        </w:rPr>
      </w:pPr>
      <w:r w:rsidRPr="009A4008">
        <w:rPr>
          <w:rFonts w:ascii="Segoe UI Symbol" w:hAnsi="Segoe UI Symbol" w:cs="Segoe UI Symbol"/>
        </w:rPr>
        <w:t>☐</w:t>
      </w:r>
      <w:r w:rsidRPr="009A4008">
        <w:rPr>
          <w:rFonts w:cs="Times New Roman"/>
        </w:rPr>
        <w:t xml:space="preserve"> Test reception masking, clinician access, analyst restrictions and auditor permissions.</w:t>
      </w:r>
    </w:p>
    <w:p w14:paraId="4A3AA2BE" w14:textId="77777777" w:rsidR="009A4008" w:rsidRPr="009A4008" w:rsidRDefault="009A4008" w:rsidP="009A4008">
      <w:pPr>
        <w:pStyle w:val="ListBullet"/>
        <w:spacing w:after="60"/>
        <w:rPr>
          <w:rFonts w:cs="Times New Roman"/>
        </w:rPr>
      </w:pPr>
      <w:r w:rsidRPr="009A4008">
        <w:rPr>
          <w:rFonts w:ascii="Segoe UI Symbol" w:hAnsi="Segoe UI Symbol" w:cs="Segoe UI Symbol"/>
        </w:rPr>
        <w:t>☐</w:t>
      </w:r>
      <w:r w:rsidRPr="009A4008">
        <w:rPr>
          <w:rFonts w:cs="Times New Roman"/>
        </w:rPr>
        <w:t xml:space="preserve"> Test the billing update rejection and confirm an audit record is created for a master change.</w:t>
      </w:r>
    </w:p>
    <w:p w14:paraId="46822EE3" w14:textId="77777777" w:rsidR="009A4008" w:rsidRPr="009A4008" w:rsidRDefault="009A4008" w:rsidP="009A4008">
      <w:pPr>
        <w:pStyle w:val="ListBullet"/>
        <w:spacing w:after="60"/>
        <w:rPr>
          <w:rFonts w:cs="Times New Roman"/>
        </w:rPr>
      </w:pPr>
      <w:r w:rsidRPr="009A4008">
        <w:rPr>
          <w:rFonts w:ascii="Segoe UI Symbol" w:hAnsi="Segoe UI Symbol" w:cs="Segoe UI Symbol"/>
        </w:rPr>
        <w:t>☐</w:t>
      </w:r>
      <w:r w:rsidRPr="009A4008">
        <w:rPr>
          <w:rFonts w:cs="Times New Roman"/>
        </w:rPr>
        <w:t xml:space="preserve"> Complete the SMS reminder DPIA and breach response procedure.</w:t>
      </w:r>
    </w:p>
    <w:p w14:paraId="0B4D8878" w14:textId="77777777" w:rsidR="009A4008" w:rsidRPr="009A4008" w:rsidRDefault="009A4008" w:rsidP="009A4008">
      <w:pPr>
        <w:pStyle w:val="ListBullet"/>
        <w:spacing w:after="60"/>
        <w:rPr>
          <w:rFonts w:cs="Times New Roman"/>
        </w:rPr>
      </w:pPr>
      <w:r w:rsidRPr="009A4008">
        <w:rPr>
          <w:rFonts w:ascii="Segoe UI Symbol" w:hAnsi="Segoe UI Symbol" w:cs="Segoe UI Symbol"/>
        </w:rPr>
        <w:lastRenderedPageBreak/>
        <w:t>☐</w:t>
      </w:r>
      <w:r w:rsidRPr="009A4008">
        <w:rPr>
          <w:rFonts w:cs="Times New Roman"/>
        </w:rPr>
        <w:t xml:space="preserve"> Correct and test all analytics SQL; insert dashboard charts and the one-page management finding.</w:t>
      </w:r>
    </w:p>
    <w:p w14:paraId="38791A71" w14:textId="77777777" w:rsidR="009A4008" w:rsidRPr="009A4008" w:rsidRDefault="009A4008" w:rsidP="009A4008">
      <w:pPr>
        <w:pStyle w:val="ListBullet"/>
        <w:spacing w:after="60"/>
        <w:rPr>
          <w:rFonts w:cs="Times New Roman"/>
        </w:rPr>
      </w:pPr>
      <w:r w:rsidRPr="009A4008">
        <w:rPr>
          <w:rFonts w:ascii="Segoe UI Symbol" w:hAnsi="Segoe UI Symbol" w:cs="Segoe UI Symbol"/>
        </w:rPr>
        <w:t>☐</w:t>
      </w:r>
      <w:r w:rsidRPr="009A4008">
        <w:rPr>
          <w:rFonts w:cs="Times New Roman"/>
        </w:rPr>
        <w:t xml:space="preserve"> Enable and verify the scheduled data-quality event and the safe lifecycle demonstration.</w:t>
      </w:r>
    </w:p>
    <w:p w14:paraId="18F83965" w14:textId="77777777" w:rsidR="009A4008" w:rsidRPr="009A4008" w:rsidRDefault="009A4008" w:rsidP="009A4008">
      <w:pPr>
        <w:pStyle w:val="ListBullet"/>
        <w:spacing w:after="60"/>
        <w:rPr>
          <w:rFonts w:cs="Times New Roman"/>
        </w:rPr>
      </w:pPr>
      <w:r w:rsidRPr="009A4008">
        <w:rPr>
          <w:rFonts w:ascii="Segoe UI Symbol" w:hAnsi="Segoe UI Symbol" w:cs="Segoe UI Symbol"/>
        </w:rPr>
        <w:t>☐</w:t>
      </w:r>
      <w:r w:rsidRPr="009A4008">
        <w:rPr>
          <w:rFonts w:cs="Times New Roman"/>
        </w:rPr>
        <w:t xml:space="preserve"> Replace all bracketed placeholders and remove statements that are not supported by evidence.</w:t>
      </w:r>
    </w:p>
    <w:p w14:paraId="05BE9117" w14:textId="77777777" w:rsidR="009A4008" w:rsidRPr="009A4008" w:rsidRDefault="009A4008" w:rsidP="009A4008">
      <w:pPr>
        <w:pStyle w:val="ListBullet"/>
        <w:spacing w:after="60"/>
        <w:rPr>
          <w:rFonts w:cs="Times New Roman"/>
        </w:rPr>
      </w:pPr>
      <w:r w:rsidRPr="009A4008">
        <w:rPr>
          <w:rFonts w:ascii="Segoe UI Symbol" w:hAnsi="Segoe UI Symbol" w:cs="Segoe UI Symbol"/>
        </w:rPr>
        <w:t>☐</w:t>
      </w:r>
      <w:r w:rsidRPr="009A4008">
        <w:rPr>
          <w:rFonts w:cs="Times New Roman"/>
        </w:rPr>
        <w:t xml:space="preserve"> Confirm the final strategy matches the actual schema, screenshots, query outputs and dashboard.</w:t>
      </w:r>
    </w:p>
    <w:p w14:paraId="7AD0D813" w14:textId="77777777" w:rsidR="009A4008" w:rsidRPr="009A4008" w:rsidRDefault="009A4008" w:rsidP="009A4008">
      <w:pPr>
        <w:pStyle w:val="Heading1"/>
        <w:rPr>
          <w:rFonts w:ascii="Times New Roman" w:hAnsi="Times New Roman" w:cs="Times New Roman"/>
          <w:sz w:val="22"/>
          <w:szCs w:val="22"/>
        </w:rPr>
      </w:pPr>
      <w:r w:rsidRPr="009A4008">
        <w:rPr>
          <w:rFonts w:ascii="Times New Roman" w:hAnsi="Times New Roman" w:cs="Times New Roman"/>
          <w:sz w:val="22"/>
          <w:szCs w:val="22"/>
        </w:rPr>
        <w:t>Appendix C. Individual Reflection and Contribution Log</w:t>
      </w:r>
    </w:p>
    <w:p w14:paraId="38FE3E00"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Each group member should complete a separate reflection and contribution record. The final submission should not invent contributions on behalf of a member. The following editable table can be duplicated for each person.</w:t>
      </w:r>
    </w:p>
    <w:tbl>
      <w:tblPr>
        <w:tblStyle w:val="TableGrid"/>
        <w:tblW w:w="0" w:type="auto"/>
        <w:jc w:val="center"/>
        <w:tblLook w:val="04A0" w:firstRow="1" w:lastRow="0" w:firstColumn="1" w:lastColumn="0" w:noHBand="0" w:noVBand="1"/>
      </w:tblPr>
      <w:tblGrid>
        <w:gridCol w:w="4819"/>
        <w:gridCol w:w="4819"/>
      </w:tblGrid>
      <w:tr w:rsidR="009A4008" w:rsidRPr="009A4008" w14:paraId="76BF056B" w14:textId="77777777" w:rsidTr="00B6247C">
        <w:trPr>
          <w:cantSplit/>
          <w:jc w:val="center"/>
        </w:trPr>
        <w:tc>
          <w:tcPr>
            <w:tcW w:w="4824" w:type="dxa"/>
            <w:shd w:val="clear" w:color="auto" w:fill="EDEDED"/>
            <w:vAlign w:val="center"/>
          </w:tcPr>
          <w:p w14:paraId="0C9D4B7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Field</w:t>
            </w:r>
          </w:p>
        </w:tc>
        <w:tc>
          <w:tcPr>
            <w:tcW w:w="4824" w:type="dxa"/>
            <w:shd w:val="clear" w:color="auto" w:fill="EDEDED"/>
            <w:vAlign w:val="center"/>
          </w:tcPr>
          <w:p w14:paraId="0964AFF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Member response</w:t>
            </w:r>
          </w:p>
        </w:tc>
      </w:tr>
      <w:tr w:rsidR="009A4008" w:rsidRPr="009A4008" w14:paraId="6BEA7C7E" w14:textId="77777777" w:rsidTr="00B6247C">
        <w:trPr>
          <w:cantSplit/>
          <w:jc w:val="center"/>
        </w:trPr>
        <w:tc>
          <w:tcPr>
            <w:tcW w:w="4824" w:type="dxa"/>
            <w:vAlign w:val="center"/>
          </w:tcPr>
          <w:p w14:paraId="193FDBA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Name and registration number</w:t>
            </w:r>
          </w:p>
        </w:tc>
        <w:tc>
          <w:tcPr>
            <w:tcW w:w="4824" w:type="dxa"/>
            <w:vAlign w:val="center"/>
          </w:tcPr>
          <w:p w14:paraId="41DA39D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[Complete]</w:t>
            </w:r>
          </w:p>
        </w:tc>
      </w:tr>
      <w:tr w:rsidR="009A4008" w:rsidRPr="009A4008" w14:paraId="1DEF2981" w14:textId="77777777" w:rsidTr="00B6247C">
        <w:trPr>
          <w:cantSplit/>
          <w:jc w:val="center"/>
        </w:trPr>
        <w:tc>
          <w:tcPr>
            <w:tcW w:w="4824" w:type="dxa"/>
            <w:vAlign w:val="center"/>
          </w:tcPr>
          <w:p w14:paraId="1DB6EA3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Assigned role</w:t>
            </w:r>
          </w:p>
        </w:tc>
        <w:tc>
          <w:tcPr>
            <w:tcW w:w="4824" w:type="dxa"/>
            <w:vAlign w:val="center"/>
          </w:tcPr>
          <w:p w14:paraId="0D44A809"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[Data Steward / Custodian / Analyst / Documenter or agreed role]</w:t>
            </w:r>
          </w:p>
        </w:tc>
      </w:tr>
      <w:tr w:rsidR="009A4008" w:rsidRPr="009A4008" w14:paraId="530DA3A5" w14:textId="77777777" w:rsidTr="00B6247C">
        <w:trPr>
          <w:cantSplit/>
          <w:jc w:val="center"/>
        </w:trPr>
        <w:tc>
          <w:tcPr>
            <w:tcW w:w="4824" w:type="dxa"/>
            <w:vAlign w:val="center"/>
          </w:tcPr>
          <w:p w14:paraId="7B17F13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Deliverables completed</w:t>
            </w:r>
          </w:p>
        </w:tc>
        <w:tc>
          <w:tcPr>
            <w:tcW w:w="4824" w:type="dxa"/>
            <w:vAlign w:val="center"/>
          </w:tcPr>
          <w:p w14:paraId="608E6D8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[List specific files, SQL objects, diagrams, tests or dashboard work]</w:t>
            </w:r>
          </w:p>
        </w:tc>
      </w:tr>
      <w:tr w:rsidR="009A4008" w:rsidRPr="009A4008" w14:paraId="084ECA17" w14:textId="77777777" w:rsidTr="00B6247C">
        <w:trPr>
          <w:cantSplit/>
          <w:jc w:val="center"/>
        </w:trPr>
        <w:tc>
          <w:tcPr>
            <w:tcW w:w="4824" w:type="dxa"/>
            <w:vAlign w:val="center"/>
          </w:tcPr>
          <w:p w14:paraId="4D4BE09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Evidence of contribution</w:t>
            </w:r>
          </w:p>
        </w:tc>
        <w:tc>
          <w:tcPr>
            <w:tcW w:w="4824" w:type="dxa"/>
            <w:vAlign w:val="center"/>
          </w:tcPr>
          <w:p w14:paraId="72F3A6B1"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[Repository commits, file history, screenshots, meeting records or reviewed outputs]</w:t>
            </w:r>
          </w:p>
        </w:tc>
      </w:tr>
      <w:tr w:rsidR="009A4008" w:rsidRPr="009A4008" w14:paraId="7D9F9DEF" w14:textId="77777777" w:rsidTr="00B6247C">
        <w:trPr>
          <w:cantSplit/>
          <w:jc w:val="center"/>
        </w:trPr>
        <w:tc>
          <w:tcPr>
            <w:tcW w:w="4824" w:type="dxa"/>
            <w:vAlign w:val="center"/>
          </w:tcPr>
          <w:p w14:paraId="51AB9C8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Main technical or governance challenge</w:t>
            </w:r>
          </w:p>
        </w:tc>
        <w:tc>
          <w:tcPr>
            <w:tcW w:w="4824" w:type="dxa"/>
            <w:vAlign w:val="center"/>
          </w:tcPr>
          <w:p w14:paraId="3FA0245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[Describe a real challenge encountered]</w:t>
            </w:r>
          </w:p>
        </w:tc>
      </w:tr>
      <w:tr w:rsidR="009A4008" w:rsidRPr="009A4008" w14:paraId="66EF4372" w14:textId="77777777" w:rsidTr="00B6247C">
        <w:trPr>
          <w:cantSplit/>
          <w:jc w:val="center"/>
        </w:trPr>
        <w:tc>
          <w:tcPr>
            <w:tcW w:w="4824" w:type="dxa"/>
            <w:vAlign w:val="center"/>
          </w:tcPr>
          <w:p w14:paraId="6F7AC2B9"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How the challenge was addressed</w:t>
            </w:r>
          </w:p>
        </w:tc>
        <w:tc>
          <w:tcPr>
            <w:tcW w:w="4824" w:type="dxa"/>
            <w:vAlign w:val="center"/>
          </w:tcPr>
          <w:p w14:paraId="538D186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[Explain the actual action taken]</w:t>
            </w:r>
          </w:p>
        </w:tc>
      </w:tr>
      <w:tr w:rsidR="009A4008" w:rsidRPr="009A4008" w14:paraId="5107F9C9" w14:textId="77777777" w:rsidTr="00B6247C">
        <w:trPr>
          <w:cantSplit/>
          <w:jc w:val="center"/>
        </w:trPr>
        <w:tc>
          <w:tcPr>
            <w:tcW w:w="4824" w:type="dxa"/>
            <w:vAlign w:val="center"/>
          </w:tcPr>
          <w:p w14:paraId="03FB668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What was learned</w:t>
            </w:r>
          </w:p>
        </w:tc>
        <w:tc>
          <w:tcPr>
            <w:tcW w:w="4824" w:type="dxa"/>
            <w:vAlign w:val="center"/>
          </w:tcPr>
          <w:p w14:paraId="5E99E58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[Reflect on a specific EDM concept or practical skill]</w:t>
            </w:r>
          </w:p>
        </w:tc>
      </w:tr>
      <w:tr w:rsidR="009A4008" w:rsidRPr="009A4008" w14:paraId="39EC5FDB" w14:textId="77777777" w:rsidTr="00B6247C">
        <w:trPr>
          <w:cantSplit/>
          <w:jc w:val="center"/>
        </w:trPr>
        <w:tc>
          <w:tcPr>
            <w:tcW w:w="4824" w:type="dxa"/>
            <w:vAlign w:val="center"/>
          </w:tcPr>
          <w:p w14:paraId="3A066A4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Remaining limitations</w:t>
            </w:r>
          </w:p>
        </w:tc>
        <w:tc>
          <w:tcPr>
            <w:tcW w:w="4824" w:type="dxa"/>
            <w:vAlign w:val="center"/>
          </w:tcPr>
          <w:p w14:paraId="232768C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[State incomplete work or known limitations honestly]</w:t>
            </w:r>
          </w:p>
        </w:tc>
      </w:tr>
    </w:tbl>
    <w:p w14:paraId="3C26372A" w14:textId="77777777" w:rsidR="009A4008" w:rsidRPr="009A4008" w:rsidRDefault="009A4008" w:rsidP="009A4008">
      <w:pPr>
        <w:rPr>
          <w:rFonts w:ascii="Times New Roman" w:hAnsi="Times New Roman" w:cs="Times New Roman"/>
          <w:sz w:val="22"/>
          <w:szCs w:val="22"/>
        </w:rPr>
      </w:pPr>
    </w:p>
    <w:p w14:paraId="211F2199" w14:textId="77777777" w:rsidR="009A4008" w:rsidRPr="009A4008" w:rsidRDefault="009A4008" w:rsidP="009A4008">
      <w:pPr>
        <w:pStyle w:val="Heading1"/>
        <w:rPr>
          <w:rFonts w:ascii="Times New Roman" w:hAnsi="Times New Roman" w:cs="Times New Roman"/>
          <w:sz w:val="22"/>
          <w:szCs w:val="22"/>
        </w:rPr>
      </w:pPr>
      <w:r w:rsidRPr="009A4008">
        <w:rPr>
          <w:rFonts w:ascii="Times New Roman" w:hAnsi="Times New Roman" w:cs="Times New Roman"/>
          <w:sz w:val="22"/>
          <w:szCs w:val="22"/>
        </w:rPr>
        <w:t>Reference</w:t>
      </w:r>
    </w:p>
    <w:p w14:paraId="4258AE2B"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MediLink Health Network Enterprise Data Platform. Enterprise Data Management capstone project brief supplied for the course. 28 pages. [Add lecturer, institution, year or formal citation details if provided on the original brief.]</w:t>
      </w:r>
    </w:p>
    <w:p w14:paraId="57E9A88F" w14:textId="77777777" w:rsidR="00674DAA" w:rsidRPr="009A4008" w:rsidRDefault="00674DAA" w:rsidP="009A4008">
      <w:pPr>
        <w:rPr>
          <w:rFonts w:ascii="Times New Roman" w:hAnsi="Times New Roman" w:cs="Times New Roman"/>
          <w:sz w:val="22"/>
          <w:szCs w:val="22"/>
        </w:rPr>
      </w:pPr>
    </w:p>
    <w:sectPr w:rsidR="00674DAA" w:rsidRPr="009A4008" w:rsidSect="00957668">
      <w:footerReference w:type="default" r:id="rId8"/>
      <w:pgSz w:w="12240" w:h="15840"/>
      <w:pgMar w:top="1152"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6F95B9" w14:textId="77777777" w:rsidR="00957668" w:rsidRDefault="00957668">
      <w:r>
        <w:separator/>
      </w:r>
    </w:p>
  </w:endnote>
  <w:endnote w:type="continuationSeparator" w:id="0">
    <w:p w14:paraId="22752D7D" w14:textId="77777777" w:rsidR="00957668" w:rsidRDefault="009576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D8657E" w14:textId="77777777" w:rsidR="001F19BB" w:rsidRDefault="009A4008">
    <w:pPr>
      <w:pStyle w:val="Footer"/>
      <w:jc w:val="center"/>
    </w:pPr>
    <w:r>
      <w:fldChar w:fldCharType="begin"/>
    </w:r>
    <w:r>
      <w:instrText xml:space="preserve"> PAGE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F703B4" w14:textId="77777777" w:rsidR="00957668" w:rsidRDefault="00957668">
      <w:r>
        <w:separator/>
      </w:r>
    </w:p>
  </w:footnote>
  <w:footnote w:type="continuationSeparator" w:id="0">
    <w:p w14:paraId="6A1635F7" w14:textId="77777777" w:rsidR="00957668" w:rsidRDefault="009576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FD4AC6F4"/>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7725E16"/>
    <w:lvl w:ilvl="0">
      <w:start w:val="1"/>
      <w:numFmt w:val="bullet"/>
      <w:pStyle w:val="ListBullet"/>
      <w:lvlText w:val=""/>
      <w:lvlJc w:val="left"/>
      <w:pPr>
        <w:tabs>
          <w:tab w:val="num" w:pos="360"/>
        </w:tabs>
        <w:ind w:left="360" w:hanging="360"/>
      </w:pPr>
      <w:rPr>
        <w:rFonts w:ascii="Symbol" w:hAnsi="Symbol" w:hint="default"/>
      </w:rPr>
    </w:lvl>
  </w:abstractNum>
  <w:num w:numId="1" w16cid:durableId="1678925924">
    <w:abstractNumId w:val="8"/>
  </w:num>
  <w:num w:numId="2" w16cid:durableId="594555839">
    <w:abstractNumId w:val="6"/>
  </w:num>
  <w:num w:numId="3" w16cid:durableId="2114207038">
    <w:abstractNumId w:val="5"/>
  </w:num>
  <w:num w:numId="4" w16cid:durableId="1612664119">
    <w:abstractNumId w:val="4"/>
  </w:num>
  <w:num w:numId="5" w16cid:durableId="471603495">
    <w:abstractNumId w:val="7"/>
  </w:num>
  <w:num w:numId="6" w16cid:durableId="1750467363">
    <w:abstractNumId w:val="3"/>
  </w:num>
  <w:num w:numId="7" w16cid:durableId="380859185">
    <w:abstractNumId w:val="2"/>
  </w:num>
  <w:num w:numId="8" w16cid:durableId="673457643">
    <w:abstractNumId w:val="1"/>
  </w:num>
  <w:num w:numId="9" w16cid:durableId="552490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E59"/>
    <w:rsid w:val="000773D0"/>
    <w:rsid w:val="000F6510"/>
    <w:rsid w:val="00130716"/>
    <w:rsid w:val="001A29F3"/>
    <w:rsid w:val="001F19BB"/>
    <w:rsid w:val="005D0215"/>
    <w:rsid w:val="00616C3E"/>
    <w:rsid w:val="00674DAA"/>
    <w:rsid w:val="00824104"/>
    <w:rsid w:val="00837CCA"/>
    <w:rsid w:val="00913A8F"/>
    <w:rsid w:val="009564E5"/>
    <w:rsid w:val="00957668"/>
    <w:rsid w:val="009A4008"/>
    <w:rsid w:val="00AA210B"/>
    <w:rsid w:val="00B4354B"/>
    <w:rsid w:val="00CC45B0"/>
    <w:rsid w:val="00F209E9"/>
    <w:rsid w:val="00F36E5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B120A"/>
  <w15:chartTrackingRefBased/>
  <w15:docId w15:val="{D5E29145-7A78-42CF-A4D0-197EA0612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0716"/>
    <w:pPr>
      <w:spacing w:after="0" w:line="240" w:lineRule="auto"/>
    </w:pPr>
    <w:rPr>
      <w:rFonts w:eastAsiaTheme="minorEastAsia"/>
      <w:sz w:val="20"/>
      <w:szCs w:val="20"/>
      <w:lang w:val="en-US" w:eastAsia="zh-CN"/>
    </w:rPr>
  </w:style>
  <w:style w:type="paragraph" w:styleId="Heading1">
    <w:name w:val="heading 1"/>
    <w:basedOn w:val="Normal"/>
    <w:next w:val="Normal"/>
    <w:link w:val="Heading1Char"/>
    <w:uiPriority w:val="9"/>
    <w:qFormat/>
    <w:rsid w:val="009A4008"/>
    <w:pPr>
      <w:keepNext/>
      <w:keepLines/>
      <w:spacing w:before="480" w:line="276" w:lineRule="auto"/>
      <w:outlineLvl w:val="0"/>
    </w:pPr>
    <w:rPr>
      <w:rFonts w:asciiTheme="majorHAnsi" w:eastAsiaTheme="majorEastAsia" w:hAnsiTheme="majorHAnsi" w:cstheme="majorBidi"/>
      <w:b/>
      <w:bCs/>
      <w:sz w:val="28"/>
      <w:szCs w:val="28"/>
      <w:lang w:eastAsia="en-US"/>
    </w:rPr>
  </w:style>
  <w:style w:type="paragraph" w:styleId="Heading2">
    <w:name w:val="heading 2"/>
    <w:basedOn w:val="Normal"/>
    <w:next w:val="Normal"/>
    <w:link w:val="Heading2Char"/>
    <w:uiPriority w:val="9"/>
    <w:unhideWhenUsed/>
    <w:qFormat/>
    <w:rsid w:val="009A4008"/>
    <w:pPr>
      <w:keepNext/>
      <w:keepLines/>
      <w:spacing w:before="200" w:line="276" w:lineRule="auto"/>
      <w:outlineLvl w:val="1"/>
    </w:pPr>
    <w:rPr>
      <w:rFonts w:asciiTheme="majorHAnsi" w:eastAsiaTheme="majorEastAsia" w:hAnsiTheme="majorHAnsi" w:cstheme="majorBidi"/>
      <w:b/>
      <w:bCs/>
      <w:sz w:val="24"/>
      <w:szCs w:val="26"/>
      <w:lang w:eastAsia="en-US"/>
    </w:rPr>
  </w:style>
  <w:style w:type="paragraph" w:styleId="Heading3">
    <w:name w:val="heading 3"/>
    <w:basedOn w:val="Normal"/>
    <w:next w:val="Normal"/>
    <w:link w:val="Heading3Char"/>
    <w:uiPriority w:val="9"/>
    <w:unhideWhenUsed/>
    <w:qFormat/>
    <w:rsid w:val="009A4008"/>
    <w:pPr>
      <w:keepNext/>
      <w:keepLines/>
      <w:spacing w:before="200" w:line="276" w:lineRule="auto"/>
      <w:outlineLvl w:val="2"/>
    </w:pPr>
    <w:rPr>
      <w:rFonts w:asciiTheme="majorHAnsi" w:eastAsiaTheme="majorEastAsia" w:hAnsiTheme="majorHAnsi" w:cstheme="majorBidi"/>
      <w:b/>
      <w:bCs/>
      <w:sz w:val="22"/>
      <w:szCs w:val="22"/>
      <w:lang w:eastAsia="en-US"/>
    </w:rPr>
  </w:style>
  <w:style w:type="paragraph" w:styleId="Heading4">
    <w:name w:val="heading 4"/>
    <w:basedOn w:val="Normal"/>
    <w:next w:val="Normal"/>
    <w:link w:val="Heading4Char"/>
    <w:uiPriority w:val="9"/>
    <w:semiHidden/>
    <w:unhideWhenUsed/>
    <w:qFormat/>
    <w:rsid w:val="009A4008"/>
    <w:pPr>
      <w:keepNext/>
      <w:keepLines/>
      <w:spacing w:before="200" w:line="276" w:lineRule="auto"/>
      <w:outlineLvl w:val="3"/>
    </w:pPr>
    <w:rPr>
      <w:rFonts w:asciiTheme="majorHAnsi" w:eastAsiaTheme="majorEastAsia" w:hAnsiTheme="majorHAnsi" w:cstheme="majorBidi"/>
      <w:b/>
      <w:bCs/>
      <w:i/>
      <w:iCs/>
      <w:color w:val="4472C4" w:themeColor="accent1"/>
      <w:sz w:val="22"/>
      <w:szCs w:val="22"/>
      <w:lang w:eastAsia="en-US"/>
    </w:rPr>
  </w:style>
  <w:style w:type="paragraph" w:styleId="Heading5">
    <w:name w:val="heading 5"/>
    <w:basedOn w:val="Normal"/>
    <w:next w:val="Normal"/>
    <w:link w:val="Heading5Char"/>
    <w:uiPriority w:val="9"/>
    <w:semiHidden/>
    <w:unhideWhenUsed/>
    <w:qFormat/>
    <w:rsid w:val="009A4008"/>
    <w:pPr>
      <w:keepNext/>
      <w:keepLines/>
      <w:spacing w:before="200" w:line="276" w:lineRule="auto"/>
      <w:outlineLvl w:val="4"/>
    </w:pPr>
    <w:rPr>
      <w:rFonts w:asciiTheme="majorHAnsi" w:eastAsiaTheme="majorEastAsia" w:hAnsiTheme="majorHAnsi" w:cstheme="majorBidi"/>
      <w:color w:val="1F3763" w:themeColor="accent1" w:themeShade="7F"/>
      <w:sz w:val="22"/>
      <w:szCs w:val="22"/>
      <w:lang w:eastAsia="en-US"/>
    </w:rPr>
  </w:style>
  <w:style w:type="paragraph" w:styleId="Heading6">
    <w:name w:val="heading 6"/>
    <w:basedOn w:val="Normal"/>
    <w:next w:val="Normal"/>
    <w:link w:val="Heading6Char"/>
    <w:uiPriority w:val="9"/>
    <w:semiHidden/>
    <w:unhideWhenUsed/>
    <w:qFormat/>
    <w:rsid w:val="009A4008"/>
    <w:pPr>
      <w:keepNext/>
      <w:keepLines/>
      <w:spacing w:before="200" w:line="276" w:lineRule="auto"/>
      <w:outlineLvl w:val="5"/>
    </w:pPr>
    <w:rPr>
      <w:rFonts w:asciiTheme="majorHAnsi" w:eastAsiaTheme="majorEastAsia" w:hAnsiTheme="majorHAnsi" w:cstheme="majorBidi"/>
      <w:i/>
      <w:iCs/>
      <w:color w:val="1F3763" w:themeColor="accent1" w:themeShade="7F"/>
      <w:sz w:val="22"/>
      <w:szCs w:val="22"/>
      <w:lang w:eastAsia="en-US"/>
    </w:rPr>
  </w:style>
  <w:style w:type="paragraph" w:styleId="Heading7">
    <w:name w:val="heading 7"/>
    <w:basedOn w:val="Normal"/>
    <w:next w:val="Normal"/>
    <w:link w:val="Heading7Char"/>
    <w:uiPriority w:val="9"/>
    <w:semiHidden/>
    <w:unhideWhenUsed/>
    <w:qFormat/>
    <w:rsid w:val="009A4008"/>
    <w:pPr>
      <w:keepNext/>
      <w:keepLines/>
      <w:spacing w:before="200" w:line="276" w:lineRule="auto"/>
      <w:outlineLvl w:val="6"/>
    </w:pPr>
    <w:rPr>
      <w:rFonts w:asciiTheme="majorHAnsi" w:eastAsiaTheme="majorEastAsia" w:hAnsiTheme="majorHAnsi" w:cstheme="majorBidi"/>
      <w:i/>
      <w:iCs/>
      <w:color w:val="404040" w:themeColor="text1" w:themeTint="BF"/>
      <w:sz w:val="22"/>
      <w:szCs w:val="22"/>
      <w:lang w:eastAsia="en-US"/>
    </w:rPr>
  </w:style>
  <w:style w:type="paragraph" w:styleId="Heading8">
    <w:name w:val="heading 8"/>
    <w:basedOn w:val="Normal"/>
    <w:next w:val="Normal"/>
    <w:link w:val="Heading8Char"/>
    <w:uiPriority w:val="9"/>
    <w:semiHidden/>
    <w:unhideWhenUsed/>
    <w:qFormat/>
    <w:rsid w:val="009A4008"/>
    <w:pPr>
      <w:keepNext/>
      <w:keepLines/>
      <w:spacing w:before="200" w:line="276" w:lineRule="auto"/>
      <w:outlineLvl w:val="7"/>
    </w:pPr>
    <w:rPr>
      <w:rFonts w:asciiTheme="majorHAnsi" w:eastAsiaTheme="majorEastAsia" w:hAnsiTheme="majorHAnsi" w:cstheme="majorBidi"/>
      <w:color w:val="4472C4" w:themeColor="accent1"/>
      <w:lang w:eastAsia="en-US"/>
    </w:rPr>
  </w:style>
  <w:style w:type="paragraph" w:styleId="Heading9">
    <w:name w:val="heading 9"/>
    <w:basedOn w:val="Normal"/>
    <w:next w:val="Normal"/>
    <w:link w:val="Heading9Char"/>
    <w:uiPriority w:val="9"/>
    <w:semiHidden/>
    <w:unhideWhenUsed/>
    <w:qFormat/>
    <w:rsid w:val="009A4008"/>
    <w:pPr>
      <w:keepNext/>
      <w:keepLines/>
      <w:spacing w:before="200" w:line="276" w:lineRule="auto"/>
      <w:outlineLvl w:val="8"/>
    </w:pPr>
    <w:rPr>
      <w:rFonts w:asciiTheme="majorHAnsi" w:eastAsiaTheme="majorEastAsia" w:hAnsiTheme="majorHAnsi" w:cstheme="majorBidi"/>
      <w:i/>
      <w:iCs/>
      <w:color w:val="404040" w:themeColor="text1" w:themeTint="BF"/>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130716"/>
    <w:rPr>
      <w:i/>
      <w:iCs/>
    </w:rPr>
  </w:style>
  <w:style w:type="character" w:customStyle="1" w:styleId="Heading1Char">
    <w:name w:val="Heading 1 Char"/>
    <w:basedOn w:val="DefaultParagraphFont"/>
    <w:link w:val="Heading1"/>
    <w:uiPriority w:val="9"/>
    <w:rsid w:val="009A4008"/>
    <w:rPr>
      <w:rFonts w:asciiTheme="majorHAnsi" w:eastAsiaTheme="majorEastAsia" w:hAnsiTheme="majorHAnsi" w:cstheme="majorBidi"/>
      <w:b/>
      <w:bCs/>
      <w:sz w:val="28"/>
      <w:szCs w:val="28"/>
      <w:lang w:val="en-US"/>
    </w:rPr>
  </w:style>
  <w:style w:type="character" w:customStyle="1" w:styleId="Heading2Char">
    <w:name w:val="Heading 2 Char"/>
    <w:basedOn w:val="DefaultParagraphFont"/>
    <w:link w:val="Heading2"/>
    <w:uiPriority w:val="9"/>
    <w:rsid w:val="009A4008"/>
    <w:rPr>
      <w:rFonts w:asciiTheme="majorHAnsi" w:eastAsiaTheme="majorEastAsia" w:hAnsiTheme="majorHAnsi" w:cstheme="majorBidi"/>
      <w:b/>
      <w:bCs/>
      <w:sz w:val="24"/>
      <w:szCs w:val="26"/>
      <w:lang w:val="en-US"/>
    </w:rPr>
  </w:style>
  <w:style w:type="character" w:customStyle="1" w:styleId="Heading3Char">
    <w:name w:val="Heading 3 Char"/>
    <w:basedOn w:val="DefaultParagraphFont"/>
    <w:link w:val="Heading3"/>
    <w:uiPriority w:val="9"/>
    <w:rsid w:val="009A4008"/>
    <w:rPr>
      <w:rFonts w:asciiTheme="majorHAnsi" w:eastAsiaTheme="majorEastAsia" w:hAnsiTheme="majorHAnsi" w:cstheme="majorBidi"/>
      <w:b/>
      <w:bCs/>
      <w:lang w:val="en-US"/>
    </w:rPr>
  </w:style>
  <w:style w:type="character" w:customStyle="1" w:styleId="Heading4Char">
    <w:name w:val="Heading 4 Char"/>
    <w:basedOn w:val="DefaultParagraphFont"/>
    <w:link w:val="Heading4"/>
    <w:uiPriority w:val="9"/>
    <w:semiHidden/>
    <w:rsid w:val="009A4008"/>
    <w:rPr>
      <w:rFonts w:asciiTheme="majorHAnsi" w:eastAsiaTheme="majorEastAsia" w:hAnsiTheme="majorHAnsi" w:cstheme="majorBidi"/>
      <w:b/>
      <w:bCs/>
      <w:i/>
      <w:iCs/>
      <w:color w:val="4472C4" w:themeColor="accent1"/>
      <w:lang w:val="en-US"/>
    </w:rPr>
  </w:style>
  <w:style w:type="character" w:customStyle="1" w:styleId="Heading5Char">
    <w:name w:val="Heading 5 Char"/>
    <w:basedOn w:val="DefaultParagraphFont"/>
    <w:link w:val="Heading5"/>
    <w:uiPriority w:val="9"/>
    <w:semiHidden/>
    <w:rsid w:val="009A4008"/>
    <w:rPr>
      <w:rFonts w:asciiTheme="majorHAnsi" w:eastAsiaTheme="majorEastAsia" w:hAnsiTheme="majorHAnsi" w:cstheme="majorBidi"/>
      <w:color w:val="1F3763" w:themeColor="accent1" w:themeShade="7F"/>
      <w:lang w:val="en-US"/>
    </w:rPr>
  </w:style>
  <w:style w:type="character" w:customStyle="1" w:styleId="Heading6Char">
    <w:name w:val="Heading 6 Char"/>
    <w:basedOn w:val="DefaultParagraphFont"/>
    <w:link w:val="Heading6"/>
    <w:uiPriority w:val="9"/>
    <w:semiHidden/>
    <w:rsid w:val="009A4008"/>
    <w:rPr>
      <w:rFonts w:asciiTheme="majorHAnsi" w:eastAsiaTheme="majorEastAsia" w:hAnsiTheme="majorHAnsi" w:cstheme="majorBidi"/>
      <w:i/>
      <w:iCs/>
      <w:color w:val="1F3763" w:themeColor="accent1" w:themeShade="7F"/>
      <w:lang w:val="en-US"/>
    </w:rPr>
  </w:style>
  <w:style w:type="character" w:customStyle="1" w:styleId="Heading7Char">
    <w:name w:val="Heading 7 Char"/>
    <w:basedOn w:val="DefaultParagraphFont"/>
    <w:link w:val="Heading7"/>
    <w:uiPriority w:val="9"/>
    <w:semiHidden/>
    <w:rsid w:val="009A4008"/>
    <w:rPr>
      <w:rFonts w:asciiTheme="majorHAnsi" w:eastAsiaTheme="majorEastAsia" w:hAnsiTheme="majorHAnsi" w:cstheme="majorBidi"/>
      <w:i/>
      <w:iCs/>
      <w:color w:val="404040" w:themeColor="text1" w:themeTint="BF"/>
      <w:lang w:val="en-US"/>
    </w:rPr>
  </w:style>
  <w:style w:type="character" w:customStyle="1" w:styleId="Heading8Char">
    <w:name w:val="Heading 8 Char"/>
    <w:basedOn w:val="DefaultParagraphFont"/>
    <w:link w:val="Heading8"/>
    <w:uiPriority w:val="9"/>
    <w:semiHidden/>
    <w:rsid w:val="009A4008"/>
    <w:rPr>
      <w:rFonts w:asciiTheme="majorHAnsi" w:eastAsiaTheme="majorEastAsia" w:hAnsiTheme="majorHAnsi" w:cstheme="majorBidi"/>
      <w:color w:val="4472C4" w:themeColor="accent1"/>
      <w:sz w:val="20"/>
      <w:szCs w:val="20"/>
      <w:lang w:val="en-US"/>
    </w:rPr>
  </w:style>
  <w:style w:type="character" w:customStyle="1" w:styleId="Heading9Char">
    <w:name w:val="Heading 9 Char"/>
    <w:basedOn w:val="DefaultParagraphFont"/>
    <w:link w:val="Heading9"/>
    <w:uiPriority w:val="9"/>
    <w:semiHidden/>
    <w:rsid w:val="009A4008"/>
    <w:rPr>
      <w:rFonts w:asciiTheme="majorHAnsi" w:eastAsiaTheme="majorEastAsia" w:hAnsiTheme="majorHAnsi" w:cstheme="majorBidi"/>
      <w:i/>
      <w:iCs/>
      <w:color w:val="404040" w:themeColor="text1" w:themeTint="BF"/>
      <w:sz w:val="20"/>
      <w:szCs w:val="20"/>
      <w:lang w:val="en-US"/>
    </w:rPr>
  </w:style>
  <w:style w:type="paragraph" w:styleId="Header">
    <w:name w:val="header"/>
    <w:basedOn w:val="Normal"/>
    <w:link w:val="HeaderChar"/>
    <w:uiPriority w:val="99"/>
    <w:unhideWhenUsed/>
    <w:rsid w:val="009A4008"/>
    <w:pPr>
      <w:tabs>
        <w:tab w:val="center" w:pos="4680"/>
        <w:tab w:val="right" w:pos="9360"/>
      </w:tabs>
    </w:pPr>
    <w:rPr>
      <w:rFonts w:ascii="Times New Roman" w:eastAsia="Times New Roman" w:hAnsi="Times New Roman"/>
      <w:sz w:val="22"/>
      <w:szCs w:val="22"/>
      <w:lang w:eastAsia="en-US"/>
    </w:rPr>
  </w:style>
  <w:style w:type="character" w:customStyle="1" w:styleId="HeaderChar">
    <w:name w:val="Header Char"/>
    <w:basedOn w:val="DefaultParagraphFont"/>
    <w:link w:val="Header"/>
    <w:uiPriority w:val="99"/>
    <w:rsid w:val="009A4008"/>
    <w:rPr>
      <w:rFonts w:ascii="Times New Roman" w:eastAsia="Times New Roman" w:hAnsi="Times New Roman"/>
      <w:lang w:val="en-US"/>
    </w:rPr>
  </w:style>
  <w:style w:type="paragraph" w:styleId="Footer">
    <w:name w:val="footer"/>
    <w:basedOn w:val="Normal"/>
    <w:link w:val="FooterChar"/>
    <w:uiPriority w:val="99"/>
    <w:unhideWhenUsed/>
    <w:rsid w:val="009A4008"/>
    <w:pPr>
      <w:tabs>
        <w:tab w:val="center" w:pos="4680"/>
        <w:tab w:val="right" w:pos="9360"/>
      </w:tabs>
    </w:pPr>
    <w:rPr>
      <w:rFonts w:ascii="Times New Roman" w:eastAsia="Times New Roman" w:hAnsi="Times New Roman"/>
      <w:sz w:val="22"/>
      <w:szCs w:val="22"/>
      <w:lang w:eastAsia="en-US"/>
    </w:rPr>
  </w:style>
  <w:style w:type="character" w:customStyle="1" w:styleId="FooterChar">
    <w:name w:val="Footer Char"/>
    <w:basedOn w:val="DefaultParagraphFont"/>
    <w:link w:val="Footer"/>
    <w:uiPriority w:val="99"/>
    <w:rsid w:val="009A4008"/>
    <w:rPr>
      <w:rFonts w:ascii="Times New Roman" w:eastAsia="Times New Roman" w:hAnsi="Times New Roman"/>
      <w:lang w:val="en-US"/>
    </w:rPr>
  </w:style>
  <w:style w:type="paragraph" w:styleId="NoSpacing">
    <w:name w:val="No Spacing"/>
    <w:uiPriority w:val="1"/>
    <w:qFormat/>
    <w:rsid w:val="009A4008"/>
    <w:pPr>
      <w:spacing w:after="0" w:line="240" w:lineRule="auto"/>
    </w:pPr>
    <w:rPr>
      <w:rFonts w:eastAsiaTheme="minorEastAsia"/>
      <w:lang w:val="en-US"/>
    </w:rPr>
  </w:style>
  <w:style w:type="paragraph" w:styleId="Title">
    <w:name w:val="Title"/>
    <w:basedOn w:val="Normal"/>
    <w:next w:val="Normal"/>
    <w:link w:val="TitleChar"/>
    <w:uiPriority w:val="10"/>
    <w:qFormat/>
    <w:rsid w:val="009A4008"/>
    <w:pPr>
      <w:pBdr>
        <w:bottom w:val="single" w:sz="8" w:space="4" w:color="4472C4" w:themeColor="accent1"/>
      </w:pBdr>
      <w:spacing w:after="300"/>
      <w:contextualSpacing/>
    </w:pPr>
    <w:rPr>
      <w:rFonts w:asciiTheme="majorHAnsi" w:eastAsiaTheme="majorEastAsia" w:hAnsiTheme="majorHAnsi" w:cstheme="majorBidi"/>
      <w:b/>
      <w:spacing w:val="5"/>
      <w:kern w:val="28"/>
      <w:sz w:val="36"/>
      <w:szCs w:val="52"/>
      <w:lang w:eastAsia="en-US"/>
    </w:rPr>
  </w:style>
  <w:style w:type="character" w:customStyle="1" w:styleId="TitleChar">
    <w:name w:val="Title Char"/>
    <w:basedOn w:val="DefaultParagraphFont"/>
    <w:link w:val="Title"/>
    <w:uiPriority w:val="10"/>
    <w:rsid w:val="009A4008"/>
    <w:rPr>
      <w:rFonts w:asciiTheme="majorHAnsi" w:eastAsiaTheme="majorEastAsia" w:hAnsiTheme="majorHAnsi" w:cstheme="majorBidi"/>
      <w:b/>
      <w:spacing w:val="5"/>
      <w:kern w:val="28"/>
      <w:sz w:val="36"/>
      <w:szCs w:val="52"/>
      <w:lang w:val="en-US"/>
    </w:rPr>
  </w:style>
  <w:style w:type="paragraph" w:styleId="Subtitle">
    <w:name w:val="Subtitle"/>
    <w:basedOn w:val="Normal"/>
    <w:next w:val="Normal"/>
    <w:link w:val="SubtitleChar"/>
    <w:uiPriority w:val="11"/>
    <w:qFormat/>
    <w:rsid w:val="009A4008"/>
    <w:pPr>
      <w:numPr>
        <w:ilvl w:val="1"/>
      </w:numPr>
      <w:spacing w:after="120" w:line="276" w:lineRule="auto"/>
    </w:pPr>
    <w:rPr>
      <w:rFonts w:asciiTheme="majorHAnsi" w:eastAsiaTheme="majorEastAsia" w:hAnsiTheme="majorHAnsi" w:cstheme="majorBidi"/>
      <w:i/>
      <w:iCs/>
      <w:color w:val="4472C4" w:themeColor="accent1"/>
      <w:spacing w:val="15"/>
      <w:sz w:val="24"/>
      <w:szCs w:val="24"/>
      <w:lang w:eastAsia="en-US"/>
    </w:rPr>
  </w:style>
  <w:style w:type="character" w:customStyle="1" w:styleId="SubtitleChar">
    <w:name w:val="Subtitle Char"/>
    <w:basedOn w:val="DefaultParagraphFont"/>
    <w:link w:val="Subtitle"/>
    <w:uiPriority w:val="11"/>
    <w:rsid w:val="009A4008"/>
    <w:rPr>
      <w:rFonts w:asciiTheme="majorHAnsi" w:eastAsiaTheme="majorEastAsia" w:hAnsiTheme="majorHAnsi" w:cstheme="majorBidi"/>
      <w:i/>
      <w:iCs/>
      <w:color w:val="4472C4" w:themeColor="accent1"/>
      <w:spacing w:val="15"/>
      <w:sz w:val="24"/>
      <w:szCs w:val="24"/>
      <w:lang w:val="en-US"/>
    </w:rPr>
  </w:style>
  <w:style w:type="paragraph" w:styleId="ListParagraph">
    <w:name w:val="List Paragraph"/>
    <w:basedOn w:val="Normal"/>
    <w:uiPriority w:val="34"/>
    <w:qFormat/>
    <w:rsid w:val="009A4008"/>
    <w:pPr>
      <w:spacing w:after="120" w:line="276" w:lineRule="auto"/>
      <w:ind w:left="720"/>
      <w:contextualSpacing/>
    </w:pPr>
    <w:rPr>
      <w:rFonts w:ascii="Times New Roman" w:eastAsia="Times New Roman" w:hAnsi="Times New Roman"/>
      <w:sz w:val="22"/>
      <w:szCs w:val="22"/>
      <w:lang w:eastAsia="en-US"/>
    </w:rPr>
  </w:style>
  <w:style w:type="paragraph" w:styleId="BodyText">
    <w:name w:val="Body Text"/>
    <w:basedOn w:val="Normal"/>
    <w:link w:val="BodyTextChar"/>
    <w:uiPriority w:val="99"/>
    <w:unhideWhenUsed/>
    <w:rsid w:val="009A4008"/>
    <w:pPr>
      <w:spacing w:after="120" w:line="276" w:lineRule="auto"/>
    </w:pPr>
    <w:rPr>
      <w:rFonts w:ascii="Times New Roman" w:eastAsia="Times New Roman" w:hAnsi="Times New Roman"/>
      <w:sz w:val="22"/>
      <w:szCs w:val="22"/>
      <w:lang w:eastAsia="en-US"/>
    </w:rPr>
  </w:style>
  <w:style w:type="character" w:customStyle="1" w:styleId="BodyTextChar">
    <w:name w:val="Body Text Char"/>
    <w:basedOn w:val="DefaultParagraphFont"/>
    <w:link w:val="BodyText"/>
    <w:uiPriority w:val="99"/>
    <w:rsid w:val="009A4008"/>
    <w:rPr>
      <w:rFonts w:ascii="Times New Roman" w:eastAsia="Times New Roman" w:hAnsi="Times New Roman"/>
      <w:lang w:val="en-US"/>
    </w:rPr>
  </w:style>
  <w:style w:type="paragraph" w:styleId="BodyText2">
    <w:name w:val="Body Text 2"/>
    <w:basedOn w:val="Normal"/>
    <w:link w:val="BodyText2Char"/>
    <w:uiPriority w:val="99"/>
    <w:unhideWhenUsed/>
    <w:rsid w:val="009A4008"/>
    <w:pPr>
      <w:spacing w:after="120" w:line="480" w:lineRule="auto"/>
    </w:pPr>
    <w:rPr>
      <w:rFonts w:ascii="Times New Roman" w:eastAsia="Times New Roman" w:hAnsi="Times New Roman"/>
      <w:sz w:val="22"/>
      <w:szCs w:val="22"/>
      <w:lang w:eastAsia="en-US"/>
    </w:rPr>
  </w:style>
  <w:style w:type="character" w:customStyle="1" w:styleId="BodyText2Char">
    <w:name w:val="Body Text 2 Char"/>
    <w:basedOn w:val="DefaultParagraphFont"/>
    <w:link w:val="BodyText2"/>
    <w:uiPriority w:val="99"/>
    <w:rsid w:val="009A4008"/>
    <w:rPr>
      <w:rFonts w:ascii="Times New Roman" w:eastAsia="Times New Roman" w:hAnsi="Times New Roman"/>
      <w:lang w:val="en-US"/>
    </w:rPr>
  </w:style>
  <w:style w:type="paragraph" w:styleId="BodyText3">
    <w:name w:val="Body Text 3"/>
    <w:basedOn w:val="Normal"/>
    <w:link w:val="BodyText3Char"/>
    <w:uiPriority w:val="99"/>
    <w:unhideWhenUsed/>
    <w:rsid w:val="009A4008"/>
    <w:pPr>
      <w:spacing w:after="120" w:line="276" w:lineRule="auto"/>
    </w:pPr>
    <w:rPr>
      <w:rFonts w:ascii="Times New Roman" w:eastAsia="Times New Roman" w:hAnsi="Times New Roman"/>
      <w:sz w:val="16"/>
      <w:szCs w:val="16"/>
      <w:lang w:eastAsia="en-US"/>
    </w:rPr>
  </w:style>
  <w:style w:type="character" w:customStyle="1" w:styleId="BodyText3Char">
    <w:name w:val="Body Text 3 Char"/>
    <w:basedOn w:val="DefaultParagraphFont"/>
    <w:link w:val="BodyText3"/>
    <w:uiPriority w:val="99"/>
    <w:rsid w:val="009A4008"/>
    <w:rPr>
      <w:rFonts w:ascii="Times New Roman" w:eastAsia="Times New Roman" w:hAnsi="Times New Roman"/>
      <w:sz w:val="16"/>
      <w:szCs w:val="16"/>
      <w:lang w:val="en-US"/>
    </w:rPr>
  </w:style>
  <w:style w:type="paragraph" w:styleId="List">
    <w:name w:val="List"/>
    <w:basedOn w:val="Normal"/>
    <w:uiPriority w:val="99"/>
    <w:unhideWhenUsed/>
    <w:rsid w:val="009A4008"/>
    <w:pPr>
      <w:spacing w:after="120" w:line="276" w:lineRule="auto"/>
      <w:ind w:left="360" w:hanging="360"/>
      <w:contextualSpacing/>
    </w:pPr>
    <w:rPr>
      <w:rFonts w:ascii="Times New Roman" w:eastAsia="Times New Roman" w:hAnsi="Times New Roman"/>
      <w:sz w:val="22"/>
      <w:szCs w:val="22"/>
      <w:lang w:eastAsia="en-US"/>
    </w:rPr>
  </w:style>
  <w:style w:type="paragraph" w:styleId="List2">
    <w:name w:val="List 2"/>
    <w:basedOn w:val="Normal"/>
    <w:uiPriority w:val="99"/>
    <w:unhideWhenUsed/>
    <w:rsid w:val="009A4008"/>
    <w:pPr>
      <w:spacing w:after="120" w:line="276" w:lineRule="auto"/>
      <w:ind w:left="720" w:hanging="360"/>
      <w:contextualSpacing/>
    </w:pPr>
    <w:rPr>
      <w:rFonts w:ascii="Times New Roman" w:eastAsia="Times New Roman" w:hAnsi="Times New Roman"/>
      <w:sz w:val="22"/>
      <w:szCs w:val="22"/>
      <w:lang w:eastAsia="en-US"/>
    </w:rPr>
  </w:style>
  <w:style w:type="paragraph" w:styleId="List3">
    <w:name w:val="List 3"/>
    <w:basedOn w:val="Normal"/>
    <w:uiPriority w:val="99"/>
    <w:unhideWhenUsed/>
    <w:rsid w:val="009A4008"/>
    <w:pPr>
      <w:spacing w:after="120" w:line="276" w:lineRule="auto"/>
      <w:ind w:left="1080" w:hanging="360"/>
      <w:contextualSpacing/>
    </w:pPr>
    <w:rPr>
      <w:rFonts w:ascii="Times New Roman" w:eastAsia="Times New Roman" w:hAnsi="Times New Roman"/>
      <w:sz w:val="22"/>
      <w:szCs w:val="22"/>
      <w:lang w:eastAsia="en-US"/>
    </w:rPr>
  </w:style>
  <w:style w:type="paragraph" w:styleId="ListBullet">
    <w:name w:val="List Bullet"/>
    <w:basedOn w:val="Normal"/>
    <w:uiPriority w:val="99"/>
    <w:unhideWhenUsed/>
    <w:rsid w:val="009A4008"/>
    <w:pPr>
      <w:numPr>
        <w:numId w:val="1"/>
      </w:numPr>
      <w:spacing w:after="120" w:line="276" w:lineRule="auto"/>
      <w:contextualSpacing/>
    </w:pPr>
    <w:rPr>
      <w:rFonts w:ascii="Times New Roman" w:eastAsia="Times New Roman" w:hAnsi="Times New Roman"/>
      <w:sz w:val="22"/>
      <w:szCs w:val="22"/>
      <w:lang w:eastAsia="en-US"/>
    </w:rPr>
  </w:style>
  <w:style w:type="paragraph" w:styleId="ListBullet2">
    <w:name w:val="List Bullet 2"/>
    <w:basedOn w:val="Normal"/>
    <w:uiPriority w:val="99"/>
    <w:unhideWhenUsed/>
    <w:rsid w:val="009A4008"/>
    <w:pPr>
      <w:numPr>
        <w:numId w:val="2"/>
      </w:numPr>
      <w:spacing w:after="120" w:line="276" w:lineRule="auto"/>
      <w:contextualSpacing/>
    </w:pPr>
    <w:rPr>
      <w:rFonts w:ascii="Times New Roman" w:eastAsia="Times New Roman" w:hAnsi="Times New Roman"/>
      <w:sz w:val="22"/>
      <w:szCs w:val="22"/>
      <w:lang w:eastAsia="en-US"/>
    </w:rPr>
  </w:style>
  <w:style w:type="paragraph" w:styleId="ListBullet3">
    <w:name w:val="List Bullet 3"/>
    <w:basedOn w:val="Normal"/>
    <w:uiPriority w:val="99"/>
    <w:unhideWhenUsed/>
    <w:rsid w:val="009A4008"/>
    <w:pPr>
      <w:numPr>
        <w:numId w:val="3"/>
      </w:numPr>
      <w:spacing w:after="120" w:line="276" w:lineRule="auto"/>
      <w:contextualSpacing/>
    </w:pPr>
    <w:rPr>
      <w:rFonts w:ascii="Times New Roman" w:eastAsia="Times New Roman" w:hAnsi="Times New Roman"/>
      <w:sz w:val="22"/>
      <w:szCs w:val="22"/>
      <w:lang w:eastAsia="en-US"/>
    </w:rPr>
  </w:style>
  <w:style w:type="paragraph" w:styleId="ListNumber">
    <w:name w:val="List Number"/>
    <w:basedOn w:val="Normal"/>
    <w:uiPriority w:val="99"/>
    <w:unhideWhenUsed/>
    <w:rsid w:val="009A4008"/>
    <w:pPr>
      <w:numPr>
        <w:numId w:val="5"/>
      </w:numPr>
      <w:spacing w:after="120" w:line="276" w:lineRule="auto"/>
      <w:contextualSpacing/>
    </w:pPr>
    <w:rPr>
      <w:rFonts w:ascii="Times New Roman" w:eastAsia="Times New Roman" w:hAnsi="Times New Roman"/>
      <w:sz w:val="22"/>
      <w:szCs w:val="22"/>
      <w:lang w:eastAsia="en-US"/>
    </w:rPr>
  </w:style>
  <w:style w:type="paragraph" w:styleId="ListNumber2">
    <w:name w:val="List Number 2"/>
    <w:basedOn w:val="Normal"/>
    <w:uiPriority w:val="99"/>
    <w:unhideWhenUsed/>
    <w:rsid w:val="009A4008"/>
    <w:pPr>
      <w:numPr>
        <w:numId w:val="6"/>
      </w:numPr>
      <w:spacing w:after="120" w:line="276" w:lineRule="auto"/>
      <w:contextualSpacing/>
    </w:pPr>
    <w:rPr>
      <w:rFonts w:ascii="Times New Roman" w:eastAsia="Times New Roman" w:hAnsi="Times New Roman"/>
      <w:sz w:val="22"/>
      <w:szCs w:val="22"/>
      <w:lang w:eastAsia="en-US"/>
    </w:rPr>
  </w:style>
  <w:style w:type="paragraph" w:styleId="ListNumber3">
    <w:name w:val="List Number 3"/>
    <w:basedOn w:val="Normal"/>
    <w:uiPriority w:val="99"/>
    <w:unhideWhenUsed/>
    <w:rsid w:val="009A4008"/>
    <w:pPr>
      <w:numPr>
        <w:numId w:val="7"/>
      </w:numPr>
      <w:spacing w:after="120" w:line="276" w:lineRule="auto"/>
      <w:contextualSpacing/>
    </w:pPr>
    <w:rPr>
      <w:rFonts w:ascii="Times New Roman" w:eastAsia="Times New Roman" w:hAnsi="Times New Roman"/>
      <w:sz w:val="22"/>
      <w:szCs w:val="22"/>
      <w:lang w:eastAsia="en-US"/>
    </w:rPr>
  </w:style>
  <w:style w:type="paragraph" w:styleId="ListContinue">
    <w:name w:val="List Continue"/>
    <w:basedOn w:val="Normal"/>
    <w:uiPriority w:val="99"/>
    <w:unhideWhenUsed/>
    <w:rsid w:val="009A4008"/>
    <w:pPr>
      <w:spacing w:after="120" w:line="276" w:lineRule="auto"/>
      <w:ind w:left="360"/>
      <w:contextualSpacing/>
    </w:pPr>
    <w:rPr>
      <w:rFonts w:ascii="Times New Roman" w:eastAsia="Times New Roman" w:hAnsi="Times New Roman"/>
      <w:sz w:val="22"/>
      <w:szCs w:val="22"/>
      <w:lang w:eastAsia="en-US"/>
    </w:rPr>
  </w:style>
  <w:style w:type="paragraph" w:styleId="ListContinue2">
    <w:name w:val="List Continue 2"/>
    <w:basedOn w:val="Normal"/>
    <w:uiPriority w:val="99"/>
    <w:unhideWhenUsed/>
    <w:rsid w:val="009A4008"/>
    <w:pPr>
      <w:spacing w:after="120" w:line="276" w:lineRule="auto"/>
      <w:ind w:left="720"/>
      <w:contextualSpacing/>
    </w:pPr>
    <w:rPr>
      <w:rFonts w:ascii="Times New Roman" w:eastAsia="Times New Roman" w:hAnsi="Times New Roman"/>
      <w:sz w:val="22"/>
      <w:szCs w:val="22"/>
      <w:lang w:eastAsia="en-US"/>
    </w:rPr>
  </w:style>
  <w:style w:type="paragraph" w:styleId="ListContinue3">
    <w:name w:val="List Continue 3"/>
    <w:basedOn w:val="Normal"/>
    <w:uiPriority w:val="99"/>
    <w:unhideWhenUsed/>
    <w:rsid w:val="009A4008"/>
    <w:pPr>
      <w:spacing w:after="120" w:line="276" w:lineRule="auto"/>
      <w:ind w:left="1080"/>
      <w:contextualSpacing/>
    </w:pPr>
    <w:rPr>
      <w:rFonts w:ascii="Times New Roman" w:eastAsia="Times New Roman" w:hAnsi="Times New Roman"/>
      <w:sz w:val="22"/>
      <w:szCs w:val="22"/>
      <w:lang w:eastAsia="en-US"/>
    </w:rPr>
  </w:style>
  <w:style w:type="paragraph" w:styleId="MacroText">
    <w:name w:val="macro"/>
    <w:link w:val="MacroTextChar"/>
    <w:uiPriority w:val="99"/>
    <w:unhideWhenUsed/>
    <w:rsid w:val="009A4008"/>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lang w:val="en-US"/>
    </w:rPr>
  </w:style>
  <w:style w:type="character" w:customStyle="1" w:styleId="MacroTextChar">
    <w:name w:val="Macro Text Char"/>
    <w:basedOn w:val="DefaultParagraphFont"/>
    <w:link w:val="MacroText"/>
    <w:uiPriority w:val="99"/>
    <w:rsid w:val="009A4008"/>
    <w:rPr>
      <w:rFonts w:ascii="Courier" w:eastAsiaTheme="minorEastAsia" w:hAnsi="Courier"/>
      <w:sz w:val="20"/>
      <w:szCs w:val="20"/>
      <w:lang w:val="en-US"/>
    </w:rPr>
  </w:style>
  <w:style w:type="paragraph" w:styleId="Quote">
    <w:name w:val="Quote"/>
    <w:basedOn w:val="Normal"/>
    <w:next w:val="Normal"/>
    <w:link w:val="QuoteChar"/>
    <w:uiPriority w:val="29"/>
    <w:qFormat/>
    <w:rsid w:val="009A4008"/>
    <w:pPr>
      <w:spacing w:after="120" w:line="276" w:lineRule="auto"/>
    </w:pPr>
    <w:rPr>
      <w:rFonts w:ascii="Times New Roman" w:eastAsia="Times New Roman" w:hAnsi="Times New Roman"/>
      <w:i/>
      <w:iCs/>
      <w:color w:val="000000" w:themeColor="text1"/>
      <w:sz w:val="22"/>
      <w:szCs w:val="22"/>
      <w:lang w:eastAsia="en-US"/>
    </w:rPr>
  </w:style>
  <w:style w:type="character" w:customStyle="1" w:styleId="QuoteChar">
    <w:name w:val="Quote Char"/>
    <w:basedOn w:val="DefaultParagraphFont"/>
    <w:link w:val="Quote"/>
    <w:uiPriority w:val="29"/>
    <w:rsid w:val="009A4008"/>
    <w:rPr>
      <w:rFonts w:ascii="Times New Roman" w:eastAsia="Times New Roman" w:hAnsi="Times New Roman"/>
      <w:i/>
      <w:iCs/>
      <w:color w:val="000000" w:themeColor="text1"/>
      <w:lang w:val="en-US"/>
    </w:rPr>
  </w:style>
  <w:style w:type="paragraph" w:styleId="Caption">
    <w:name w:val="caption"/>
    <w:basedOn w:val="Normal"/>
    <w:next w:val="Normal"/>
    <w:uiPriority w:val="35"/>
    <w:semiHidden/>
    <w:unhideWhenUsed/>
    <w:qFormat/>
    <w:rsid w:val="009A4008"/>
    <w:pPr>
      <w:spacing w:after="120"/>
    </w:pPr>
    <w:rPr>
      <w:rFonts w:ascii="Times New Roman" w:eastAsia="Times New Roman" w:hAnsi="Times New Roman"/>
      <w:b/>
      <w:bCs/>
      <w:color w:val="4472C4" w:themeColor="accent1"/>
      <w:sz w:val="18"/>
      <w:szCs w:val="18"/>
      <w:lang w:eastAsia="en-US"/>
    </w:rPr>
  </w:style>
  <w:style w:type="character" w:styleId="Strong">
    <w:name w:val="Strong"/>
    <w:basedOn w:val="DefaultParagraphFont"/>
    <w:uiPriority w:val="22"/>
    <w:qFormat/>
    <w:rsid w:val="009A4008"/>
    <w:rPr>
      <w:b/>
      <w:bCs/>
    </w:rPr>
  </w:style>
  <w:style w:type="paragraph" w:styleId="IntenseQuote">
    <w:name w:val="Intense Quote"/>
    <w:basedOn w:val="Normal"/>
    <w:next w:val="Normal"/>
    <w:link w:val="IntenseQuoteChar"/>
    <w:uiPriority w:val="30"/>
    <w:qFormat/>
    <w:rsid w:val="009A4008"/>
    <w:pPr>
      <w:pBdr>
        <w:bottom w:val="single" w:sz="4" w:space="4" w:color="4472C4" w:themeColor="accent1"/>
      </w:pBdr>
      <w:spacing w:before="200" w:after="280" w:line="276" w:lineRule="auto"/>
      <w:ind w:left="936" w:right="936"/>
    </w:pPr>
    <w:rPr>
      <w:rFonts w:ascii="Times New Roman" w:eastAsia="Times New Roman" w:hAnsi="Times New Roman"/>
      <w:b/>
      <w:bCs/>
      <w:i/>
      <w:iCs/>
      <w:color w:val="4472C4" w:themeColor="accent1"/>
      <w:sz w:val="22"/>
      <w:szCs w:val="22"/>
      <w:lang w:eastAsia="en-US"/>
    </w:rPr>
  </w:style>
  <w:style w:type="character" w:customStyle="1" w:styleId="IntenseQuoteChar">
    <w:name w:val="Intense Quote Char"/>
    <w:basedOn w:val="DefaultParagraphFont"/>
    <w:link w:val="IntenseQuote"/>
    <w:uiPriority w:val="30"/>
    <w:rsid w:val="009A4008"/>
    <w:rPr>
      <w:rFonts w:ascii="Times New Roman" w:eastAsia="Times New Roman" w:hAnsi="Times New Roman"/>
      <w:b/>
      <w:bCs/>
      <w:i/>
      <w:iCs/>
      <w:color w:val="4472C4" w:themeColor="accent1"/>
      <w:lang w:val="en-US"/>
    </w:rPr>
  </w:style>
  <w:style w:type="character" w:styleId="SubtleEmphasis">
    <w:name w:val="Subtle Emphasis"/>
    <w:basedOn w:val="DefaultParagraphFont"/>
    <w:uiPriority w:val="19"/>
    <w:qFormat/>
    <w:rsid w:val="009A4008"/>
    <w:rPr>
      <w:i/>
      <w:iCs/>
      <w:color w:val="808080" w:themeColor="text1" w:themeTint="7F"/>
    </w:rPr>
  </w:style>
  <w:style w:type="character" w:styleId="IntenseEmphasis">
    <w:name w:val="Intense Emphasis"/>
    <w:basedOn w:val="DefaultParagraphFont"/>
    <w:uiPriority w:val="21"/>
    <w:qFormat/>
    <w:rsid w:val="009A4008"/>
    <w:rPr>
      <w:b/>
      <w:bCs/>
      <w:i/>
      <w:iCs/>
      <w:color w:val="4472C4" w:themeColor="accent1"/>
    </w:rPr>
  </w:style>
  <w:style w:type="character" w:styleId="SubtleReference">
    <w:name w:val="Subtle Reference"/>
    <w:basedOn w:val="DefaultParagraphFont"/>
    <w:uiPriority w:val="31"/>
    <w:qFormat/>
    <w:rsid w:val="009A4008"/>
    <w:rPr>
      <w:smallCaps/>
      <w:color w:val="ED7D31" w:themeColor="accent2"/>
      <w:u w:val="single"/>
    </w:rPr>
  </w:style>
  <w:style w:type="character" w:styleId="IntenseReference">
    <w:name w:val="Intense Reference"/>
    <w:basedOn w:val="DefaultParagraphFont"/>
    <w:uiPriority w:val="32"/>
    <w:qFormat/>
    <w:rsid w:val="009A4008"/>
    <w:rPr>
      <w:b/>
      <w:bCs/>
      <w:smallCaps/>
      <w:color w:val="ED7D31" w:themeColor="accent2"/>
      <w:spacing w:val="5"/>
      <w:u w:val="single"/>
    </w:rPr>
  </w:style>
  <w:style w:type="character" w:styleId="BookTitle">
    <w:name w:val="Book Title"/>
    <w:basedOn w:val="DefaultParagraphFont"/>
    <w:uiPriority w:val="33"/>
    <w:qFormat/>
    <w:rsid w:val="009A4008"/>
    <w:rPr>
      <w:b/>
      <w:bCs/>
      <w:smallCaps/>
      <w:spacing w:val="5"/>
    </w:rPr>
  </w:style>
  <w:style w:type="paragraph" w:styleId="TOCHeading">
    <w:name w:val="TOC Heading"/>
    <w:basedOn w:val="Heading1"/>
    <w:next w:val="Normal"/>
    <w:uiPriority w:val="39"/>
    <w:semiHidden/>
    <w:unhideWhenUsed/>
    <w:qFormat/>
    <w:rsid w:val="009A4008"/>
    <w:pPr>
      <w:outlineLvl w:val="9"/>
    </w:pPr>
  </w:style>
  <w:style w:type="table" w:styleId="TableGrid">
    <w:name w:val="Table Grid"/>
    <w:basedOn w:val="TableNormal"/>
    <w:uiPriority w:val="59"/>
    <w:rsid w:val="009A4008"/>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9A4008"/>
    <w:pPr>
      <w:spacing w:after="0" w:line="240" w:lineRule="auto"/>
    </w:pPr>
    <w:rPr>
      <w:rFonts w:eastAsiaTheme="minorEastAsia"/>
      <w:color w:val="000000" w:themeColor="text1" w:themeShade="BF"/>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9A4008"/>
    <w:pPr>
      <w:spacing w:after="0" w:line="240" w:lineRule="auto"/>
    </w:pPr>
    <w:rPr>
      <w:rFonts w:eastAsiaTheme="minorEastAsia"/>
      <w:color w:val="2F5496" w:themeColor="accent1" w:themeShade="BF"/>
      <w:lang w:val="en-US"/>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9A4008"/>
    <w:pPr>
      <w:spacing w:after="0" w:line="240" w:lineRule="auto"/>
    </w:pPr>
    <w:rPr>
      <w:rFonts w:eastAsiaTheme="minorEastAsia"/>
      <w:color w:val="C45911" w:themeColor="accent2" w:themeShade="BF"/>
      <w:lang w:val="en-US"/>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9A4008"/>
    <w:pPr>
      <w:spacing w:after="0" w:line="240" w:lineRule="auto"/>
    </w:pPr>
    <w:rPr>
      <w:rFonts w:eastAsiaTheme="minorEastAsia"/>
      <w:color w:val="7B7B7B" w:themeColor="accent3" w:themeShade="BF"/>
      <w:lang w:val="en-US"/>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9A4008"/>
    <w:pPr>
      <w:spacing w:after="0" w:line="240" w:lineRule="auto"/>
    </w:pPr>
    <w:rPr>
      <w:rFonts w:eastAsiaTheme="minorEastAsia"/>
      <w:color w:val="BF8F00" w:themeColor="accent4" w:themeShade="BF"/>
      <w:lang w:val="en-US"/>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9A4008"/>
    <w:pPr>
      <w:spacing w:after="0" w:line="240" w:lineRule="auto"/>
    </w:pPr>
    <w:rPr>
      <w:rFonts w:eastAsiaTheme="minorEastAsia"/>
      <w:color w:val="2E74B5" w:themeColor="accent5" w:themeShade="BF"/>
      <w:lang w:val="en-US"/>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9A4008"/>
    <w:pPr>
      <w:spacing w:after="0" w:line="240" w:lineRule="auto"/>
    </w:pPr>
    <w:rPr>
      <w:rFonts w:eastAsiaTheme="minorEastAsia"/>
      <w:color w:val="538135" w:themeColor="accent6" w:themeShade="BF"/>
      <w:lang w:val="en-US"/>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9A4008"/>
    <w:pPr>
      <w:spacing w:after="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9A4008"/>
    <w:pPr>
      <w:spacing w:after="0" w:line="240" w:lineRule="auto"/>
    </w:pPr>
    <w:rPr>
      <w:rFonts w:eastAsiaTheme="minorEastAsia"/>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9A4008"/>
    <w:pPr>
      <w:spacing w:after="0" w:line="240" w:lineRule="auto"/>
    </w:pPr>
    <w:rPr>
      <w:rFonts w:eastAsiaTheme="minorEastAsia"/>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9A4008"/>
    <w:pPr>
      <w:spacing w:after="0" w:line="240" w:lineRule="auto"/>
    </w:pPr>
    <w:rPr>
      <w:rFonts w:eastAsiaTheme="minorEastAsia"/>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9A4008"/>
    <w:pPr>
      <w:spacing w:after="0" w:line="240" w:lineRule="auto"/>
    </w:pPr>
    <w:rPr>
      <w:rFonts w:eastAsiaTheme="minorEastAsia"/>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9A4008"/>
    <w:pPr>
      <w:spacing w:after="0" w:line="240" w:lineRule="auto"/>
    </w:pPr>
    <w:rPr>
      <w:rFonts w:eastAsiaTheme="minorEastAsia"/>
      <w:lang w:val="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9A4008"/>
    <w:pPr>
      <w:spacing w:after="0" w:line="240" w:lineRule="auto"/>
    </w:pPr>
    <w:rPr>
      <w:rFonts w:eastAsiaTheme="minorEastAsia"/>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9A4008"/>
    <w:pPr>
      <w:spacing w:after="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9A4008"/>
    <w:pPr>
      <w:spacing w:after="0" w:line="240" w:lineRule="auto"/>
    </w:pPr>
    <w:rPr>
      <w:rFonts w:eastAsiaTheme="minorEastAsia"/>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9A4008"/>
    <w:pPr>
      <w:spacing w:after="0" w:line="240" w:lineRule="auto"/>
    </w:pPr>
    <w:rPr>
      <w:rFonts w:eastAsiaTheme="minorEastAsia"/>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9A4008"/>
    <w:pPr>
      <w:spacing w:after="0" w:line="240" w:lineRule="auto"/>
    </w:pPr>
    <w:rPr>
      <w:rFonts w:eastAsiaTheme="minorEastAsia"/>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9A4008"/>
    <w:pPr>
      <w:spacing w:after="0" w:line="240" w:lineRule="auto"/>
    </w:pPr>
    <w:rPr>
      <w:rFonts w:eastAsiaTheme="minorEastAsia"/>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9A4008"/>
    <w:pPr>
      <w:spacing w:after="0" w:line="240" w:lineRule="auto"/>
    </w:pPr>
    <w:rPr>
      <w:rFonts w:eastAsiaTheme="minorEastAsia"/>
      <w:lang w:val="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9A4008"/>
    <w:pPr>
      <w:spacing w:after="0" w:line="240" w:lineRule="auto"/>
    </w:pPr>
    <w:rPr>
      <w:rFonts w:eastAsiaTheme="minorEastAsia"/>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9A4008"/>
    <w:pPr>
      <w:spacing w:after="0" w:line="240" w:lineRule="auto"/>
    </w:pPr>
    <w:rPr>
      <w:rFonts w:eastAsiaTheme="minorEastAsia"/>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9A4008"/>
    <w:pPr>
      <w:spacing w:after="0" w:line="240" w:lineRule="auto"/>
    </w:pPr>
    <w:rPr>
      <w:rFonts w:eastAsiaTheme="minorEastAsia"/>
      <w:lang w:val="en-US"/>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9A4008"/>
    <w:pPr>
      <w:spacing w:after="0" w:line="240" w:lineRule="auto"/>
    </w:pPr>
    <w:rPr>
      <w:rFonts w:eastAsiaTheme="minorEastAsia"/>
      <w:lang w:val="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9A4008"/>
    <w:pPr>
      <w:spacing w:after="0" w:line="240" w:lineRule="auto"/>
    </w:pPr>
    <w:rPr>
      <w:rFonts w:eastAsiaTheme="minorEastAsia"/>
      <w:lang w:val="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9A4008"/>
    <w:pPr>
      <w:spacing w:after="0" w:line="240" w:lineRule="auto"/>
    </w:pPr>
    <w:rPr>
      <w:rFonts w:eastAsiaTheme="minorEastAsia"/>
      <w:lang w:val="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9A4008"/>
    <w:pPr>
      <w:spacing w:after="0" w:line="240" w:lineRule="auto"/>
    </w:pPr>
    <w:rPr>
      <w:rFonts w:eastAsiaTheme="minorEastAsia"/>
      <w:lang w:val="en-US"/>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9A4008"/>
    <w:pPr>
      <w:spacing w:after="0" w:line="240" w:lineRule="auto"/>
    </w:pPr>
    <w:rPr>
      <w:rFonts w:eastAsiaTheme="minorEastAsia"/>
      <w:lang w:val="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9A4008"/>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9A4008"/>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9A4008"/>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9A4008"/>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9A4008"/>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9A4008"/>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9A4008"/>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9A4008"/>
    <w:pPr>
      <w:spacing w:after="0" w:line="240" w:lineRule="auto"/>
    </w:pPr>
    <w:rPr>
      <w:rFonts w:eastAsiaTheme="minorEastAsia"/>
      <w:color w:val="000000" w:themeColor="text1"/>
      <w:lang w:val="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9A4008"/>
    <w:pPr>
      <w:spacing w:after="0" w:line="240" w:lineRule="auto"/>
    </w:pPr>
    <w:rPr>
      <w:rFonts w:eastAsiaTheme="minorEastAsia"/>
      <w:color w:val="000000" w:themeColor="text1"/>
      <w:lang w:val="en-US"/>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9A4008"/>
    <w:pPr>
      <w:spacing w:after="0" w:line="240" w:lineRule="auto"/>
    </w:pPr>
    <w:rPr>
      <w:rFonts w:eastAsiaTheme="minorEastAsia"/>
      <w:color w:val="000000" w:themeColor="text1"/>
      <w:lang w:val="en-US"/>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9A4008"/>
    <w:pPr>
      <w:spacing w:after="0" w:line="240" w:lineRule="auto"/>
    </w:pPr>
    <w:rPr>
      <w:rFonts w:eastAsiaTheme="minorEastAsia"/>
      <w:color w:val="000000" w:themeColor="text1"/>
      <w:lang w:val="en-US"/>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9A4008"/>
    <w:pPr>
      <w:spacing w:after="0" w:line="240" w:lineRule="auto"/>
    </w:pPr>
    <w:rPr>
      <w:rFonts w:eastAsiaTheme="minorEastAsia"/>
      <w:color w:val="000000" w:themeColor="text1"/>
      <w:lang w:val="en-US"/>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9A4008"/>
    <w:pPr>
      <w:spacing w:after="0" w:line="240" w:lineRule="auto"/>
    </w:pPr>
    <w:rPr>
      <w:rFonts w:eastAsiaTheme="minorEastAsia"/>
      <w:color w:val="000000" w:themeColor="text1"/>
      <w:lang w:val="en-US"/>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9A4008"/>
    <w:pPr>
      <w:spacing w:after="0" w:line="240" w:lineRule="auto"/>
    </w:pPr>
    <w:rPr>
      <w:rFonts w:eastAsiaTheme="minorEastAsia"/>
      <w:color w:val="000000" w:themeColor="text1"/>
      <w:lang w:val="en-US"/>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9A4008"/>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9A4008"/>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9A4008"/>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9A4008"/>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9A4008"/>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9A4008"/>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9A4008"/>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9A4008"/>
    <w:pPr>
      <w:spacing w:after="0" w:line="240" w:lineRule="auto"/>
    </w:pPr>
    <w:rPr>
      <w:rFonts w:eastAsiaTheme="minorEastAsia"/>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9A4008"/>
    <w:pPr>
      <w:spacing w:after="0" w:line="240" w:lineRule="auto"/>
    </w:pPr>
    <w:rPr>
      <w:rFonts w:eastAsiaTheme="minorEastAsia"/>
      <w:lang w:val="en-US"/>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9A4008"/>
    <w:pPr>
      <w:spacing w:after="0" w:line="240" w:lineRule="auto"/>
    </w:pPr>
    <w:rPr>
      <w:rFonts w:eastAsiaTheme="minorEastAsia"/>
      <w:lang w:val="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9A4008"/>
    <w:pPr>
      <w:spacing w:after="0" w:line="240" w:lineRule="auto"/>
    </w:pPr>
    <w:rPr>
      <w:rFonts w:eastAsiaTheme="minorEastAsia"/>
      <w:lang w:val="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9A4008"/>
    <w:pPr>
      <w:spacing w:after="0" w:line="240" w:lineRule="auto"/>
    </w:pPr>
    <w:rPr>
      <w:rFonts w:eastAsiaTheme="minorEastAsia"/>
      <w:lang w:val="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9A4008"/>
    <w:pPr>
      <w:spacing w:after="0" w:line="240" w:lineRule="auto"/>
    </w:pPr>
    <w:rPr>
      <w:rFonts w:eastAsiaTheme="minorEastAsia"/>
      <w:lang w:val="en-US"/>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9A4008"/>
    <w:pPr>
      <w:spacing w:after="0" w:line="240" w:lineRule="auto"/>
    </w:pPr>
    <w:rPr>
      <w:rFonts w:eastAsiaTheme="minorEastAsia"/>
      <w:lang w:val="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9A4008"/>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9A4008"/>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9A4008"/>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9A4008"/>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9A4008"/>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9A4008"/>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9A4008"/>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9A4008"/>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9A4008"/>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9A4008"/>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9A4008"/>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9A4008"/>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9A4008"/>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9A4008"/>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9A4008"/>
    <w:pPr>
      <w:spacing w:after="0" w:line="240" w:lineRule="auto"/>
    </w:pPr>
    <w:rPr>
      <w:rFonts w:eastAsiaTheme="minorEastAsia"/>
      <w:color w:val="FFFFFF" w:themeColor="background1"/>
      <w:lang w:val="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9A4008"/>
    <w:pPr>
      <w:spacing w:after="0" w:line="240" w:lineRule="auto"/>
    </w:pPr>
    <w:rPr>
      <w:rFonts w:eastAsiaTheme="minorEastAsia"/>
      <w:color w:val="FFFFFF" w:themeColor="background1"/>
      <w:lang w:val="en-US"/>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9A4008"/>
    <w:pPr>
      <w:spacing w:after="0" w:line="240" w:lineRule="auto"/>
    </w:pPr>
    <w:rPr>
      <w:rFonts w:eastAsiaTheme="minorEastAsia"/>
      <w:color w:val="FFFFFF" w:themeColor="background1"/>
      <w:lang w:val="en-US"/>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9A4008"/>
    <w:pPr>
      <w:spacing w:after="0" w:line="240" w:lineRule="auto"/>
    </w:pPr>
    <w:rPr>
      <w:rFonts w:eastAsiaTheme="minorEastAsia"/>
      <w:color w:val="FFFFFF" w:themeColor="background1"/>
      <w:lang w:val="en-US"/>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9A4008"/>
    <w:pPr>
      <w:spacing w:after="0" w:line="240" w:lineRule="auto"/>
    </w:pPr>
    <w:rPr>
      <w:rFonts w:eastAsiaTheme="minorEastAsia"/>
      <w:color w:val="FFFFFF" w:themeColor="background1"/>
      <w:lang w:val="en-US"/>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9A4008"/>
    <w:pPr>
      <w:spacing w:after="0" w:line="240" w:lineRule="auto"/>
    </w:pPr>
    <w:rPr>
      <w:rFonts w:eastAsiaTheme="minorEastAsia"/>
      <w:color w:val="FFFFFF" w:themeColor="background1"/>
      <w:lang w:val="en-US"/>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9A4008"/>
    <w:pPr>
      <w:spacing w:after="0" w:line="240" w:lineRule="auto"/>
    </w:pPr>
    <w:rPr>
      <w:rFonts w:eastAsiaTheme="minorEastAsia"/>
      <w:color w:val="FFFFFF" w:themeColor="background1"/>
      <w:lang w:val="en-US"/>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9A4008"/>
    <w:pPr>
      <w:spacing w:after="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9A4008"/>
    <w:pPr>
      <w:spacing w:after="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9A4008"/>
    <w:pPr>
      <w:spacing w:after="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9A4008"/>
    <w:pPr>
      <w:spacing w:after="0" w:line="240" w:lineRule="auto"/>
    </w:pPr>
    <w:rPr>
      <w:rFonts w:eastAsiaTheme="minorEastAsia"/>
      <w:color w:val="000000" w:themeColor="text1"/>
      <w:lang w:val="en-US"/>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9A4008"/>
    <w:pPr>
      <w:spacing w:after="0" w:line="240" w:lineRule="auto"/>
    </w:pPr>
    <w:rPr>
      <w:rFonts w:eastAsiaTheme="minorEastAsia"/>
      <w:color w:val="000000" w:themeColor="text1"/>
      <w:lang w:val="en-US"/>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9A4008"/>
    <w:pPr>
      <w:spacing w:after="0" w:line="240" w:lineRule="auto"/>
    </w:pPr>
    <w:rPr>
      <w:rFonts w:eastAsiaTheme="minorEastAsia"/>
      <w:color w:val="000000" w:themeColor="text1"/>
      <w:lang w:val="en-US"/>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9A4008"/>
    <w:pPr>
      <w:spacing w:after="0" w:line="240" w:lineRule="auto"/>
    </w:pPr>
    <w:rPr>
      <w:rFonts w:eastAsiaTheme="minorEastAsia"/>
      <w:color w:val="000000" w:themeColor="text1"/>
      <w:lang w:val="en-US"/>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9A4008"/>
    <w:pPr>
      <w:spacing w:after="0" w:line="240" w:lineRule="auto"/>
    </w:pPr>
    <w:rPr>
      <w:rFonts w:eastAsiaTheme="minorEastAsia"/>
      <w:color w:val="000000" w:themeColor="text1"/>
      <w:lang w:val="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9A4008"/>
    <w:pPr>
      <w:spacing w:after="0" w:line="240" w:lineRule="auto"/>
    </w:pPr>
    <w:rPr>
      <w:rFonts w:eastAsiaTheme="minorEastAsia"/>
      <w:color w:val="000000" w:themeColor="text1"/>
      <w:lang w:val="en-US"/>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9A4008"/>
    <w:pPr>
      <w:spacing w:after="0" w:line="240" w:lineRule="auto"/>
    </w:pPr>
    <w:rPr>
      <w:rFonts w:eastAsiaTheme="minorEastAsia"/>
      <w:color w:val="000000" w:themeColor="text1"/>
      <w:lang w:val="en-US"/>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9A4008"/>
    <w:pPr>
      <w:spacing w:after="0" w:line="240" w:lineRule="auto"/>
    </w:pPr>
    <w:rPr>
      <w:rFonts w:eastAsiaTheme="minorEastAsia"/>
      <w:color w:val="000000" w:themeColor="text1"/>
      <w:lang w:val="en-US"/>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9A4008"/>
    <w:pPr>
      <w:spacing w:after="0" w:line="240" w:lineRule="auto"/>
    </w:pPr>
    <w:rPr>
      <w:rFonts w:eastAsiaTheme="minorEastAsia"/>
      <w:color w:val="000000" w:themeColor="text1"/>
      <w:lang w:val="en-US"/>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9A4008"/>
    <w:pPr>
      <w:spacing w:after="0" w:line="240" w:lineRule="auto"/>
    </w:pPr>
    <w:rPr>
      <w:rFonts w:eastAsiaTheme="minorEastAsia"/>
      <w:color w:val="000000" w:themeColor="text1"/>
      <w:lang w:val="en-US"/>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9A4008"/>
    <w:pPr>
      <w:spacing w:after="0" w:line="240" w:lineRule="auto"/>
    </w:pPr>
    <w:rPr>
      <w:rFonts w:eastAsiaTheme="minorEastAsia"/>
      <w:color w:val="000000" w:themeColor="text1"/>
      <w:lang w:val="en-US"/>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9A4008"/>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9A4008"/>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9A4008"/>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9A4008"/>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9A4008"/>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9A4008"/>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9A4008"/>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2918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19</Pages>
  <Words>7034</Words>
  <Characters>40098</Characters>
  <Application>Microsoft Office Word</Application>
  <DocSecurity>0</DocSecurity>
  <Lines>334</Lines>
  <Paragraphs>94</Paragraphs>
  <ScaleCrop>false</ScaleCrop>
  <Company/>
  <LinksUpToDate>false</LinksUpToDate>
  <CharactersWithSpaces>47038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Abraham</dc:creator>
  <cp:keywords/>
  <dc:description/>
  <cp:lastModifiedBy>SAMUEL PRINCELY</cp:lastModifiedBy>
  <cp:revision>20</cp:revision>
  <dcterms:created xsi:type="dcterms:W3CDTF">2026-10-10T15:23:00Z</dcterms:created>
  <dcterms:modified xsi:type="dcterms:W3CDTF">2026-10-12T10:35:00Z</dcterms:modified>
</cp:coreProperties>
</file>