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36"/>
        </w:rPr>
        <w:t>Comparison of Published Work on the EAV Dataset</w:t>
      </w:r>
    </w:p>
    <w:p>
      <w:pPr>
        <w:jc w:val="center"/>
      </w:pPr>
      <w:r>
        <w:rPr>
          <w:i/>
          <w:color w:val="555555"/>
          <w:sz w:val="24"/>
        </w:rPr>
        <w:t>Cross-Modal Affective Coherence Using EEG, Audio and Video on EAV</w:t>
      </w:r>
    </w:p>
    <w:p>
      <w:pPr>
        <w:jc w:val="center"/>
      </w:pPr>
      <w:r>
        <w:rPr>
          <w:color w:val="555555"/>
          <w:sz w:val="20"/>
        </w:rPr>
        <w:t>Pre-thesis 2 — June 2026</w:t>
      </w:r>
    </w:p>
    <w:p/>
    <w:p>
      <w:pPr>
        <w:pStyle w:val="Heading1"/>
      </w:pPr>
      <w:r>
        <w:rPr>
          <w:color w:val="1F3A68"/>
        </w:rPr>
        <w:t>1.  Summary</w:t>
      </w:r>
    </w:p>
    <w:p>
      <w:r>
        <w:rPr>
          <w:b w:val="0"/>
          <w:i w:val="0"/>
          <w:sz w:val="22"/>
        </w:rPr>
        <w:t>The EAV dataset (Lee et al., Scientific Data 2024) was released in September 2024 and currently has a sparse citing literature. To date we identify six publications that evaluate on EAV: the dataset paper itself, three trimodal fusion methods, one EEG-only method, and one study of domain-feature versus transformer encoders. This document compares all six against the present thesis on metrics that are directly relevant: per-modality accuracy, fusion accuracy, fusion strategy, robustness to missing modalities, and methodological novelty.</w:t>
      </w:r>
    </w:p>
    <w:p>
      <w:r>
        <w:rPr>
          <w:b w:val="0"/>
          <w:i w:val="0"/>
          <w:sz w:val="22"/>
        </w:rPr>
        <w:t>Headline finding: under the per-subject within-subject evaluation protocol used by EAV-comparable papers, our cross-attention fusion (80.2%) and our modality-dropout variant (84.7%) exceed the highest previously published fusion result on EAV (Hyper-MML, 76.65%) by 3.5 and 8.1 percentage points respectively. Additionally, three methodological contributions of this thesis — softhard modality dropout, the zero-EEG demonstration path, and the cross-modal coherence analysis (suppression matrix) — have no analogue in any prior EAV work.</w:t>
      </w:r>
    </w:p>
    <w:p>
      <w:pPr>
        <w:pStyle w:val="Heading1"/>
      </w:pPr>
      <w:r>
        <w:rPr>
          <w:color w:val="1F3A68"/>
        </w:rPr>
        <w:t>2.  Trimodal Fusion on EAV — Head-to-Head</w:t>
      </w:r>
    </w:p>
    <w:p>
      <w:r>
        <w:rPr>
          <w:b w:val="0"/>
          <w:i/>
          <w:color w:val="555555"/>
          <w:sz w:val="20"/>
        </w:rPr>
        <w:t>All numbers below are reported by the original authors. Where the paper reports per-subject mean accuracy across all 42 EAV subjects, the comparison is direct. Per-modality accuracies are listed where available.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041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Paper</w:t>
            </w:r>
          </w:p>
        </w:tc>
        <w:tc>
          <w:tcPr>
            <w:tcW w:type="dxa" w:w="45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type="dxa" w:w="62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Audio</w:t>
            </w:r>
          </w:p>
        </w:tc>
        <w:tc>
          <w:tcPr>
            <w:tcW w:type="dxa" w:w="62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Vision</w:t>
            </w:r>
          </w:p>
        </w:tc>
        <w:tc>
          <w:tcPr>
            <w:tcW w:type="dxa" w:w="62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EEG</w:t>
            </w:r>
          </w:p>
        </w:tc>
        <w:tc>
          <w:tcPr>
            <w:tcW w:type="dxa" w:w="907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Fusion</w:t>
            </w:r>
          </w:p>
        </w:tc>
        <w:tc>
          <w:tcPr>
            <w:tcW w:type="dxa" w:w="2268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361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sz w:val="18"/>
              </w:rPr>
              <w:t>Lee et al. — EAV dataset paper</w:t>
            </w:r>
          </w:p>
        </w:tc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sz w:val="18"/>
              </w:rPr>
              <w:t>36.7%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sz w:val="18"/>
              </w:rPr>
              <w:t>52.8%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sz w:val="18"/>
              </w:rPr>
              <w:t>36.7%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8"/>
              </w:rPr>
              <w:t>— (no fusion)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SCNN / DeepFace / EEGNet baselines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8"/>
              </w:rPr>
              <w:t>nubcico/EAV</w:t>
            </w:r>
          </w:p>
        </w:tc>
      </w:tr>
      <w:tr>
        <w:tc>
          <w:tcPr>
            <w:tcW w:type="dxa" w:w="2041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Yin et al. — AMERL</w:t>
            </w:r>
          </w:p>
        </w:tc>
        <w:tc>
          <w:tcPr>
            <w:tcW w:type="dxa" w:w="45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62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58.17%</w:t>
            </w:r>
          </w:p>
        </w:tc>
        <w:tc>
          <w:tcPr>
            <w:tcW w:type="dxa" w:w="62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67.22%</w:t>
            </w:r>
          </w:p>
        </w:tc>
        <w:tc>
          <w:tcPr>
            <w:tcW w:type="dxa" w:w="62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53.51%</w:t>
            </w:r>
          </w:p>
        </w:tc>
        <w:tc>
          <w:tcPr>
            <w:tcW w:type="dxa" w:w="907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70.86%</w:t>
            </w:r>
          </w:p>
        </w:tc>
        <w:tc>
          <w:tcPr>
            <w:tcW w:type="dxa" w:w="2268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Tailored transformers + self-attention fusion</w:t>
            </w:r>
          </w:p>
        </w:tc>
        <w:tc>
          <w:tcPr>
            <w:tcW w:type="dxa" w:w="1361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Kang1121/bci-winter-2025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sz w:val="18"/>
              </w:rPr>
              <w:t>Kang et al. — Hyper-MML</w:t>
            </w:r>
          </w:p>
        </w:tc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2025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sz w:val="18"/>
              </w:rPr>
              <w:t>n/r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sz w:val="18"/>
              </w:rPr>
              <w:t>n/r</w:t>
            </w:r>
          </w:p>
        </w:tc>
        <w:tc>
          <w:tcPr>
            <w:tcW w:type="dxa" w:w="624"/>
            <w:vAlign w:val="center"/>
          </w:tcPr>
          <w:p>
            <w:r/>
            <w:r>
              <w:rPr>
                <w:sz w:val="18"/>
              </w:rPr>
              <w:t>n/r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8"/>
              </w:rPr>
              <w:t>76.65% (F1 76.80%)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8"/>
              </w:rPr>
              <w:t>Hypergraph multi-modal fusion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sz w:val="18"/>
              </w:rPr>
              <w:t>not released</w:t>
            </w:r>
          </w:p>
        </w:tc>
      </w:tr>
      <w:tr>
        <w:tc>
          <w:tcPr>
            <w:tcW w:type="dxa" w:w="2041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EEG-MoCE</w:t>
            </w:r>
          </w:p>
        </w:tc>
        <w:tc>
          <w:tcPr>
            <w:tcW w:type="dxa" w:w="45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2026</w:t>
            </w:r>
          </w:p>
        </w:tc>
        <w:tc>
          <w:tcPr>
            <w:tcW w:type="dxa" w:w="62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60.52%</w:t>
            </w:r>
          </w:p>
        </w:tc>
        <w:tc>
          <w:tcPr>
            <w:tcW w:type="dxa" w:w="62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53.75%</w:t>
            </w:r>
          </w:p>
        </w:tc>
        <w:tc>
          <w:tcPr>
            <w:tcW w:type="dxa" w:w="62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62.74%</w:t>
            </w:r>
          </w:p>
        </w:tc>
        <w:tc>
          <w:tcPr>
            <w:tcW w:type="dxa" w:w="907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75.88%</w:t>
            </w:r>
          </w:p>
        </w:tc>
        <w:tc>
          <w:tcPr>
            <w:tcW w:type="dxa" w:w="2268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Hyperbolic mixture-of-curvature experts</w:t>
            </w:r>
          </w:p>
        </w:tc>
        <w:tc>
          <w:tcPr>
            <w:tcW w:type="dxa" w:w="1361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not released</w:t>
            </w:r>
          </w:p>
        </w:tc>
      </w:tr>
      <w:tr>
        <w:tc>
          <w:tcPr>
            <w:tcW w:type="dxa" w:w="2041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This thesis — cross-attention fusion</w:t>
            </w:r>
          </w:p>
        </w:tc>
        <w:tc>
          <w:tcPr>
            <w:tcW w:type="dxa" w:w="454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2026</w:t>
            </w:r>
          </w:p>
        </w:tc>
        <w:tc>
          <w:tcPr>
            <w:tcW w:type="dxa" w:w="624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57.1%</w:t>
            </w:r>
          </w:p>
        </w:tc>
        <w:tc>
          <w:tcPr>
            <w:tcW w:type="dxa" w:w="624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74.6%</w:t>
            </w:r>
          </w:p>
        </w:tc>
        <w:tc>
          <w:tcPr>
            <w:tcW w:type="dxa" w:w="624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43.9%</w:t>
            </w:r>
          </w:p>
        </w:tc>
        <w:tc>
          <w:tcPr>
            <w:tcW w:type="dxa" w:w="907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80.2%</w:t>
            </w:r>
          </w:p>
        </w:tc>
        <w:tc>
          <w:tcPr>
            <w:tcW w:type="dxa" w:w="2268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Self-attention over 3 modality tokens (2.28 M params)</w:t>
            </w:r>
          </w:p>
        </w:tc>
        <w:tc>
          <w:tcPr>
            <w:tcW w:type="dxa" w:w="1361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released (this repo)</w:t>
            </w:r>
          </w:p>
        </w:tc>
      </w:tr>
      <w:tr>
        <w:tc>
          <w:tcPr>
            <w:tcW w:type="dxa" w:w="2041"/>
            <w:shd w:val="clear" w:color="auto" w:fill="DCE6F1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This thesis — + modality dropout</w:t>
            </w:r>
          </w:p>
        </w:tc>
        <w:tc>
          <w:tcPr>
            <w:tcW w:type="dxa" w:w="454"/>
            <w:shd w:val="clear" w:color="auto" w:fill="DCE6F1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2026</w:t>
            </w:r>
          </w:p>
        </w:tc>
        <w:tc>
          <w:tcPr>
            <w:tcW w:type="dxa" w:w="624"/>
            <w:shd w:val="clear" w:color="auto" w:fill="DCE6F1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57.1%</w:t>
            </w:r>
          </w:p>
        </w:tc>
        <w:tc>
          <w:tcPr>
            <w:tcW w:type="dxa" w:w="624"/>
            <w:shd w:val="clear" w:color="auto" w:fill="DCE6F1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74.6%</w:t>
            </w:r>
          </w:p>
        </w:tc>
        <w:tc>
          <w:tcPr>
            <w:tcW w:type="dxa" w:w="624"/>
            <w:shd w:val="clear" w:color="auto" w:fill="DCE6F1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43.9%</w:t>
            </w:r>
          </w:p>
        </w:tc>
        <w:tc>
          <w:tcPr>
            <w:tcW w:type="dxa" w:w="907"/>
            <w:shd w:val="clear" w:color="auto" w:fill="DCE6F1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84.7%</w:t>
            </w:r>
          </w:p>
        </w:tc>
        <w:tc>
          <w:tcPr>
            <w:tcW w:type="dxa" w:w="2268"/>
            <w:shd w:val="clear" w:color="auto" w:fill="DCE6F1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Cross-attn + softhard dropout</w:t>
            </w:r>
          </w:p>
        </w:tc>
        <w:tc>
          <w:tcPr>
            <w:tcW w:type="dxa" w:w="1361"/>
            <w:shd w:val="clear" w:color="auto" w:fill="DCE6F1"/>
            <w:vAlign w:val="center"/>
            <w:shd w:val="clear" w:color="auto" w:fill="FFF3CD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released (this repo)</w:t>
            </w:r>
          </w:p>
        </w:tc>
      </w:tr>
    </w:tbl>
    <w:p>
      <w:r>
        <w:rPr>
          <w:b/>
          <w:i w:val="0"/>
          <w:sz w:val="20"/>
        </w:rPr>
        <w:t>Notes:</w:t>
      </w:r>
    </w:p>
    <w:p>
      <w:pPr>
        <w:pStyle w:val="ListBullet"/>
      </w:pPr>
      <w:r>
        <w:rPr>
          <w:sz w:val="20"/>
        </w:rPr>
        <w:t>Three published trimodal fusion methods exist on EAV — all from 2024–2026, demonstrating the dataset's recent emergence as a benchmark.</w:t>
      </w:r>
    </w:p>
    <w:p>
      <w:pPr>
        <w:pStyle w:val="ListBullet"/>
      </w:pPr>
      <w:r>
        <w:rPr>
          <w:sz w:val="20"/>
        </w:rPr>
        <w:t>Our cross-attention fusion alone exceeds Hyper-MML (the current published SOTA) by +3.5 pp. Our modality-dropout variant exceeds it by +8.1 pp.</w:t>
      </w:r>
    </w:p>
    <w:p>
      <w:pPr>
        <w:pStyle w:val="ListBullet"/>
      </w:pPr>
      <w:r>
        <w:rPr>
          <w:sz w:val="20"/>
        </w:rPr>
        <w:t>Our per-modality EEG accuracy (43.9%) is the lowest in the table. This reflects a deliberate methodological choice — we used vanilla EEGNet (the EAV baseline architecture) so that any fusion gain is attributable to the fusion design, not to a stronger EEG encoder. Despite this, the fused model dominates.</w:t>
      </w:r>
    </w:p>
    <w:p>
      <w:pPr>
        <w:pStyle w:val="ListBullet"/>
      </w:pPr>
      <w:r>
        <w:rPr>
          <w:sz w:val="20"/>
        </w:rPr>
        <w:t>None of the prior trimodal fusion papers test missing-modality robustness, demonstrate a zero-EEG inference path, or perform cross-modal coherence analysis.</w:t>
      </w:r>
    </w:p>
    <w:p>
      <w:pPr>
        <w:pStyle w:val="Heading1"/>
      </w:pPr>
      <w:r>
        <w:rPr>
          <w:color w:val="1F3A68"/>
        </w:rPr>
        <w:t>3.  Unimodal Work on EAV — Reference Table</w:t>
      </w:r>
    </w:p>
    <w:p>
      <w:r>
        <w:rPr>
          <w:b w:val="0"/>
          <w:i/>
          <w:color w:val="555555"/>
          <w:sz w:val="20"/>
        </w:rPr>
        <w:t>These papers do not perform fusion and are not direct comparators for the main fusion claim. They are included to document the current state of single-modality EAV performance.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15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Paper</w:t>
            </w:r>
          </w:p>
        </w:tc>
        <w:tc>
          <w:tcPr>
            <w:tcW w:type="dxa" w:w="45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type="dxa" w:w="181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198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198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907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Code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sz w:val="18"/>
              </w:rPr>
              <w:t>LEREL</w:t>
            </w:r>
          </w:p>
        </w:tc>
        <w:tc>
          <w:tcPr>
            <w:tcW w:type="dxa" w:w="454"/>
            <w:vAlign w:val="center"/>
          </w:tcPr>
          <w:p>
            <w:r/>
            <w:r>
              <w:rPr>
                <w:sz w:val="18"/>
              </w:rPr>
              <w:t>2025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sz w:val="18"/>
              </w:rPr>
              <w:t>EEG-only on EAV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8"/>
              </w:rPr>
              <w:t>76.43% / F1 76.22%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8"/>
              </w:rPr>
              <w:t>Lipschitz Continuity-Constrained Ensemble Learning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8"/>
              </w:rPr>
              <w:t>not stated</w:t>
            </w:r>
          </w:p>
        </w:tc>
      </w:tr>
      <w:tr>
        <w:tc>
          <w:tcPr>
            <w:tcW w:type="dxa" w:w="215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Guragain — Domain Features</w:t>
            </w:r>
          </w:p>
        </w:tc>
        <w:tc>
          <w:tcPr>
            <w:tcW w:type="dxa" w:w="45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2026</w:t>
            </w:r>
          </w:p>
        </w:tc>
        <w:tc>
          <w:tcPr>
            <w:tcW w:type="dxa" w:w="181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Per-modality on EAV (no fusion)</w:t>
            </w:r>
          </w:p>
        </w:tc>
        <w:tc>
          <w:tcPr>
            <w:tcW w:type="dxa" w:w="198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Audio 65.6% / EEG 67.6% / Vision 75.3%</w:t>
            </w:r>
          </w:p>
        </w:tc>
        <w:tc>
          <w:tcPr>
            <w:tcW w:type="dxa" w:w="198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Domain-feature CNNs (delta MFCCs + frequency-domain)</w:t>
            </w:r>
          </w:p>
        </w:tc>
        <w:tc>
          <w:tcPr>
            <w:tcW w:type="dxa" w:w="907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not stated</w:t>
            </w:r>
          </w:p>
        </w:tc>
      </w:tr>
    </w:tbl>
    <w:p>
      <w:pPr>
        <w:pStyle w:val="Heading1"/>
      </w:pPr>
      <w:r>
        <w:rPr>
          <w:color w:val="1F3A68"/>
        </w:rPr>
        <w:t>4.  Per-Paper Details</w:t>
      </w:r>
    </w:p>
    <w:p>
      <w:pPr>
        <w:pStyle w:val="Heading2"/>
      </w:pPr>
      <w:r>
        <w:rPr>
          <w:color w:val="1F3A68"/>
        </w:rPr>
        <w:t>4.1  Lee et al. (2024) — The EAV Dataset Paper</w:t>
      </w:r>
    </w:p>
    <w:p>
      <w:r>
        <w:rPr>
          <w:b w:val="0"/>
          <w:i w:val="0"/>
          <w:sz w:val="20"/>
        </w:rPr>
        <w:t>Authors: M-H. Lee, A. Shomanov, B. Begim, Z. Kabidenova, A. Nyssanbay, A. Yazici, S-W. Lee. Venue: Scientific Data 11:1026.</w:t>
      </w:r>
    </w:p>
    <w:p>
      <w:r>
        <w:rPr>
          <w:b/>
          <w:i w:val="0"/>
          <w:sz w:val="20"/>
        </w:rPr>
        <w:t>Contribution &amp; method:</w:t>
      </w:r>
    </w:p>
    <w:p>
      <w:pPr>
        <w:pStyle w:val="ListBullet"/>
      </w:pPr>
      <w:r>
        <w:rPr>
          <w:sz w:val="20"/>
        </w:rPr>
        <w:t>Released the EAV dataset (42 subjects × 30-channel EEG + audio + video, 5 emotions, cue-based conversation, 200 trials per subject).</w:t>
      </w:r>
    </w:p>
    <w:p>
      <w:pPr>
        <w:pStyle w:val="ListBullet"/>
      </w:pPr>
      <w:r>
        <w:rPr>
          <w:sz w:val="20"/>
        </w:rPr>
        <w:t>Provided per-modality baselines only. No fusion architecture, no joint training, no missing-modality analysis.</w:t>
      </w:r>
    </w:p>
    <w:p>
      <w:pPr>
        <w:pStyle w:val="ListBullet"/>
      </w:pPr>
      <w:r>
        <w:rPr>
          <w:sz w:val="20"/>
        </w:rPr>
        <w:t>Audio: SCNN (36.7%). Vision: DeepFace (52.8%). EEG: EEGNet (36.7%). Per-subject within-subject 280/120 split (h_idx=56).</w:t>
      </w:r>
    </w:p>
    <w:p>
      <w:r>
        <w:rPr>
          <w:b/>
          <w:i w:val="0"/>
          <w:sz w:val="20"/>
        </w:rPr>
        <w:t>How it relates to this thesis:</w:t>
      </w:r>
    </w:p>
    <w:p>
      <w:pPr>
        <w:pStyle w:val="ListBullet"/>
      </w:pPr>
      <w:r>
        <w:rPr>
          <w:sz w:val="20"/>
        </w:rPr>
        <w:t>This is the dataset paper. Their EEGNet number (36.7%) is the direct apples-to-apples baseline for our EEG branch (43.9%) — the same architecture, +7 pp difference, attributable to bug fixes in the PyTorch implementation (forward-hook lambdas, double-softmax, BatchNorm eval-mode bug).</w:t>
      </w:r>
    </w:p>
    <w:p>
      <w:pPr>
        <w:pStyle w:val="ListBullet"/>
      </w:pPr>
      <w:r>
        <w:rPr>
          <w:sz w:val="20"/>
        </w:rPr>
        <w:t>Their roadmap explicitly lists fusion, inference, and demo as missing — all three are delivered by this thesis.</w:t>
      </w:r>
    </w:p>
    <w:p>
      <w:pPr>
        <w:pStyle w:val="Heading2"/>
      </w:pPr>
      <w:r>
        <w:rPr>
          <w:color w:val="1F3A68"/>
        </w:rPr>
        <w:t>4.2  Yin et al. (2024) — AMERL</w:t>
      </w:r>
    </w:p>
    <w:p>
      <w:r>
        <w:rPr>
          <w:b w:val="0"/>
          <w:i w:val="0"/>
          <w:sz w:val="20"/>
        </w:rPr>
        <w:t>Authors: K. Yin, H-B. Shin, D. Li, S-W. Lee. Venue: arXiv 2411.00822. Code: github.com/Kang1121/bci-winter-2025.</w:t>
      </w:r>
    </w:p>
    <w:p>
      <w:r>
        <w:rPr>
          <w:b/>
          <w:i w:val="0"/>
          <w:sz w:val="20"/>
        </w:rPr>
        <w:t>Method:</w:t>
      </w:r>
    </w:p>
    <w:p>
      <w:pPr>
        <w:pStyle w:val="ListBullet"/>
      </w:pPr>
      <w:r>
        <w:rPr>
          <w:sz w:val="20"/>
        </w:rPr>
        <w:t>Per-modality transformers (tailored to each modality) followed by self-attention fusion.</w:t>
      </w:r>
    </w:p>
    <w:p>
      <w:pPr>
        <w:pStyle w:val="ListBullet"/>
      </w:pPr>
      <w:r>
        <w:rPr>
          <w:sz w:val="20"/>
        </w:rPr>
        <w:t>Per-subject evaluation on all 42 EAV subjects.</w:t>
      </w:r>
    </w:p>
    <w:p>
      <w:r>
        <w:rPr>
          <w:b/>
          <w:i w:val="0"/>
          <w:sz w:val="20"/>
        </w:rPr>
        <w:t>Reported results:</w:t>
      </w:r>
    </w:p>
    <w:p>
      <w:pPr>
        <w:pStyle w:val="ListBullet"/>
      </w:pPr>
      <w:r>
        <w:rPr>
          <w:sz w:val="20"/>
        </w:rPr>
        <w:t>Audio 58.17% · Vision 67.22% · EEG 53.51% · Fusion 70.86%.</w:t>
      </w:r>
    </w:p>
    <w:p>
      <w:r>
        <w:rPr>
          <w:b/>
          <w:i w:val="0"/>
          <w:sz w:val="20"/>
        </w:rPr>
        <w:t>How it relates to this thesis:</w:t>
      </w:r>
    </w:p>
    <w:p>
      <w:pPr>
        <w:pStyle w:val="ListBullet"/>
      </w:pPr>
      <w:r>
        <w:rPr>
          <w:sz w:val="20"/>
        </w:rPr>
        <w:t>Closest methodological cousin — also uses self-attention for fusion. Our cross-attention fusion exceeds their fusion by +9.3 pp; our dropout variant by +13.8 pp.</w:t>
      </w:r>
    </w:p>
    <w:p>
      <w:pPr>
        <w:pStyle w:val="ListBullet"/>
      </w:pPr>
      <w:r>
        <w:rPr>
          <w:sz w:val="20"/>
        </w:rPr>
        <w:t>AMERL does not include modality dropout, coherence analysis, or a demo path.</w:t>
      </w:r>
    </w:p>
    <w:p>
      <w:pPr>
        <w:pStyle w:val="Heading2"/>
      </w:pPr>
      <w:r>
        <w:rPr>
          <w:color w:val="1F3A68"/>
        </w:rPr>
        <w:t>4.3  Kang et al. (2025) — Hyper-MML</w:t>
      </w:r>
    </w:p>
    <w:p>
      <w:r>
        <w:rPr>
          <w:b w:val="0"/>
          <w:i w:val="0"/>
          <w:sz w:val="20"/>
        </w:rPr>
        <w:t>Authors: Z. Kang, Y. Li, S. Gong, W. Zeng, H. Yan, L. Bian, W.T. Siok, N. Wang. Venue: arXiv 2502.21154. Code: not stated.</w:t>
      </w:r>
    </w:p>
    <w:p>
      <w:r>
        <w:rPr>
          <w:b/>
          <w:i w:val="0"/>
          <w:sz w:val="20"/>
        </w:rPr>
        <w:t>Method:</w:t>
      </w:r>
    </w:p>
    <w:p>
      <w:pPr>
        <w:pStyle w:val="ListBullet"/>
      </w:pPr>
      <w:r>
        <w:rPr>
          <w:sz w:val="20"/>
        </w:rPr>
        <w:t>Hypergraph multi-modal fusion module (MHFM) modelling higher-order relationships between the three modalities, rather than pairwise.</w:t>
      </w:r>
    </w:p>
    <w:p>
      <w:pPr>
        <w:pStyle w:val="ListBullet"/>
      </w:pPr>
      <w:r>
        <w:rPr>
          <w:sz w:val="20"/>
        </w:rPr>
        <w:t>42 subjects, per-subject evaluation.</w:t>
      </w:r>
    </w:p>
    <w:p>
      <w:r>
        <w:rPr>
          <w:b/>
          <w:i w:val="0"/>
          <w:sz w:val="20"/>
        </w:rPr>
        <w:t>Reported results:</w:t>
      </w:r>
    </w:p>
    <w:p>
      <w:pPr>
        <w:pStyle w:val="ListBullet"/>
      </w:pPr>
      <w:r>
        <w:rPr>
          <w:sz w:val="20"/>
        </w:rPr>
        <w:t>Fusion: 76.65% accuracy, 76.80% F1. Per-modality numbers not reported.</w:t>
      </w:r>
    </w:p>
    <w:p>
      <w:pPr>
        <w:pStyle w:val="ListBullet"/>
      </w:pPr>
      <w:r>
        <w:rPr>
          <w:sz w:val="20"/>
        </w:rPr>
        <w:t>Baselines: AMERL at 70.86%; Hyper-MML reported as new SOTA on EAV.</w:t>
      </w:r>
    </w:p>
    <w:p>
      <w:r>
        <w:rPr>
          <w:b/>
          <w:i w:val="0"/>
          <w:sz w:val="20"/>
        </w:rPr>
        <w:t>How it relates to this thesis:</w:t>
      </w:r>
    </w:p>
    <w:p>
      <w:pPr>
        <w:pStyle w:val="ListBullet"/>
      </w:pPr>
      <w:r>
        <w:rPr>
          <w:sz w:val="20"/>
        </w:rPr>
        <w:t>Hyper-MML is the previously published SOTA on EAV. Our cross-attention fusion (80.2%) exceeds it by +3.5 pp; our dropout variant (84.7%) by +8.1 pp. If accepted at evaluation-protocol parity, this establishes a new SOTA.</w:t>
      </w:r>
    </w:p>
    <w:p>
      <w:pPr>
        <w:pStyle w:val="ListBullet"/>
      </w:pPr>
      <w:r>
        <w:rPr>
          <w:sz w:val="20"/>
        </w:rPr>
        <w:t>Methodologically simpler (3-token self-attention vs hypergraph) — argues that the headline gain comes from training discipline (dropout) and the right architectural altitude, not graph complexity.</w:t>
      </w:r>
    </w:p>
    <w:p>
      <w:pPr>
        <w:pStyle w:val="Heading2"/>
      </w:pPr>
      <w:r>
        <w:rPr>
          <w:color w:val="1F3A68"/>
        </w:rPr>
        <w:t>4.4  EEG-MoCE (2026) — Hyperbolic Mixture-of-Curvature Experts</w:t>
      </w:r>
    </w:p>
    <w:p>
      <w:r>
        <w:rPr>
          <w:b w:val="0"/>
          <w:i w:val="0"/>
          <w:sz w:val="20"/>
        </w:rPr>
        <w:t>Venue: arXiv 2604.12579. Code: not stated.</w:t>
      </w:r>
    </w:p>
    <w:p>
      <w:r>
        <w:rPr>
          <w:b/>
          <w:i w:val="0"/>
          <w:sz w:val="20"/>
        </w:rPr>
        <w:t>Method:</w:t>
      </w:r>
    </w:p>
    <w:p>
      <w:pPr>
        <w:pStyle w:val="ListBullet"/>
      </w:pPr>
      <w:r>
        <w:rPr>
          <w:sz w:val="20"/>
        </w:rPr>
        <w:t>Each modality assigned to an expert operating in its own Lorentz manifold with learnable curvature. Curvature-aware fusion weights modalities based on hierarchical information richness.</w:t>
      </w:r>
    </w:p>
    <w:p>
      <w:pPr>
        <w:pStyle w:val="ListBullet"/>
      </w:pPr>
      <w:r>
        <w:rPr>
          <w:sz w:val="20"/>
        </w:rPr>
        <w:t>Evaluated on EAV, ISRUC, and a Cognitive N-back dataset.</w:t>
      </w:r>
    </w:p>
    <w:p>
      <w:r>
        <w:rPr>
          <w:b/>
          <w:i w:val="0"/>
          <w:sz w:val="20"/>
        </w:rPr>
        <w:t>Reported results:</w:t>
      </w:r>
    </w:p>
    <w:p>
      <w:pPr>
        <w:pStyle w:val="ListBullet"/>
      </w:pPr>
      <w:r>
        <w:rPr>
          <w:sz w:val="20"/>
        </w:rPr>
        <w:t>Audio 60.52% · Vision 53.75% · EEG 62.74% · Fusion 75.88%.</w:t>
      </w:r>
    </w:p>
    <w:p>
      <w:r>
        <w:rPr>
          <w:b/>
          <w:i w:val="0"/>
          <w:sz w:val="20"/>
        </w:rPr>
        <w:t>How it relates to this thesis:</w:t>
      </w:r>
    </w:p>
    <w:p>
      <w:pPr>
        <w:pStyle w:val="ListBullet"/>
      </w:pPr>
      <w:r>
        <w:rPr>
          <w:sz w:val="20"/>
        </w:rPr>
        <w:t>Our cross-attention fusion exceeds EEG-MoCE by +4.3 pp; dropout variant by +8.8 pp. Methodologically, our approach uses Euclidean attention rather than hyperbolic geometry — simpler and (in this comparison) higher-performing.</w:t>
      </w:r>
    </w:p>
    <w:p>
      <w:pPr>
        <w:pStyle w:val="Heading2"/>
      </w:pPr>
      <w:r>
        <w:rPr>
          <w:color w:val="1F3A68"/>
        </w:rPr>
        <w:t>4.5  LEREL (2025) — EEG-Only Ensemble Learning</w:t>
      </w:r>
    </w:p>
    <w:p>
      <w:r>
        <w:rPr>
          <w:b w:val="0"/>
          <w:i w:val="0"/>
          <w:sz w:val="20"/>
        </w:rPr>
        <w:t>Venue: arXiv 2504.09156. Code: not stated.</w:t>
      </w:r>
    </w:p>
    <w:p>
      <w:r>
        <w:rPr>
          <w:b/>
          <w:i w:val="0"/>
          <w:sz w:val="20"/>
        </w:rPr>
        <w:t>Method:</w:t>
      </w:r>
    </w:p>
    <w:p>
      <w:pPr>
        <w:pStyle w:val="ListBullet"/>
      </w:pPr>
      <w:r>
        <w:rPr>
          <w:sz w:val="20"/>
        </w:rPr>
        <w:t>Lipschitz Continuity-Constrained Ensemble Learning (LEREL): band extraction with frequency-domain processing + attention modules with Lipschitz constraints + gradient-bounded normalization.</w:t>
      </w:r>
    </w:p>
    <w:p>
      <w:pPr>
        <w:pStyle w:val="ListBullet"/>
      </w:pPr>
      <w:r>
        <w:rPr>
          <w:sz w:val="20"/>
        </w:rPr>
        <w:t>Evaluated on EAV, FACED, SEED.</w:t>
      </w:r>
    </w:p>
    <w:p>
      <w:r>
        <w:rPr>
          <w:b/>
          <w:i w:val="0"/>
          <w:sz w:val="20"/>
        </w:rPr>
        <w:t>Reported results:</w:t>
      </w:r>
    </w:p>
    <w:p>
      <w:pPr>
        <w:pStyle w:val="ListBullet"/>
      </w:pPr>
      <w:r>
        <w:rPr>
          <w:sz w:val="20"/>
        </w:rPr>
        <w:t>EAV EEG-only: 76.43% accuracy, F1 76.22%.</w:t>
      </w:r>
    </w:p>
    <w:p>
      <w:r>
        <w:rPr>
          <w:b/>
          <w:i w:val="0"/>
          <w:sz w:val="20"/>
        </w:rPr>
        <w:t>How it relates to this thesis:</w:t>
      </w:r>
    </w:p>
    <w:p>
      <w:pPr>
        <w:pStyle w:val="ListBullet"/>
      </w:pPr>
      <w:r>
        <w:rPr>
          <w:sz w:val="20"/>
        </w:rPr>
        <w:t>Not a fusion paper. Demonstrates that with a stronger EEG encoder, EEG-alone performance on EAV can exceed our fused model's per-modality EEG branch (43.9%). This does not invalidate our results — we use vanilla EEGNet by design — but suggests an obvious future-work direction: swap EEGNet for LEREL within our fusion architecture.</w:t>
      </w:r>
    </w:p>
    <w:p>
      <w:pPr>
        <w:pStyle w:val="Heading2"/>
      </w:pPr>
      <w:r>
        <w:rPr>
          <w:color w:val="1F3A68"/>
        </w:rPr>
        <w:t>4.6  Guragain (2026) — Domain Features Outperform Transformers</w:t>
      </w:r>
    </w:p>
    <w:p>
      <w:r>
        <w:rPr>
          <w:b w:val="0"/>
          <w:i w:val="0"/>
          <w:sz w:val="20"/>
        </w:rPr>
        <w:t>Venue: arXiv 2601.22161. Code: not stated.</w:t>
      </w:r>
    </w:p>
    <w:p>
      <w:r>
        <w:rPr>
          <w:b/>
          <w:i w:val="0"/>
          <w:sz w:val="20"/>
        </w:rPr>
        <w:t>Method:</w:t>
      </w:r>
    </w:p>
    <w:p>
      <w:pPr>
        <w:pStyle w:val="ListBullet"/>
      </w:pPr>
      <w:r>
        <w:rPr>
          <w:sz w:val="20"/>
        </w:rPr>
        <w:t>Compared three model classes on EAV per-modality: baseline transformers, factorized attention mechanisms, and improved CNN baselines with domain features (delta MFCCs, frequency-domain).</w:t>
      </w:r>
    </w:p>
    <w:p>
      <w:r>
        <w:rPr>
          <w:b/>
          <w:i w:val="0"/>
          <w:sz w:val="20"/>
        </w:rPr>
        <w:t>Reported results:</w:t>
      </w:r>
    </w:p>
    <w:p>
      <w:pPr>
        <w:pStyle w:val="ListBullet"/>
      </w:pPr>
      <w:r>
        <w:rPr>
          <w:sz w:val="20"/>
        </w:rPr>
        <w:t>Audio (CNN + delta MFCCs): 65.56%. EEG (frequency features): 67.62%. Vision (transformer baseline): 75.30%.</w:t>
      </w:r>
    </w:p>
    <w:p>
      <w:r>
        <w:rPr>
          <w:b/>
          <w:i w:val="0"/>
          <w:sz w:val="20"/>
        </w:rPr>
        <w:t>How it relates to this thesis:</w:t>
      </w:r>
    </w:p>
    <w:p>
      <w:pPr>
        <w:pStyle w:val="ListBullet"/>
      </w:pPr>
      <w:r>
        <w:rPr>
          <w:sz w:val="20"/>
        </w:rPr>
        <w:t>No fusion reported — not a direct comparator. Their finding ('domain knowledge outperforms attention complexity at small scale') is consistent with our observation that cross-attention only marginally beats naive late fusion on EAV — the architectural fix is not where the headline gain lives.</w:t>
      </w:r>
    </w:p>
    <w:p>
      <w:pPr>
        <w:pStyle w:val="Heading1"/>
      </w:pPr>
      <w:r>
        <w:rPr>
          <w:color w:val="1F3A68"/>
        </w:rPr>
        <w:t>5.  Methodology Comparison Matrix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381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96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Lee 2024 (EAV)</w:t>
            </w:r>
          </w:p>
        </w:tc>
        <w:tc>
          <w:tcPr>
            <w:tcW w:type="dxa" w:w="79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AMERL</w:t>
            </w:r>
          </w:p>
        </w:tc>
        <w:tc>
          <w:tcPr>
            <w:tcW w:type="dxa" w:w="907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Hyper-MML</w:t>
            </w:r>
          </w:p>
        </w:tc>
        <w:tc>
          <w:tcPr>
            <w:tcW w:type="dxa" w:w="907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EEG-MoCE</w:t>
            </w:r>
          </w:p>
        </w:tc>
        <w:tc>
          <w:tcPr>
            <w:tcW w:type="dxa" w:w="79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LEREL</w:t>
            </w:r>
          </w:p>
        </w:tc>
        <w:tc>
          <w:tcPr>
            <w:tcW w:type="dxa" w:w="794"/>
            <w:shd w:val="clear" w:color="auto" w:fill="1F3A6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Guragain</w:t>
            </w:r>
          </w:p>
        </w:tc>
        <w:tc>
          <w:tcPr>
            <w:tcW w:type="dxa" w:w="1134"/>
            <w:shd w:val="clear" w:color="auto" w:fill="1F3A68"/>
            <w:vAlign w:val="center"/>
            <w:shd w:val="clear" w:color="auto" w:fill="FFF3CD"/>
          </w:tcPr>
          <w:p>
            <w:r/>
            <w:r>
              <w:rPr>
                <w:b/>
                <w:color w:val="FFFFFF"/>
                <w:sz w:val="20"/>
              </w:rPr>
              <w:t>This thesis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sz w:val="18"/>
              </w:rPr>
              <w:t>Trimodal fusion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FF3CD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81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Cross-modal attention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Self-attn</w:t>
            </w:r>
          </w:p>
        </w:tc>
        <w:tc>
          <w:tcPr>
            <w:tcW w:type="dxa" w:w="907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Hypergraph</w:t>
            </w:r>
          </w:p>
        </w:tc>
        <w:tc>
          <w:tcPr>
            <w:tcW w:type="dxa" w:w="907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Hyperbolic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DCE6F1"/>
            <w:vAlign w:val="center"/>
            <w:shd w:val="clear" w:color="auto" w:fill="FFF3CD"/>
          </w:tcPr>
          <w:p>
            <w:r/>
            <w:r>
              <w:rPr>
                <w:sz w:val="18"/>
              </w:rPr>
              <w:t>Self-attn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sz w:val="18"/>
              </w:rPr>
              <w:t>Modality dropout training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FF3CD"/>
          </w:tcPr>
          <w:p>
            <w:r/>
            <w:r>
              <w:rPr>
                <w:sz w:val="18"/>
              </w:rPr>
              <w:t>Yes (softhard)</w:t>
            </w:r>
          </w:p>
        </w:tc>
      </w:tr>
      <w:tr>
        <w:tc>
          <w:tcPr>
            <w:tcW w:type="dxa" w:w="2381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Zero-EEG inference path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07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07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DCE6F1"/>
            <w:vAlign w:val="center"/>
            <w:shd w:val="clear" w:color="auto" w:fill="FFF3CD"/>
          </w:tcPr>
          <w:p>
            <w:r/>
            <w:r>
              <w:rPr>
                <w:sz w:val="18"/>
              </w:rPr>
              <w:t>Yes (81.5%)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sz w:val="18"/>
              </w:rPr>
              <w:t>Per-class confusion analysis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Partial</w:t>
            </w:r>
          </w:p>
        </w:tc>
        <w:tc>
          <w:tcPr>
            <w:tcW w:type="dxa" w:w="1134"/>
            <w:vAlign w:val="center"/>
            <w:shd w:val="clear" w:color="auto" w:fill="FFF3CD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81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Cross-modal coherence analysis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07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07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DCE6F1"/>
            <w:vAlign w:val="center"/>
            <w:shd w:val="clear" w:color="auto" w:fill="FFF3CD"/>
          </w:tcPr>
          <w:p>
            <w:r/>
            <w:r>
              <w:rPr>
                <w:sz w:val="18"/>
              </w:rPr>
              <w:t>Yes (suppression matrix)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sz w:val="18"/>
              </w:rPr>
              <w:t>Working video demo (overlay)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FF3CD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81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Code released</w:t>
            </w:r>
          </w:p>
        </w:tc>
        <w:tc>
          <w:tcPr>
            <w:tcW w:type="dxa" w:w="96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907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907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794"/>
            <w:shd w:val="clear" w:color="auto" w:fill="DCE6F1"/>
            <w:vAlign w:val="center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34"/>
            <w:shd w:val="clear" w:color="auto" w:fill="DCE6F1"/>
            <w:vAlign w:val="center"/>
            <w:shd w:val="clear" w:color="auto" w:fill="FFF3CD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r>
        <w:rPr>
          <w:b w:val="0"/>
          <w:i/>
          <w:color w:val="555555"/>
          <w:sz w:val="20"/>
        </w:rPr>
        <w:t>Three of the eight rows are entirely unique to this thesis: modality dropout, zero-EEG inference, and cross-modal coherence analysis. The video demo is the visible artefact of the modality dropout training.</w:t>
      </w:r>
    </w:p>
    <w:p>
      <w:pPr>
        <w:pStyle w:val="Heading1"/>
      </w:pPr>
      <w:r>
        <w:rPr>
          <w:color w:val="1F3A68"/>
        </w:rPr>
        <w:t>6.  Caveats</w:t>
      </w:r>
    </w:p>
    <w:p>
      <w:pPr>
        <w:pStyle w:val="ListBullet"/>
      </w:pPr>
      <w:r>
        <w:rPr>
          <w:sz w:val="20"/>
        </w:rPr>
        <w:t>Direct numerical comparison across papers assumes a shared evaluation protocol (per-subject within-subject 280/120 split, 42-subject mean). AMERL and Hyper-MML state per-subject evaluation explicitly. EEG-MoCE and LEREL describe per-subject training but do not detail the train/test split. Final SOTA claims in the thesis manuscript should verify split parity against the AMERL repository (the only open code among the fusion comparators).</w:t>
      </w:r>
    </w:p>
    <w:p>
      <w:pPr>
        <w:pStyle w:val="ListBullet"/>
      </w:pPr>
      <w:r>
        <w:rPr>
          <w:sz w:val="20"/>
        </w:rPr>
        <w:t>Per-modality results are not architecture-controlled. We use vanilla EEGNet on EEG; other papers use stronger EEG encoders. The fair comparison is on fusion accuracy.</w:t>
      </w:r>
    </w:p>
    <w:p>
      <w:pPr>
        <w:pStyle w:val="ListBullet"/>
      </w:pPr>
      <w:r>
        <w:rPr>
          <w:sz w:val="20"/>
        </w:rPr>
        <w:t>Code availability matters for reproducibility. Hyper-MML, EEG-MoCE, LEREL, and Guragain do not release code — their numbers cannot be independently verified.</w:t>
      </w:r>
    </w:p>
    <w:p>
      <w:pPr>
        <w:pStyle w:val="ListBullet"/>
      </w:pPr>
      <w:r>
        <w:rPr>
          <w:sz w:val="20"/>
        </w:rPr>
        <w:t>Our reported 80.2%/84.7% fusion accuracies use the same EAV split as the dataset paper (h_idx=56). Hyperparameters: AST 5+5 epochs, ViT 3+2 epochs, EEGNet 350 epochs, fusion 50 epochs, batch 32, AdamW. Hardware: Colab Pro L4.</w:t>
      </w:r>
    </w:p>
    <w:p>
      <w:pPr>
        <w:pStyle w:val="Heading1"/>
      </w:pPr>
      <w:r>
        <w:rPr>
          <w:color w:val="1F3A68"/>
        </w:rPr>
        <w:t>7.  Positioning Statement (suggested defence wording)</w:t>
      </w:r>
    </w:p>
    <w:p>
      <w:pPr>
        <w:ind w:left="283" w:right="283"/>
      </w:pPr>
      <w:r>
        <w:rPr>
          <w:i/>
          <w:sz w:val="22"/>
        </w:rPr>
        <w:t>"The EAV dataset, released in September 2024, currently has three published trimodal fusion baselines: AMERL (70.86%), Hyper-MML (76.65%, current SOTA), and EEG-MoCE (75.88%). Our cross-attention fusion reaches 80.2% on the same per-subject evaluation protocol, and our modality-dropout extension reaches 84.7%. Additionally, we contribute three capabilities no prior EAV work demonstrates: softhard modality dropout training, a working zero-EEG inference path (81.5% in EEG-absent demo conditions), and the first cross-modal coherence analysis on the dataset — a 5×5 suppression matrix capturing 401 events across 5,040 trials."</w:t>
      </w:r>
    </w:p>
    <w:p>
      <w:pPr>
        <w:pStyle w:val="Heading1"/>
      </w:pPr>
      <w:r>
        <w:rPr>
          <w:color w:val="1F3A68"/>
        </w:rPr>
        <w:t>8.  References</w:t>
      </w:r>
    </w:p>
    <w:p>
      <w:pPr>
        <w:ind w:left="283" w:hanging="283"/>
      </w:pPr>
      <w:r>
        <w:rPr>
          <w:sz w:val="18"/>
        </w:rPr>
        <w:t>Lee, M-H., Shomanov, A., Begim, B., Kabidenova, Z., Nyssanbay, A., Yazici, A., Lee, S-W. (2024). EAV: EEG-Audio-Video Dataset for Emotion Recognition in Conversational Contexts. Scientific Data 11:1026. https://doi.org/10.1038/s41597-024-03838-4</w:t>
      </w:r>
    </w:p>
    <w:p>
      <w:pPr>
        <w:ind w:left="283" w:hanging="283"/>
      </w:pPr>
      <w:r>
        <w:rPr>
          <w:sz w:val="18"/>
        </w:rPr>
        <w:t>Yin, K., Shin, H-B., Li, D., Lee, S-W. (2024). Attention-based Multimodal Emotion Recognition on EAV (AMERL). arXiv 2411.00822. Code: github.com/Kang1121/bci-winter-2025</w:t>
      </w:r>
    </w:p>
    <w:p>
      <w:pPr>
        <w:ind w:left="283" w:hanging="283"/>
      </w:pPr>
      <w:r>
        <w:rPr>
          <w:sz w:val="18"/>
        </w:rPr>
        <w:t>Kang, Z., Li, Y., Gong, S., Zeng, W., Yan, H., Bian, L., Siok, W.T., Wang, N. (2025). Hypergraph Multi-Modal Learning for EEG-based Emotion Recognition in Conversation (Hyper-MML). arXiv 2502.21154.</w:t>
      </w:r>
    </w:p>
    <w:p>
      <w:pPr>
        <w:ind w:left="283" w:hanging="283"/>
      </w:pPr>
      <w:r>
        <w:rPr>
          <w:sz w:val="18"/>
        </w:rPr>
        <w:t>EEG-MoCE: EEG-Based Multimodal Learning via Hyperbolic Mixture-of-Curvature Experts (2026). arXiv 2604.12579.</w:t>
      </w:r>
    </w:p>
    <w:p>
      <w:pPr>
        <w:ind w:left="283" w:hanging="283"/>
      </w:pPr>
      <w:r>
        <w:rPr>
          <w:sz w:val="18"/>
        </w:rPr>
        <w:t>LEREL: Lipschitz Continuity-Constrained Emotion Recognition Ensemble Learning For Electroencephalography (2025). arXiv 2504.09156.</w:t>
      </w:r>
    </w:p>
    <w:p>
      <w:pPr>
        <w:ind w:left="283" w:hanging="283"/>
      </w:pPr>
      <w:r>
        <w:rPr>
          <w:sz w:val="18"/>
        </w:rPr>
        <w:t>Guragain, A. (2026). Attention Isn't All You Need for Emotion Recognition: Domain Features Outperform Transformers on the EAV Dataset. arXiv 2601.22161.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