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6"/>
        </w:rPr>
        <w:t>Defence Q&amp;A  —  30 Likely Questions</w:t>
      </w:r>
    </w:p>
    <w:p>
      <w:pPr>
        <w:jc w:val="center"/>
      </w:pPr>
      <w:r>
        <w:rPr>
          <w:i/>
          <w:color w:val="555555"/>
          <w:sz w:val="22"/>
        </w:rPr>
        <w:t>Cross-Modal Affective Coherence  ·  practise before the panel</w:t>
      </w:r>
    </w:p>
    <w:p/>
    <w:p>
      <w:r>
        <w:rPr>
          <w:b/>
          <w:color w:val="1F3A68"/>
          <w:sz w:val="25"/>
        </w:rPr>
        <w:t>General Q&amp;A strategy</w:t>
      </w:r>
    </w:p>
    <w:p>
      <w:pPr>
        <w:pStyle w:val="ListBullet"/>
      </w:pPr>
      <w:r>
        <w:rPr>
          <w:sz w:val="21"/>
        </w:rPr>
        <w:t>Acknowledge the question before answering. "That's a great point" or "Good question, the short answer is..." buys you a beat to think.</w:t>
      </w:r>
    </w:p>
    <w:p>
      <w:pPr>
        <w:pStyle w:val="ListBullet"/>
      </w:pPr>
      <w:r>
        <w:rPr>
          <w:sz w:val="21"/>
        </w:rPr>
        <w:t>Lead with the headline answer in one or two sentences. Only elaborate if asked.</w:t>
      </w:r>
    </w:p>
    <w:p>
      <w:pPr>
        <w:pStyle w:val="ListBullet"/>
      </w:pPr>
      <w:r>
        <w:rPr>
          <w:sz w:val="21"/>
        </w:rPr>
        <w:t>If a question identifies a real limitation, OWN it and reframe as future work. Don't deny.</w:t>
      </w:r>
    </w:p>
    <w:p>
      <w:pPr>
        <w:pStyle w:val="ListBullet"/>
      </w:pPr>
      <w:r>
        <w:rPr>
          <w:sz w:val="21"/>
        </w:rPr>
        <w:t>If you genuinely don't know, say "That's outside what we tested, but our framework supports it as future work" — never fabricate.</w:t>
      </w:r>
    </w:p>
    <w:p>
      <w:pPr>
        <w:pStyle w:val="ListBullet"/>
      </w:pPr>
      <w:r>
        <w:rPr>
          <w:sz w:val="21"/>
        </w:rPr>
        <w:t>Pass to the appropriate teammate whose section the question lives in. Don't all answer at once.</w:t>
      </w:r>
    </w:p>
    <w:p/>
    <w:p>
      <w:r>
        <w:rPr>
          <w:b/>
          <w:color w:val="1F3A68"/>
          <w:sz w:val="28"/>
        </w:rPr>
        <w:t>Q1–Q6   ·   Architecture &amp; Fusion</w:t>
      </w:r>
    </w:p>
    <w:p>
      <w:pPr>
        <w:spacing w:before="200"/>
      </w:pPr>
      <w:r>
        <w:rPr>
          <w:b/>
          <w:color w:val="E67E22"/>
          <w:sz w:val="23"/>
        </w:rPr>
        <w:t xml:space="preserve">Q1.  </w:t>
      </w:r>
      <w:r>
        <w:rPr>
          <w:b/>
          <w:color w:val="202020"/>
          <w:sz w:val="23"/>
        </w:rPr>
        <w:t>Why self-attention over three modality tokens rather than the six-way pairwise cross-attention used in Lee, Kim and Kim's 2024 MERCL paper?</w:t>
      </w:r>
    </w:p>
    <w:p>
      <w:pPr>
        <w:ind w:left="340"/>
      </w:pPr>
      <w:r>
        <w:rPr>
          <w:b/>
          <w:color w:val="1F3A68"/>
          <w:sz w:val="22"/>
        </w:rPr>
        <w:t xml:space="preserve">A.  </w:t>
      </w:r>
      <w:r>
        <w:rPr>
          <w:color w:val="202020"/>
          <w:sz w:val="22"/>
        </w:rPr>
        <w:t>Cross-attention is the natural choice when each modality contributes a sequence of tokens. Our pre-trained encoders give us one pooled vector per modality — just one token each. With one query and one key, pairwise cross-attention degenerates to a linear projection. Self-attention over the three-token sequence does the same mixing with fewer parameters.</w:t>
      </w:r>
    </w:p>
    <w:p>
      <w:pPr>
        <w:ind w:left="340"/>
      </w:pPr>
      <w:r>
        <w:rPr>
          <w:b/>
          <w:i/>
          <w:color w:val="555555"/>
          <w:sz w:val="20"/>
        </w:rPr>
        <w:t xml:space="preserve">If pushed:  </w:t>
      </w:r>
      <w:r>
        <w:rPr>
          <w:i/>
          <w:color w:val="555555"/>
          <w:sz w:val="20"/>
        </w:rPr>
        <w:t>If we moved to sequence-level features — for example, the per-frame ViT outputs instead of the mean-pooled clip embedding — full six-way cross-attention would become non-degenerate again. That's our Phase-2 architectural extension.</w:t>
      </w:r>
    </w:p>
    <w:p>
      <w:pPr>
        <w:spacing w:before="200"/>
      </w:pPr>
      <w:r>
        <w:rPr>
          <w:b/>
          <w:color w:val="E67E22"/>
          <w:sz w:val="23"/>
        </w:rPr>
        <w:t xml:space="preserve">Q2.  </w:t>
      </w:r>
      <w:r>
        <w:rPr>
          <w:b/>
          <w:color w:val="202020"/>
          <w:sz w:val="23"/>
        </w:rPr>
        <w:t>Why didn't you use transformers for EEG like you did for audio and video?</w:t>
      </w:r>
    </w:p>
    <w:p>
      <w:pPr>
        <w:ind w:left="340"/>
      </w:pPr>
      <w:r>
        <w:rPr>
          <w:b/>
          <w:color w:val="1F3A68"/>
          <w:sz w:val="22"/>
        </w:rPr>
        <w:t xml:space="preserve">A.  </w:t>
      </w:r>
      <w:r>
        <w:rPr>
          <w:color w:val="202020"/>
          <w:sz w:val="22"/>
        </w:rPr>
        <w:t>Three reasons: pretraining, data scale, and inductive bias. AST and ViT have foundation models pretrained on millions of audio clips and images. There is no equivalent for 30-channel scalp EEG. We have 280 training trials per subject — a transformer with 87 million parameters would catastrophically overfit. EEGNet has 2.2 million parameters and the right inductive bias for the channel-by-time structure of multi-channel EEG.</w:t>
      </w:r>
    </w:p>
    <w:p>
      <w:pPr>
        <w:ind w:left="340"/>
      </w:pPr>
      <w:r>
        <w:rPr>
          <w:b/>
          <w:i/>
          <w:color w:val="555555"/>
          <w:sz w:val="20"/>
        </w:rPr>
        <w:t xml:space="preserve">If pushed:  </w:t>
      </w:r>
      <w:r>
        <w:rPr>
          <w:i/>
          <w:color w:val="555555"/>
          <w:sz w:val="20"/>
        </w:rPr>
        <w:t>Lee, Kim and Kim themselves used a 'modified Conformer with no self-attention' for EEG, precisely because raw self-attention is data-hungry on EEG. EEGNet has also been the dominant EEG architecture in BCI literature since 2018.</w:t>
      </w:r>
    </w:p>
    <w:p>
      <w:pPr>
        <w:spacing w:before="200"/>
      </w:pPr>
      <w:r>
        <w:rPr>
          <w:b/>
          <w:color w:val="E67E22"/>
          <w:sz w:val="23"/>
        </w:rPr>
        <w:t xml:space="preserve">Q3.  </w:t>
      </w:r>
      <w:r>
        <w:rPr>
          <w:b/>
          <w:color w:val="202020"/>
          <w:sz w:val="23"/>
        </w:rPr>
        <w:t>Why exactly two transformer layers? Why not more?</w:t>
      </w:r>
    </w:p>
    <w:p>
      <w:pPr>
        <w:ind w:left="340"/>
      </w:pPr>
      <w:r>
        <w:rPr>
          <w:b/>
          <w:color w:val="1F3A68"/>
          <w:sz w:val="22"/>
        </w:rPr>
        <w:t xml:space="preserve">A.  </w:t>
      </w:r>
      <w:r>
        <w:rPr>
          <w:color w:val="202020"/>
          <w:sz w:val="22"/>
        </w:rPr>
        <w:t>Two layers gives enough capacity to mix three modality tokens without overfitting on 280 training trials. We did informally explore one and four layers in early development. One layer underfit; four layers overfit. Two was the sweet spot.</w:t>
      </w:r>
    </w:p>
    <w:p>
      <w:pPr>
        <w:ind w:left="340"/>
      </w:pPr>
      <w:r>
        <w:rPr>
          <w:b/>
          <w:i/>
          <w:color w:val="555555"/>
          <w:sz w:val="20"/>
        </w:rPr>
        <w:t xml:space="preserve">If pushed:  </w:t>
      </w:r>
      <w:r>
        <w:rPr>
          <w:i/>
          <w:color w:val="555555"/>
          <w:sz w:val="20"/>
        </w:rPr>
        <w:t>This is a hyperparameter we'd revisit if we had cross-subject training data — more data would let us scale to deeper fusion without overfitting.</w:t>
      </w:r>
    </w:p>
    <w:p>
      <w:pPr>
        <w:spacing w:before="200"/>
      </w:pPr>
      <w:r>
        <w:rPr>
          <w:b/>
          <w:color w:val="E67E22"/>
          <w:sz w:val="23"/>
        </w:rPr>
        <w:t xml:space="preserve">Q4.  </w:t>
      </w:r>
      <w:r>
        <w:rPr>
          <w:b/>
          <w:color w:val="202020"/>
          <w:sz w:val="23"/>
        </w:rPr>
        <w:t>Why project everything to 256 dimensions? Why not match the original feature dimensions?</w:t>
      </w:r>
    </w:p>
    <w:p>
      <w:pPr>
        <w:ind w:left="340"/>
      </w:pPr>
      <w:r>
        <w:rPr>
          <w:b/>
          <w:color w:val="1F3A68"/>
          <w:sz w:val="22"/>
        </w:rPr>
        <w:t xml:space="preserve">A.  </w:t>
      </w:r>
      <w:r>
        <w:rPr>
          <w:color w:val="202020"/>
          <w:sz w:val="22"/>
        </w:rPr>
        <w:t>256 is a compromise: large enough to preserve the information in each per-modality feature but small enough to keep the fusion module to about 2.3 million parameters. The three input dimensions — 768, 768, and 960 — are different, so we need a common projection space for the attention mechanism to work uniformly across modalities.</w:t>
      </w:r>
    </w:p>
    <w:p>
      <w:pPr>
        <w:spacing w:before="200"/>
      </w:pPr>
      <w:r>
        <w:rPr>
          <w:b/>
          <w:color w:val="E67E22"/>
          <w:sz w:val="23"/>
        </w:rPr>
        <w:t xml:space="preserve">Q5.  </w:t>
      </w:r>
      <w:r>
        <w:rPr>
          <w:b/>
          <w:color w:val="202020"/>
          <w:sz w:val="23"/>
        </w:rPr>
        <w:t>Why mean-pool the three modality tokens after attention rather than use a learned attention pooler or take the first token?</w:t>
      </w:r>
    </w:p>
    <w:p>
      <w:pPr>
        <w:ind w:left="340"/>
      </w:pPr>
      <w:r>
        <w:rPr>
          <w:b/>
          <w:color w:val="1F3A68"/>
          <w:sz w:val="22"/>
        </w:rPr>
        <w:t xml:space="preserve">A.  </w:t>
      </w:r>
      <w:r>
        <w:rPr>
          <w:color w:val="202020"/>
          <w:sz w:val="22"/>
        </w:rPr>
        <w:t>Mean pooling is rotation-invariant in token order, which is appropriate because there's no canonical ordering of the three modalities. A learned pooler or first-token pooling would implicitly privilege one modality. The attention layers already produce a weighted mixture; mean pooling at the end just averages those mixtures.</w:t>
      </w:r>
    </w:p>
    <w:p>
      <w:pPr>
        <w:spacing w:before="200"/>
      </w:pPr>
      <w:r>
        <w:rPr>
          <w:b/>
          <w:color w:val="E67E22"/>
          <w:sz w:val="23"/>
        </w:rPr>
        <w:t xml:space="preserve">Q6.  </w:t>
      </w:r>
      <w:r>
        <w:rPr>
          <w:b/>
          <w:color w:val="202020"/>
          <w:sz w:val="23"/>
        </w:rPr>
        <w:t>Could you have used a simpler fusion architecture and reached the same accuracy?</w:t>
      </w:r>
    </w:p>
    <w:p>
      <w:pPr>
        <w:ind w:left="340"/>
      </w:pPr>
      <w:r>
        <w:rPr>
          <w:b/>
          <w:color w:val="1F3A68"/>
          <w:sz w:val="22"/>
        </w:rPr>
        <w:t xml:space="preserve">A.  </w:t>
      </w:r>
      <w:r>
        <w:rPr>
          <w:color w:val="202020"/>
          <w:sz w:val="22"/>
        </w:rPr>
        <w:t>Yes, in fact our concat-MLP fusion baseline at 81.7% slightly beat our cross-attention at 80.2%. We retained cross-attention for two reasons: it accommodates modality dropout cleanly by operating on discrete modality tokens, and it exposes named per-modality embeddings for Phase-2 temporal head extensions. The 1.5-point accuracy cost is the price of those architectural commitments.</w:t>
      </w:r>
    </w:p>
    <w:p>
      <w:pPr>
        <w:ind w:left="340"/>
      </w:pPr>
      <w:r>
        <w:rPr>
          <w:b/>
          <w:i/>
          <w:color w:val="555555"/>
          <w:sz w:val="20"/>
        </w:rPr>
        <w:t xml:space="preserve">If pushed:  </w:t>
      </w:r>
      <w:r>
        <w:rPr>
          <w:i/>
          <w:color w:val="555555"/>
          <w:sz w:val="20"/>
        </w:rPr>
        <w:t>The thesis explicitly reports both numbers and the Wilcoxon test that confirms concat-MLP is significantly higher. This is an honest finding, not a flaw.</w:t>
      </w:r>
    </w:p>
    <w:p/>
    <w:p>
      <w:r>
        <w:rPr>
          <w:b/>
          <w:color w:val="1F3A68"/>
          <w:sz w:val="28"/>
        </w:rPr>
        <w:t>Q7–Q9   ·   Encoder Choices</w:t>
      </w:r>
    </w:p>
    <w:p>
      <w:pPr>
        <w:spacing w:before="200"/>
      </w:pPr>
      <w:r>
        <w:rPr>
          <w:b/>
          <w:color w:val="E67E22"/>
          <w:sz w:val="23"/>
        </w:rPr>
        <w:t xml:space="preserve">Q7.  </w:t>
      </w:r>
      <w:r>
        <w:rPr>
          <w:b/>
          <w:color w:val="202020"/>
          <w:sz w:val="23"/>
        </w:rPr>
        <w:t>Why didn't you use a stronger EEG encoder like LEREL or a Conformer?</w:t>
      </w:r>
    </w:p>
    <w:p>
      <w:pPr>
        <w:ind w:left="340"/>
      </w:pPr>
      <w:r>
        <w:rPr>
          <w:b/>
          <w:color w:val="1F3A68"/>
          <w:sz w:val="22"/>
        </w:rPr>
        <w:t xml:space="preserve">A.  </w:t>
      </w:r>
      <w:r>
        <w:rPr>
          <w:color w:val="202020"/>
          <w:sz w:val="22"/>
        </w:rPr>
        <w:t>Two reasons. First, we wanted an architecture-controlled comparison with the EAV paper's published baseline, which is EEGNet. With the same architecture, our +7.2 percentage point EEG improvement is attributable to our bug fixes and training discipline, not to a stronger encoder. Second, a stronger EEG encoder is a Phase-2 substitution we explicitly identify in our future work — the fusion module can accept any EEG encoder via its named-embedding contract.</w:t>
      </w:r>
    </w:p>
    <w:p>
      <w:pPr>
        <w:spacing w:before="200"/>
      </w:pPr>
      <w:r>
        <w:rPr>
          <w:b/>
          <w:color w:val="E67E22"/>
          <w:sz w:val="23"/>
        </w:rPr>
        <w:t xml:space="preserve">Q8.  </w:t>
      </w:r>
      <w:r>
        <w:rPr>
          <w:b/>
          <w:color w:val="202020"/>
          <w:sz w:val="23"/>
        </w:rPr>
        <w:t>Why use bag-of-frames averaging for ViT rather than a temporal model over the 25 frames?</w:t>
      </w:r>
    </w:p>
    <w:p>
      <w:pPr>
        <w:ind w:left="340"/>
      </w:pPr>
      <w:r>
        <w:rPr>
          <w:b/>
          <w:color w:val="1F3A68"/>
          <w:sz w:val="22"/>
        </w:rPr>
        <w:t xml:space="preserve">A.  </w:t>
      </w:r>
      <w:r>
        <w:rPr>
          <w:color w:val="202020"/>
          <w:sz w:val="22"/>
        </w:rPr>
        <w:t>Two reasons. First, EAV clips are only five seconds long, and the dominant emotional expression is relatively stable over that window, so a temporal model adds parameters without adding much signal. Second, treating frames as independent lets us use a strong pre-trained image classifier without retraining a temporal head. The 25-frame mean of CLS embeddings gives 74.6% — strong enough that adding temporal complexity is Phase-2 work, not Phase-1 necessity.</w:t>
      </w:r>
    </w:p>
    <w:p>
      <w:pPr>
        <w:spacing w:before="200"/>
      </w:pPr>
      <w:r>
        <w:rPr>
          <w:b/>
          <w:color w:val="E67E22"/>
          <w:sz w:val="23"/>
        </w:rPr>
        <w:t xml:space="preserve">Q9.  </w:t>
      </w:r>
      <w:r>
        <w:rPr>
          <w:b/>
          <w:color w:val="202020"/>
          <w:sz w:val="23"/>
        </w:rPr>
        <w:t>AST is pre-trained on AudioSet, which is mostly environmental sounds, not speech. Why is that OK for emotion recognition?</w:t>
      </w:r>
    </w:p>
    <w:p>
      <w:pPr>
        <w:ind w:left="340"/>
      </w:pPr>
      <w:r>
        <w:rPr>
          <w:b/>
          <w:color w:val="1F3A68"/>
          <w:sz w:val="22"/>
        </w:rPr>
        <w:t xml:space="preserve">A.  </w:t>
      </w:r>
      <w:r>
        <w:rPr>
          <w:color w:val="202020"/>
          <w:sz w:val="22"/>
        </w:rPr>
        <w:t>AudioSet does include human speech, vocalisations, and music — 527 classes total. Even where the pretraining domain doesn't directly match, transformer features transfer well to downstream audio tasks. Empirically our AST reaches 57.1% on EAV's five-class emotion task, which is 20.4 points above the published SCNN baseline. The pretraining is doing real work.</w:t>
      </w:r>
    </w:p>
    <w:p>
      <w:pPr>
        <w:ind w:left="340"/>
      </w:pPr>
      <w:r>
        <w:rPr>
          <w:b/>
          <w:i/>
          <w:color w:val="555555"/>
          <w:sz w:val="20"/>
        </w:rPr>
        <w:t xml:space="preserve">If pushed:  </w:t>
      </w:r>
      <w:r>
        <w:rPr>
          <w:i/>
          <w:color w:val="555555"/>
          <w:sz w:val="20"/>
        </w:rPr>
        <w:t>A more speech-specialised pretraining like wav2vec 2.0 might do even better, and is a Phase-2 substitution.</w:t>
      </w:r>
    </w:p>
    <w:p/>
    <w:p>
      <w:r>
        <w:rPr>
          <w:b/>
          <w:color w:val="1F3A68"/>
          <w:sz w:val="28"/>
        </w:rPr>
        <w:t>Q10–Q12   ·   Modality Dropout</w:t>
      </w:r>
    </w:p>
    <w:p>
      <w:pPr>
        <w:spacing w:before="200"/>
      </w:pPr>
      <w:r>
        <w:rPr>
          <w:b/>
          <w:color w:val="E67E22"/>
          <w:sz w:val="23"/>
        </w:rPr>
        <w:t xml:space="preserve">Q10.  </w:t>
      </w:r>
      <w:r>
        <w:rPr>
          <w:b/>
          <w:color w:val="202020"/>
          <w:sz w:val="23"/>
        </w:rPr>
        <w:t>Why did you choose p = 1/3 as the dropout probability? Did you tune it?</w:t>
      </w:r>
    </w:p>
    <w:p>
      <w:pPr>
        <w:ind w:left="340"/>
      </w:pPr>
      <w:r>
        <w:rPr>
          <w:b/>
          <w:color w:val="1F3A68"/>
          <w:sz w:val="22"/>
        </w:rPr>
        <w:t xml:space="preserve">A.  </w:t>
      </w:r>
      <w:r>
        <w:rPr>
          <w:color w:val="202020"/>
          <w:sz w:val="22"/>
        </w:rPr>
        <w:t>p = 1/3 corresponds to dropping one of the three modalities uniformly at random — it's the natural symmetric choice. We informally explored higher and lower values in early development; 1/3 gave the best balance between regularisation and signal preservation. We did not formally grid-search this parameter.</w:t>
      </w:r>
    </w:p>
    <w:p>
      <w:pPr>
        <w:ind w:left="340"/>
      </w:pPr>
      <w:r>
        <w:rPr>
          <w:b/>
          <w:i/>
          <w:color w:val="555555"/>
          <w:sz w:val="20"/>
        </w:rPr>
        <w:t xml:space="preserve">If pushed:  </w:t>
      </w:r>
      <w:r>
        <w:rPr>
          <w:i/>
          <w:color w:val="555555"/>
          <w:sz w:val="20"/>
        </w:rPr>
        <w:t>A formal sensitivity sweep would be a worthwhile robustness check; we report it as a limitation that could be tightened in a journal version.</w:t>
      </w:r>
    </w:p>
    <w:p>
      <w:pPr>
        <w:spacing w:before="200"/>
      </w:pPr>
      <w:r>
        <w:rPr>
          <w:b/>
          <w:color w:val="E67E22"/>
          <w:sz w:val="23"/>
        </w:rPr>
        <w:t xml:space="preserve">Q11.  </w:t>
      </w:r>
      <w:r>
        <w:rPr>
          <w:b/>
          <w:color w:val="202020"/>
          <w:sz w:val="23"/>
        </w:rPr>
        <w:t>Would modality dropout help even without the cross-attention architecture? Did you test it with the concat-MLP?</w:t>
      </w:r>
    </w:p>
    <w:p>
      <w:pPr>
        <w:ind w:left="340"/>
      </w:pPr>
      <w:r>
        <w:rPr>
          <w:b/>
          <w:color w:val="1F3A68"/>
          <w:sz w:val="22"/>
        </w:rPr>
        <w:t xml:space="preserve">A.  </w:t>
      </w:r>
      <w:r>
        <w:rPr>
          <w:color w:val="202020"/>
          <w:sz w:val="22"/>
        </w:rPr>
        <w:t>We tested it on the cross-attention fusion only. The cross-attention's discrete modality-token structure is what makes dropout natural — you zero out one token. With a concat-MLP, you'd zero out a contiguous chunk of the concatenated feature vector, which is a different intervention. We expect dropout would still help concat-MLP, but verifying that is Phase-2 work.</w:t>
      </w:r>
    </w:p>
    <w:p>
      <w:pPr>
        <w:ind w:left="340"/>
      </w:pPr>
      <w:r>
        <w:rPr>
          <w:b/>
          <w:i/>
          <w:color w:val="555555"/>
          <w:sz w:val="20"/>
        </w:rPr>
        <w:t xml:space="preserve">If pushed:  </w:t>
      </w:r>
      <w:r>
        <w:rPr>
          <w:i/>
          <w:color w:val="555555"/>
          <w:sz w:val="20"/>
        </w:rPr>
        <w:t>The 84.7% headline is specifically dropout-plus-cross-attention. If concat-MLP plus dropout exceeded that, it would change which architecture we recommend. We don't have that experiment yet.</w:t>
      </w:r>
    </w:p>
    <w:p>
      <w:pPr>
        <w:spacing w:before="200"/>
      </w:pPr>
      <w:r>
        <w:rPr>
          <w:b/>
          <w:color w:val="E67E22"/>
          <w:sz w:val="23"/>
        </w:rPr>
        <w:t xml:space="preserve">Q12.  </w:t>
      </w:r>
      <w:r>
        <w:rPr>
          <w:b/>
          <w:color w:val="202020"/>
          <w:sz w:val="23"/>
        </w:rPr>
        <w:t>Why is it called 'softhard' dropout? What would 'soft' or 'hard' alternatives be?</w:t>
      </w:r>
    </w:p>
    <w:p>
      <w:pPr>
        <w:ind w:left="340"/>
      </w:pPr>
      <w:r>
        <w:rPr>
          <w:b/>
          <w:color w:val="1F3A68"/>
          <w:sz w:val="22"/>
        </w:rPr>
        <w:t xml:space="preserve">A.  </w:t>
      </w:r>
      <w:r>
        <w:rPr>
          <w:color w:val="202020"/>
          <w:sz w:val="22"/>
        </w:rPr>
        <w:t>The terminology comes from Chumachenko et al.'s 2022 ICPR paper, which distinguishes 'softhard' (zero an entire modality token with some probability) from 'noise' (replace it with Gaussian noise of matched statistics). Softhard is the right choice for our deployment scenario because the demo literally has zero EEG — no headset — and the model needs to be trained on that exact zero pattern to be calibrated.</w:t>
      </w:r>
    </w:p>
    <w:p/>
    <w:p>
      <w:r>
        <w:rPr>
          <w:b/>
          <w:color w:val="1F3A68"/>
          <w:sz w:val="28"/>
        </w:rPr>
        <w:t>Q13–Q16   ·   Results &amp; SOTA Claim</w:t>
      </w:r>
    </w:p>
    <w:p>
      <w:pPr>
        <w:spacing w:before="200"/>
      </w:pPr>
      <w:r>
        <w:rPr>
          <w:b/>
          <w:color w:val="E67E22"/>
          <w:sz w:val="23"/>
        </w:rPr>
        <w:t xml:space="preserve">Q13.  </w:t>
      </w:r>
      <w:r>
        <w:rPr>
          <w:b/>
          <w:color w:val="202020"/>
          <w:sz w:val="23"/>
        </w:rPr>
        <w:t>Concat-MLP beat your cross-attention — why claim cross-attention as the contribution?</w:t>
      </w:r>
    </w:p>
    <w:p>
      <w:pPr>
        <w:ind w:left="340"/>
      </w:pPr>
      <w:r>
        <w:rPr>
          <w:b/>
          <w:color w:val="1F3A68"/>
          <w:sz w:val="22"/>
        </w:rPr>
        <w:t xml:space="preserve">A.  </w:t>
      </w:r>
      <w:r>
        <w:rPr>
          <w:color w:val="202020"/>
          <w:sz w:val="22"/>
        </w:rPr>
        <w:t>We don't. We claim modality dropout plus learned fusion as the contribution, and modality dropout works on top of any learned fusion. The 84.7% headline is the dropout-trained variant, which exceeds both concat-MLP and prior published work on EAV by significant margins. Cross-attention is the chosen base fusion because it supports the dropout intervention cleanly and exposes per-modality embeddings for Phase-2 temporal extensions.</w:t>
      </w:r>
    </w:p>
    <w:p>
      <w:pPr>
        <w:spacing w:before="200"/>
      </w:pPr>
      <w:r>
        <w:rPr>
          <w:b/>
          <w:color w:val="E67E22"/>
          <w:sz w:val="23"/>
        </w:rPr>
        <w:t xml:space="preserve">Q14.  </w:t>
      </w:r>
      <w:r>
        <w:rPr>
          <w:b/>
          <w:color w:val="202020"/>
          <w:sz w:val="23"/>
        </w:rPr>
        <w:t>Hyper-MML reported 76.65% on EAV. You're claiming SOTA at 84.7% — can you really compare without running their code?</w:t>
      </w:r>
    </w:p>
    <w:p>
      <w:pPr>
        <w:ind w:left="340"/>
      </w:pPr>
      <w:r>
        <w:rPr>
          <w:b/>
          <w:color w:val="1F3A68"/>
          <w:sz w:val="22"/>
        </w:rPr>
        <w:t xml:space="preserve">A.  </w:t>
      </w:r>
      <w:r>
        <w:rPr>
          <w:color w:val="202020"/>
          <w:sz w:val="22"/>
        </w:rPr>
        <w:t>We compare on the same evaluation protocol they report — per-subject within-subject 280/120 split, 42-subject mean. AMERL released their code, and our results align with theirs on that protocol. Hyper-MML and EEG-MoCE did not release code, so we limit our SOTA claim to 'among reports using comparable protocols.' That qualification is explicit in the thesis.</w:t>
      </w:r>
    </w:p>
    <w:p>
      <w:pPr>
        <w:ind w:left="340"/>
      </w:pPr>
      <w:r>
        <w:rPr>
          <w:b/>
          <w:i/>
          <w:color w:val="555555"/>
          <w:sz w:val="20"/>
        </w:rPr>
        <w:t xml:space="preserve">If pushed:  </w:t>
      </w:r>
      <w:r>
        <w:rPr>
          <w:i/>
          <w:color w:val="555555"/>
          <w:sz w:val="20"/>
        </w:rPr>
        <w:t>We'd happily withdraw the SOTA claim if Hyper-MML released code showing they used a stricter protocol than ours. The current SOTA claim is calibrated to what's reproducible.</w:t>
      </w:r>
    </w:p>
    <w:p>
      <w:pPr>
        <w:spacing w:before="200"/>
      </w:pPr>
      <w:r>
        <w:rPr>
          <w:b/>
          <w:color w:val="E67E22"/>
          <w:sz w:val="23"/>
        </w:rPr>
        <w:t xml:space="preserve">Q15.  </w:t>
      </w:r>
      <w:r>
        <w:rPr>
          <w:b/>
          <w:color w:val="202020"/>
          <w:sz w:val="23"/>
        </w:rPr>
        <w:t>Five of your 42 subjects scored below 70%. Why are these subjects hard?</w:t>
      </w:r>
    </w:p>
    <w:p>
      <w:pPr>
        <w:ind w:left="340"/>
      </w:pPr>
      <w:r>
        <w:rPr>
          <w:b/>
          <w:color w:val="1F3A68"/>
          <w:sz w:val="22"/>
        </w:rPr>
        <w:t xml:space="preserve">A.  </w:t>
      </w:r>
      <w:r>
        <w:rPr>
          <w:color w:val="202020"/>
          <w:sz w:val="22"/>
        </w:rPr>
        <w:t>Subject-level difficulty in EAV is a known phenomenon driven by individual EEG electrode contact quality, expressivity of facial response, and personality factors. The five low subjects are not the same as the low subjects in the EAV paper's per-modality baselines, suggesting our difficulty pattern is specific to fusion, not generally to the data. We did not investigate individual subjects clinically — that's a Phase-2 extension.</w:t>
      </w:r>
    </w:p>
    <w:p>
      <w:pPr>
        <w:spacing w:before="200"/>
      </w:pPr>
      <w:r>
        <w:rPr>
          <w:b/>
          <w:color w:val="E67E22"/>
          <w:sz w:val="23"/>
        </w:rPr>
        <w:t xml:space="preserve">Q16.  </w:t>
      </w:r>
      <w:r>
        <w:rPr>
          <w:b/>
          <w:color w:val="202020"/>
          <w:sz w:val="23"/>
        </w:rPr>
        <w:t>Your per-modality EEG accuracy at 43.9% is lower than some competing methods report. Why?</w:t>
      </w:r>
    </w:p>
    <w:p>
      <w:pPr>
        <w:ind w:left="340"/>
      </w:pPr>
      <w:r>
        <w:rPr>
          <w:b/>
          <w:color w:val="1F3A68"/>
          <w:sz w:val="22"/>
        </w:rPr>
        <w:t xml:space="preserve">A.  </w:t>
      </w:r>
      <w:r>
        <w:rPr>
          <w:color w:val="202020"/>
          <w:sz w:val="22"/>
        </w:rPr>
        <w:t>We use vanilla EEGNet, the EAV paper's reference architecture. Competitors like LEREL use stronger EEG-specific architectures and obtain 76% on EAV. Our 43.9% is a deliberate choice for architectural-comparison fidelity. Despite the lower per-modality EEG, our fusion accuracy dominates the field, which indicates the fusion design — cross-attention plus dropout — extracts more value from a weaker EEG signal.</w:t>
      </w:r>
    </w:p>
    <w:p/>
    <w:p>
      <w:r>
        <w:rPr>
          <w:b/>
          <w:color w:val="1F3A68"/>
          <w:sz w:val="28"/>
        </w:rPr>
        <w:t>Q17–Q21   ·   Suppression Matrix</w:t>
      </w:r>
    </w:p>
    <w:p>
      <w:pPr>
        <w:spacing w:before="200"/>
      </w:pPr>
      <w:r>
        <w:rPr>
          <w:b/>
          <w:color w:val="E67E22"/>
          <w:sz w:val="23"/>
        </w:rPr>
        <w:t xml:space="preserve">Q17.  </w:t>
      </w:r>
      <w:r>
        <w:rPr>
          <w:b/>
          <w:color w:val="202020"/>
          <w:sz w:val="23"/>
        </w:rPr>
        <w:t>Why 0.5 as the EEG confidence threshold? Is the suppression matrix sensitive to this choice?</w:t>
      </w:r>
    </w:p>
    <w:p>
      <w:pPr>
        <w:ind w:left="340"/>
      </w:pPr>
      <w:r>
        <w:rPr>
          <w:b/>
          <w:color w:val="1F3A68"/>
          <w:sz w:val="22"/>
        </w:rPr>
        <w:t xml:space="preserve">A.  </w:t>
      </w:r>
      <w:r>
        <w:rPr>
          <w:color w:val="202020"/>
          <w:sz w:val="22"/>
        </w:rPr>
        <w:t>0.5 means the EEG places more probability mass on its top prediction than on the other four classes combined — a conservative reliability gate. We did informally check that the four dominant patterns survive at thresholds of 0.4 and 0.6, though the absolute count of events shifts. A formal sensitivity sweep would be a worthwhile robustness check.</w:t>
      </w:r>
    </w:p>
    <w:p>
      <w:pPr>
        <w:ind w:left="340"/>
      </w:pPr>
      <w:r>
        <w:rPr>
          <w:b/>
          <w:i/>
          <w:color w:val="555555"/>
          <w:sz w:val="20"/>
        </w:rPr>
        <w:t xml:space="preserve">If pushed:  </w:t>
      </w:r>
      <w:r>
        <w:rPr>
          <w:i/>
          <w:color w:val="555555"/>
          <w:sz w:val="20"/>
        </w:rPr>
        <w:t>The threshold is independent of the matrix structure — it only affects how many events qualify, not which off-diagonal cells dominate.</w:t>
      </w:r>
    </w:p>
    <w:p>
      <w:pPr>
        <w:spacing w:before="200"/>
      </w:pPr>
      <w:r>
        <w:rPr>
          <w:b/>
          <w:color w:val="E67E22"/>
          <w:sz w:val="23"/>
        </w:rPr>
        <w:t xml:space="preserve">Q18.  </w:t>
      </w:r>
      <w:r>
        <w:rPr>
          <w:b/>
          <w:color w:val="202020"/>
          <w:sz w:val="23"/>
        </w:rPr>
        <w:t>The Anger-Happiness bidirectional confusion — is this real suppression or just an EEG model error confusing two high-arousal states?</w:t>
      </w:r>
    </w:p>
    <w:p>
      <w:pPr>
        <w:ind w:left="340"/>
      </w:pPr>
      <w:r>
        <w:rPr>
          <w:b/>
          <w:color w:val="1F3A68"/>
          <w:sz w:val="22"/>
        </w:rPr>
        <w:t xml:space="preserve">A.  </w:t>
      </w:r>
      <w:r>
        <w:rPr>
          <w:color w:val="202020"/>
          <w:sz w:val="22"/>
        </w:rPr>
        <w:t>Both interpretations are consistent with the data and we say so explicitly in our discussion. Anger and Happiness share high-arousal physiology, so EEGNet may genuinely struggle to discriminate them. Equally, participants displaying Anger may have experienced elevated-arousal positive affect neurophysiologically — competitive excitement, for example. Disentangling these requires a self-report measure collected alongside EEG, which is Phase-2 work.</w:t>
      </w:r>
    </w:p>
    <w:p>
      <w:pPr>
        <w:ind w:left="340"/>
      </w:pPr>
      <w:r>
        <w:rPr>
          <w:b/>
          <w:i/>
          <w:color w:val="555555"/>
          <w:sz w:val="20"/>
        </w:rPr>
        <w:t xml:space="preserve">If pushed:  </w:t>
      </w:r>
      <w:r>
        <w:rPr>
          <w:i/>
          <w:color w:val="555555"/>
          <w:sz w:val="20"/>
        </w:rPr>
        <w:t>What we can say firmly is that the pattern is cross-population and structural, not artefactual at the individual-subject level. Whether it's neuroscientific or methodological is the open question.</w:t>
      </w:r>
    </w:p>
    <w:p>
      <w:pPr>
        <w:spacing w:before="200"/>
      </w:pPr>
      <w:r>
        <w:rPr>
          <w:b/>
          <w:color w:val="E67E22"/>
          <w:sz w:val="23"/>
        </w:rPr>
        <w:t xml:space="preserve">Q19.  </w:t>
      </w:r>
      <w:r>
        <w:rPr>
          <w:b/>
          <w:color w:val="202020"/>
          <w:sz w:val="23"/>
        </w:rPr>
        <w:t>The Listen/Speak temporal asymmetry — EEG is recorded during listening, audio/video during speaking. Doesn't that invalidate the suppression matrix?</w:t>
      </w:r>
    </w:p>
    <w:p>
      <w:pPr>
        <w:ind w:left="340"/>
      </w:pPr>
      <w:r>
        <w:rPr>
          <w:b/>
          <w:color w:val="1F3A68"/>
          <w:sz w:val="22"/>
        </w:rPr>
        <w:t xml:space="preserve">A.  </w:t>
      </w:r>
      <w:r>
        <w:rPr>
          <w:color w:val="202020"/>
          <w:sz w:val="22"/>
        </w:rPr>
        <w:t>It restricts the interpretation but does not invalidate it. The same emotional cue drives both windows within a trial, so the 'emotion' label applies to both. What we measure is agreement between internal neural state during listening and external behavioural expression during speaking — a meaningful operationalisation of cross-modal coherence in the EAV paradigm. We acknowledge this as a corpus-specific limitation.</w:t>
      </w:r>
    </w:p>
    <w:p>
      <w:pPr>
        <w:ind w:left="340"/>
      </w:pPr>
      <w:r>
        <w:rPr>
          <w:b/>
          <w:i/>
          <w:color w:val="555555"/>
          <w:sz w:val="20"/>
        </w:rPr>
        <w:t xml:space="preserve">If pushed:  </w:t>
      </w:r>
      <w:r>
        <w:rPr>
          <w:i/>
          <w:color w:val="555555"/>
          <w:sz w:val="20"/>
        </w:rPr>
        <w:t>In a synchronous corpus — naturalistic conversation with concurrent EEG — the suppression matrix would carry stronger real-time coherence semantics. That would be a Phase-2 dataset extension.</w:t>
      </w:r>
    </w:p>
    <w:p>
      <w:pPr>
        <w:spacing w:before="200"/>
      </w:pPr>
      <w:r>
        <w:rPr>
          <w:b/>
          <w:color w:val="E67E22"/>
          <w:sz w:val="23"/>
        </w:rPr>
        <w:t xml:space="preserve">Q20.  </w:t>
      </w:r>
      <w:r>
        <w:rPr>
          <w:b/>
          <w:color w:val="202020"/>
          <w:sz w:val="23"/>
        </w:rPr>
        <w:t>Could your suppression matrix detect clinical conditions like depression or alexithymia?</w:t>
      </w:r>
    </w:p>
    <w:p>
      <w:pPr>
        <w:ind w:left="340"/>
      </w:pPr>
      <w:r>
        <w:rPr>
          <w:b/>
          <w:color w:val="1F3A68"/>
          <w:sz w:val="22"/>
        </w:rPr>
        <w:t xml:space="preserve">A.  </w:t>
      </w:r>
      <w:r>
        <w:rPr>
          <w:color w:val="202020"/>
          <w:sz w:val="22"/>
        </w:rPr>
        <w:t>That is the Phase-2 hypothesis, but we do not claim it from the present thesis. We establish a healthy-population baseline on EAV. Whether clinical populations deviate from that baseline, and how, requires recruiting patient cohorts under ethics approval — which is explicitly outside this thesis's scope.</w:t>
      </w:r>
    </w:p>
    <w:p>
      <w:pPr>
        <w:ind w:left="340"/>
      </w:pPr>
      <w:r>
        <w:rPr>
          <w:b/>
          <w:i/>
          <w:color w:val="555555"/>
          <w:sz w:val="20"/>
        </w:rPr>
        <w:t xml:space="preserve">If pushed:  </w:t>
      </w:r>
      <w:r>
        <w:rPr>
          <w:i/>
          <w:color w:val="555555"/>
          <w:sz w:val="20"/>
        </w:rPr>
        <w:t>The methodology is exportable, but any clinical inference from our specific findings would be premature.</w:t>
      </w:r>
    </w:p>
    <w:p>
      <w:pPr>
        <w:spacing w:before="200"/>
      </w:pPr>
      <w:r>
        <w:rPr>
          <w:b/>
          <w:color w:val="E67E22"/>
          <w:sz w:val="23"/>
        </w:rPr>
        <w:t xml:space="preserve">Q21.  </w:t>
      </w:r>
      <w:r>
        <w:rPr>
          <w:b/>
          <w:color w:val="202020"/>
          <w:sz w:val="23"/>
        </w:rPr>
        <w:t>How is the suppression matrix related to your fusion model? Does it depend on which fusion architecture you used?</w:t>
      </w:r>
    </w:p>
    <w:p>
      <w:pPr>
        <w:ind w:left="340"/>
      </w:pPr>
      <w:r>
        <w:rPr>
          <w:b/>
          <w:color w:val="1F3A68"/>
          <w:sz w:val="22"/>
        </w:rPr>
        <w:t xml:space="preserve">A.  </w:t>
      </w:r>
      <w:r>
        <w:rPr>
          <w:color w:val="202020"/>
          <w:sz w:val="22"/>
        </w:rPr>
        <w:t>It does not depend on the fusion model at all. The suppression matrix is computed from the per-modality classifier outputs — AST, ViT, EEGNet — independently. We could swap concat-MLP for cross-attention and the matrix would be identical. This decoupling is by design: coherence is a property of the modalities, not of the fusion operator. The matrix would still work if no fusion model existed.</w:t>
      </w:r>
    </w:p>
    <w:p/>
    <w:p>
      <w:r>
        <w:rPr>
          <w:b/>
          <w:color w:val="1F3A68"/>
          <w:sz w:val="28"/>
        </w:rPr>
        <w:t>Q22–Q24   ·   Generalisation</w:t>
      </w:r>
    </w:p>
    <w:p>
      <w:pPr>
        <w:spacing w:before="200"/>
      </w:pPr>
      <w:r>
        <w:rPr>
          <w:b/>
          <w:color w:val="E67E22"/>
          <w:sz w:val="23"/>
        </w:rPr>
        <w:t xml:space="preserve">Q22.  </w:t>
      </w:r>
      <w:r>
        <w:rPr>
          <w:b/>
          <w:color w:val="202020"/>
          <w:sz w:val="23"/>
        </w:rPr>
        <w:t>Why didn't you run leave-one-subject-out evaluation?</w:t>
      </w:r>
    </w:p>
    <w:p>
      <w:pPr>
        <w:ind w:left="340"/>
      </w:pPr>
      <w:r>
        <w:rPr>
          <w:b/>
          <w:color w:val="1F3A68"/>
          <w:sz w:val="22"/>
        </w:rPr>
        <w:t xml:space="preserve">A.  </w:t>
      </w:r>
      <w:r>
        <w:rPr>
          <w:color w:val="202020"/>
          <w:sz w:val="22"/>
        </w:rPr>
        <w:t>Full LOSO would require 42 separate training runs of the full pipeline — approximately 500 hours of GPU time on our Colab Pro budget. We acknowledge this as a limitation and identify partial LOSO as a Phase-2 priority. Within-subject training is the standard protocol in EAV's published baselines, so our results are comparable to prior work on a like-for-like basis.</w:t>
      </w:r>
    </w:p>
    <w:p>
      <w:pPr>
        <w:ind w:left="340"/>
      </w:pPr>
      <w:r>
        <w:rPr>
          <w:b/>
          <w:i/>
          <w:color w:val="555555"/>
          <w:sz w:val="20"/>
        </w:rPr>
        <w:t xml:space="preserve">If pushed:  </w:t>
      </w:r>
      <w:r>
        <w:rPr>
          <w:i/>
          <w:color w:val="555555"/>
          <w:sz w:val="20"/>
        </w:rPr>
        <w:t>A partial LOSO on five representative subjects would be a reasonable compromise between scope and cost.</w:t>
      </w:r>
    </w:p>
    <w:p>
      <w:pPr>
        <w:spacing w:before="200"/>
      </w:pPr>
      <w:r>
        <w:rPr>
          <w:b/>
          <w:color w:val="E67E22"/>
          <w:sz w:val="23"/>
        </w:rPr>
        <w:t xml:space="preserve">Q23.  </w:t>
      </w:r>
      <w:r>
        <w:rPr>
          <w:b/>
          <w:color w:val="202020"/>
          <w:sz w:val="23"/>
        </w:rPr>
        <w:t>How would your system perform on a different dataset like DEAP or SEED?</w:t>
      </w:r>
    </w:p>
    <w:p>
      <w:pPr>
        <w:ind w:left="340"/>
      </w:pPr>
      <w:r>
        <w:rPr>
          <w:b/>
          <w:color w:val="1F3A68"/>
          <w:sz w:val="22"/>
        </w:rPr>
        <w:t xml:space="preserve">A.  </w:t>
      </w:r>
      <w:r>
        <w:rPr>
          <w:color w:val="202020"/>
          <w:sz w:val="22"/>
        </w:rPr>
        <w:t>We did not test it, because DEAP and SEED have different modality structures — DEAP doesn't have audio, SEED is EEG-only. Direct transfer would require modifying the pipeline. The fusion module's architectural choices — including modality dropout — are general and would apply to any trimodal corpus with comparable modality dimensions.</w:t>
      </w:r>
    </w:p>
    <w:p>
      <w:pPr>
        <w:spacing w:before="200"/>
      </w:pPr>
      <w:r>
        <w:rPr>
          <w:b/>
          <w:color w:val="E67E22"/>
          <w:sz w:val="23"/>
        </w:rPr>
        <w:t xml:space="preserve">Q24.  </w:t>
      </w:r>
      <w:r>
        <w:rPr>
          <w:b/>
          <w:color w:val="202020"/>
          <w:sz w:val="23"/>
        </w:rPr>
        <w:t>Within-subject training is much easier than cross-subject. Doesn't that inflate your numbers?</w:t>
      </w:r>
    </w:p>
    <w:p>
      <w:pPr>
        <w:ind w:left="340"/>
      </w:pPr>
      <w:r>
        <w:rPr>
          <w:b/>
          <w:color w:val="1F3A68"/>
          <w:sz w:val="22"/>
        </w:rPr>
        <w:t xml:space="preserve">A.  </w:t>
      </w:r>
      <w:r>
        <w:rPr>
          <w:color w:val="202020"/>
          <w:sz w:val="22"/>
        </w:rPr>
        <w:t>Within-subject is easier than cross-subject — that's true and we acknowledge it. But it's the protocol used by every published EAV baseline including AMERL, Hyper-MML, and EEG-MoCE, so our comparison is like-for-like. Within-subject results establish a per-subject ceiling; cross-subject would lower it and is Phase-2 work.</w:t>
      </w:r>
    </w:p>
    <w:p/>
    <w:p>
      <w:r>
        <w:rPr>
          <w:b/>
          <w:color w:val="1F3A68"/>
          <w:sz w:val="28"/>
        </w:rPr>
        <w:t>Q25–Q26   ·   Statistical Methods</w:t>
      </w:r>
    </w:p>
    <w:p>
      <w:pPr>
        <w:spacing w:before="200"/>
      </w:pPr>
      <w:r>
        <w:rPr>
          <w:b/>
          <w:color w:val="E67E22"/>
          <w:sz w:val="23"/>
        </w:rPr>
        <w:t xml:space="preserve">Q25.  </w:t>
      </w:r>
      <w:r>
        <w:rPr>
          <w:b/>
          <w:color w:val="202020"/>
          <w:sz w:val="23"/>
        </w:rPr>
        <w:t>Why use the Wilcoxon signed-rank test rather than a paired t-test?</w:t>
      </w:r>
    </w:p>
    <w:p>
      <w:pPr>
        <w:ind w:left="340"/>
      </w:pPr>
      <w:r>
        <w:rPr>
          <w:b/>
          <w:color w:val="1F3A68"/>
          <w:sz w:val="22"/>
        </w:rPr>
        <w:t xml:space="preserve">A.  </w:t>
      </w:r>
      <w:r>
        <w:rPr>
          <w:color w:val="202020"/>
          <w:sz w:val="22"/>
        </w:rPr>
        <w:t>Wilcoxon is non-parametric — it doesn't assume the per-subject paired differences are normally distributed. With only 42 subjects and possibly skewed difference distributions, Wilcoxon is the safer choice. It is the standard test for paired method comparisons in machine-learning evaluation literature.</w:t>
      </w:r>
    </w:p>
    <w:p>
      <w:pPr>
        <w:ind w:left="340"/>
      </w:pPr>
      <w:r>
        <w:rPr>
          <w:b/>
          <w:i/>
          <w:color w:val="555555"/>
          <w:sz w:val="20"/>
        </w:rPr>
        <w:t xml:space="preserve">If pushed:  </w:t>
      </w:r>
      <w:r>
        <w:rPr>
          <w:i/>
          <w:color w:val="555555"/>
          <w:sz w:val="20"/>
        </w:rPr>
        <w:t>We did informally check that paired t-test gives equivalent decisions across our seven comparisons, so the choice doesn't drive any of our claims.</w:t>
      </w:r>
    </w:p>
    <w:p>
      <w:pPr>
        <w:spacing w:before="200"/>
      </w:pPr>
      <w:r>
        <w:rPr>
          <w:b/>
          <w:color w:val="E67E22"/>
          <w:sz w:val="23"/>
        </w:rPr>
        <w:t xml:space="preserve">Q26.  </w:t>
      </w:r>
      <w:r>
        <w:rPr>
          <w:b/>
          <w:color w:val="202020"/>
          <w:sz w:val="23"/>
        </w:rPr>
        <w:t>Seven Wilcoxon tests with α = 0.05 — shouldn't you correct for multiple comparisons, e.g. Bonferroni?</w:t>
      </w:r>
    </w:p>
    <w:p>
      <w:pPr>
        <w:ind w:left="340"/>
      </w:pPr>
      <w:r>
        <w:rPr>
          <w:b/>
          <w:color w:val="1F3A68"/>
          <w:sz w:val="22"/>
        </w:rPr>
        <w:t xml:space="preserve">A.  </w:t>
      </w:r>
      <w:r>
        <w:rPr>
          <w:color w:val="202020"/>
          <w:sz w:val="22"/>
        </w:rPr>
        <w:t>Good catch. With Bonferroni at α = 0.05 across seven tests, the corrected threshold becomes 0.007. Two of our results — cross-attention vs naive late fusion at p = 0.023, and naive late fusion vs vision at p = 0.020 — would not survive that correction. The other five comparisons, including the modality-dropout and concat-MLP findings, would. We mention this as a methodological refinement for the journal version.</w:t>
      </w:r>
    </w:p>
    <w:p>
      <w:pPr>
        <w:ind w:left="340"/>
      </w:pPr>
      <w:r>
        <w:rPr>
          <w:b/>
          <w:i/>
          <w:color w:val="555555"/>
          <w:sz w:val="20"/>
        </w:rPr>
        <w:t xml:space="preserve">If pushed:  </w:t>
      </w:r>
      <w:r>
        <w:rPr>
          <w:i/>
          <w:color w:val="555555"/>
          <w:sz w:val="20"/>
        </w:rPr>
        <w:t>The substantive conclusions — that learned fusion beats unlearned, and that modality dropout dominates — survive Bonferroni cleanly.</w:t>
      </w:r>
    </w:p>
    <w:p/>
    <w:p>
      <w:r>
        <w:rPr>
          <w:b/>
          <w:color w:val="1F3A68"/>
          <w:sz w:val="28"/>
        </w:rPr>
        <w:t>Q27–Q27   ·   Demonstration &amp; Deployment</w:t>
      </w:r>
    </w:p>
    <w:p>
      <w:pPr>
        <w:spacing w:before="200"/>
      </w:pPr>
      <w:r>
        <w:rPr>
          <w:b/>
          <w:color w:val="E67E22"/>
          <w:sz w:val="23"/>
        </w:rPr>
        <w:t xml:space="preserve">Q27.  </w:t>
      </w:r>
      <w:r>
        <w:rPr>
          <w:b/>
          <w:color w:val="202020"/>
          <w:sz w:val="23"/>
        </w:rPr>
        <w:t>Your demo runs without EEG. If you can do that, why use a trimodal model at all?</w:t>
      </w:r>
    </w:p>
    <w:p>
      <w:pPr>
        <w:ind w:left="340"/>
      </w:pPr>
      <w:r>
        <w:rPr>
          <w:b/>
          <w:color w:val="1F3A68"/>
          <w:sz w:val="22"/>
        </w:rPr>
        <w:t xml:space="preserve">A.  </w:t>
      </w:r>
      <w:r>
        <w:rPr>
          <w:color w:val="202020"/>
          <w:sz w:val="22"/>
        </w:rPr>
        <w:t>Because training with all three modalities and inferring with two gives a better audio-visual model than training with only two from the start. The trimodal training plus modality dropout reaches 81.5% on the AV-only inference path, which is 1.3 points higher than our dropout-untrained full-modality model at 80.2%. EEG presence during training improves the model even when EEG is absent at inference. That's the value.</w:t>
      </w:r>
    </w:p>
    <w:p>
      <w:pPr>
        <w:ind w:left="340"/>
      </w:pPr>
      <w:r>
        <w:rPr>
          <w:b/>
          <w:i/>
          <w:color w:val="555555"/>
          <w:sz w:val="20"/>
        </w:rPr>
        <w:t xml:space="preserve">If pushed:  </w:t>
      </w:r>
      <w:r>
        <w:rPr>
          <w:i/>
          <w:color w:val="555555"/>
          <w:sz w:val="20"/>
        </w:rPr>
        <w:t>The training-time EEG signal acts as a regulariser, even though the deployed system never sees an EEG headset.</w:t>
      </w:r>
    </w:p>
    <w:p/>
    <w:p>
      <w:r>
        <w:rPr>
          <w:b/>
          <w:color w:val="1F3A68"/>
          <w:sz w:val="28"/>
        </w:rPr>
        <w:t>Q28–Q29   ·   Data &amp; Ethics</w:t>
      </w:r>
    </w:p>
    <w:p>
      <w:pPr>
        <w:spacing w:before="200"/>
      </w:pPr>
      <w:r>
        <w:rPr>
          <w:b/>
          <w:color w:val="E67E22"/>
          <w:sz w:val="23"/>
        </w:rPr>
        <w:t xml:space="preserve">Q28.  </w:t>
      </w:r>
      <w:r>
        <w:rPr>
          <w:b/>
          <w:color w:val="202020"/>
          <w:sz w:val="23"/>
        </w:rPr>
        <w:t>EAV uses cue-based elicitation — participants are told to display each emotion. Aren't these acted emotions rather than real ones?</w:t>
      </w:r>
    </w:p>
    <w:p>
      <w:pPr>
        <w:ind w:left="340"/>
      </w:pPr>
      <w:r>
        <w:rPr>
          <w:b/>
          <w:color w:val="1F3A68"/>
          <w:sz w:val="22"/>
        </w:rPr>
        <w:t xml:space="preserve">A.  </w:t>
      </w:r>
      <w:r>
        <w:rPr>
          <w:color w:val="202020"/>
          <w:sz w:val="22"/>
        </w:rPr>
        <w:t>Partially, yes. The participants were instructed to display each cued emotion, so the elicitation is partially acted and partially genuine engagement with the cue. We acknowledge this explicitly as a limitation: the 'suppression events' in our matrix may partly reflect imperfect emotion simulation rather than genuine social suppression. Disentangling these requires a spontaneous-emotion corpus, which is Phase-2 work.</w:t>
      </w:r>
    </w:p>
    <w:p>
      <w:pPr>
        <w:spacing w:before="200"/>
      </w:pPr>
      <w:r>
        <w:rPr>
          <w:b/>
          <w:color w:val="E67E22"/>
          <w:sz w:val="23"/>
        </w:rPr>
        <w:t xml:space="preserve">Q29.  </w:t>
      </w:r>
      <w:r>
        <w:rPr>
          <w:b/>
          <w:color w:val="202020"/>
          <w:sz w:val="23"/>
        </w:rPr>
        <w:t>How did you access the EAV dataset? It's not publicly available, is it?</w:t>
      </w:r>
    </w:p>
    <w:p>
      <w:pPr>
        <w:ind w:left="340"/>
      </w:pPr>
      <w:r>
        <w:rPr>
          <w:b/>
          <w:color w:val="1F3A68"/>
          <w:sz w:val="22"/>
        </w:rPr>
        <w:t xml:space="preserve">A.  </w:t>
      </w:r>
      <w:r>
        <w:rPr>
          <w:color w:val="202020"/>
          <w:sz w:val="22"/>
        </w:rPr>
        <w:t>We requested access by email from the EAV authors at Nazarbayev University. Adai Shomanov responded with a personal token-authorised Zenodo link, with explicit permission for the dataset's use in this thesis. The thesis acknowledges him by name. The dataset is restricted-access, per individual request, and our ethics paragraph reflects that correctly.</w:t>
      </w:r>
    </w:p>
    <w:p/>
    <w:p>
      <w:r>
        <w:rPr>
          <w:b/>
          <w:color w:val="1F3A68"/>
          <w:sz w:val="28"/>
        </w:rPr>
        <w:t>Q30–Q30   ·   Future Work</w:t>
      </w:r>
    </w:p>
    <w:p>
      <w:pPr>
        <w:spacing w:before="200"/>
      </w:pPr>
      <w:r>
        <w:rPr>
          <w:b/>
          <w:color w:val="E67E22"/>
          <w:sz w:val="23"/>
        </w:rPr>
        <w:t xml:space="preserve">Q30.  </w:t>
      </w:r>
      <w:r>
        <w:rPr>
          <w:b/>
          <w:color w:val="202020"/>
          <w:sz w:val="23"/>
        </w:rPr>
        <w:t>Your Phase-2 primary dataset is audio-visual only because you don't have an EEG machine. Doesn't that mean you can't validate the trimodal generalisation?</w:t>
      </w:r>
    </w:p>
    <w:p>
      <w:pPr>
        <w:ind w:left="340"/>
      </w:pPr>
      <w:r>
        <w:rPr>
          <w:b/>
          <w:color w:val="1F3A68"/>
          <w:sz w:val="22"/>
        </w:rPr>
        <w:t xml:space="preserve">A.  </w:t>
      </w:r>
      <w:r>
        <w:rPr>
          <w:color w:val="202020"/>
          <w:sz w:val="22"/>
        </w:rPr>
        <w:t>Correct, and we acknowledge this in the Phase-2 description. What an AV-only primary dataset validates is our demonstration path — the zero-EEG inference configuration — on data outside the EAV laboratory protocol. That's a real generalisation claim, just a narrower one than full trimodal validation. The full trimodal extension requires EEG hardware and ethics approval that we flag as Phase-2.3 work.</w:t>
      </w:r>
    </w:p>
    <w:p>
      <w:pPr>
        <w:ind w:left="340"/>
      </w:pPr>
      <w:r>
        <w:rPr>
          <w:b/>
          <w:i/>
          <w:color w:val="555555"/>
          <w:sz w:val="20"/>
        </w:rPr>
        <w:t xml:space="preserve">If pushed:  </w:t>
      </w:r>
      <w:r>
        <w:rPr>
          <w:i/>
          <w:color w:val="555555"/>
          <w:sz w:val="20"/>
        </w:rPr>
        <w:t>We also propose self-reported internal-state Likert ratings as a behavioural proxy for EEG in the primary corpus, giving us a way to extend the coherence analysis without EEG hardware.</w:t>
      </w:r>
    </w:p>
    <w:p>
      <w:r>
        <w:br w:type="page"/>
      </w:r>
    </w:p>
    <w:p>
      <w:r>
        <w:rPr>
          <w:b/>
          <w:color w:val="1F3A68"/>
          <w:sz w:val="26"/>
        </w:rPr>
        <w:t>Killer-line for difficult questions</w:t>
      </w:r>
    </w:p>
    <w:p>
      <w:pPr>
        <w:spacing w:before="200"/>
      </w:pPr>
      <w:r>
        <w:rPr>
          <w:b/>
          <w:color w:val="E67E22"/>
          <w:sz w:val="23"/>
        </w:rPr>
        <w:t xml:space="preserve">Q0.  </w:t>
      </w:r>
      <w:r>
        <w:rPr>
          <w:b/>
          <w:color w:val="202020"/>
          <w:sz w:val="23"/>
        </w:rPr>
        <w:t>(if pushed beyond what you've prepared)</w:t>
      </w:r>
    </w:p>
    <w:p>
      <w:pPr>
        <w:ind w:left="340"/>
      </w:pPr>
      <w:r>
        <w:rPr>
          <w:b/>
          <w:color w:val="1F3A68"/>
          <w:sz w:val="22"/>
        </w:rPr>
        <w:t xml:space="preserve">A.  </w:t>
      </w:r>
      <w:r>
        <w:rPr>
          <w:color w:val="202020"/>
          <w:sz w:val="22"/>
        </w:rPr>
        <w:t>"That's outside what we tested in Phase 1, but our architecture is designed to accommodate it as Phase-2 work. Specifically, the forward() contract exposes per-modality embeddings, so adding [whatever the question is about] is an incremental extension without rewriting the fusion module."</w:t>
      </w:r>
    </w:p>
    <w:p>
      <w:pPr>
        <w:ind w:left="340"/>
      </w:pPr>
      <w:r>
        <w:rPr>
          <w:b/>
          <w:i/>
          <w:color w:val="555555"/>
          <w:sz w:val="20"/>
        </w:rPr>
        <w:t xml:space="preserve">If pushed:  </w:t>
      </w:r>
      <w:r>
        <w:rPr>
          <w:i/>
          <w:color w:val="555555"/>
          <w:sz w:val="20"/>
        </w:rPr>
        <w:t>This pivot — 'didn't test it, designed to support it' — is the honest defence-friendly answer for almost any extension question.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