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48"/>
        </w:rPr>
        <w:t>Master Plan — Extended Schedule</w:t>
      </w:r>
    </w:p>
    <w:p>
      <w:pPr>
        <w:jc w:val="center"/>
      </w:pPr>
      <w:r>
        <w:rPr>
          <w:b w:val="0"/>
          <w:i/>
          <w:sz w:val="28"/>
        </w:rPr>
        <w:t>Cross-Modal Affective Coherence Using EEG, Audio and Video</w:t>
      </w:r>
    </w:p>
    <w:p/>
    <w:p/>
    <w:p/>
    <w:p/>
    <w:p/>
    <w:p/>
    <w:p>
      <w:pPr>
        <w:jc w:val="center"/>
      </w:pPr>
      <w:r>
        <w:rPr>
          <w:b/>
          <w:i w:val="0"/>
          <w:sz w:val="24"/>
        </w:rPr>
        <w:t>Author</w:t>
      </w:r>
    </w:p>
    <w:p>
      <w:pPr>
        <w:jc w:val="center"/>
      </w:pPr>
      <w:r>
        <w:rPr>
          <w:b w:val="0"/>
          <w:i w:val="0"/>
          <w:sz w:val="24"/>
        </w:rPr>
        <w:t>Shafin</w:t>
      </w:r>
    </w:p>
    <w:p/>
    <w:p>
      <w:pPr>
        <w:jc w:val="center"/>
      </w:pPr>
      <w:r>
        <w:rPr>
          <w:b/>
          <w:i w:val="0"/>
          <w:sz w:val="24"/>
        </w:rPr>
        <w:t>Institution</w:t>
      </w:r>
    </w:p>
    <w:p>
      <w:pPr>
        <w:jc w:val="center"/>
      </w:pPr>
      <w:r>
        <w:rPr>
          <w:b w:val="0"/>
          <w:i w:val="0"/>
          <w:sz w:val="24"/>
        </w:rPr>
        <w:t>[Institution name — to be filled in]</w:t>
      </w:r>
    </w:p>
    <w:p/>
    <w:p>
      <w:pPr>
        <w:jc w:val="center"/>
      </w:pPr>
      <w:r>
        <w:rPr>
          <w:b/>
          <w:i w:val="0"/>
          <w:sz w:val="24"/>
        </w:rPr>
        <w:t>Date Issued</w:t>
      </w:r>
    </w:p>
    <w:p>
      <w:pPr>
        <w:jc w:val="center"/>
      </w:pPr>
      <w:r>
        <w:rPr>
          <w:b w:val="0"/>
          <w:i w:val="0"/>
          <w:sz w:val="24"/>
        </w:rPr>
        <w:t>May 24, 2026</w:t>
      </w:r>
    </w:p>
    <w:p>
      <w:pPr>
        <w:jc w:val="center"/>
      </w:pPr>
      <w:r>
        <w:rPr>
          <w:b/>
          <w:i w:val="0"/>
          <w:sz w:val="24"/>
        </w:rPr>
        <w:t>Plan Window</w:t>
      </w:r>
    </w:p>
    <w:p>
      <w:pPr>
        <w:jc w:val="center"/>
      </w:pPr>
      <w:r>
        <w:rPr>
          <w:b w:val="0"/>
          <w:i w:val="0"/>
          <w:sz w:val="24"/>
        </w:rPr>
        <w:t>May 24 – June 02, 2026</w:t>
      </w:r>
    </w:p>
    <w:p>
      <w:r>
        <w:br w:type="page"/>
      </w:r>
    </w:p>
    <w:p>
      <w:r>
        <w:rPr>
          <w:b/>
          <w:i w:val="0"/>
          <w:sz w:val="36"/>
        </w:rPr>
        <w:t>Table of Contents</w:t>
      </w:r>
    </w:p>
    <w:p/>
    <w:p>
      <w:r>
        <w:fldChar w:fldCharType="begin"/>
        <w:instrText xml:space="preserve">TOC \o "1-2" \h \z \u</w:instrText>
        <w:fldChar w:fldCharType="separate"/>
        <w:t>Right-click here and choose “Update Field” to populate the table of contents.</w:t>
        <w:fldChar w:fldCharType="end"/>
      </w:r>
    </w:p>
    <w:p>
      <w:r>
        <w:br w:type="page"/>
      </w:r>
    </w:p>
    <w:p>
      <w:pPr>
        <w:pStyle w:val="Heading1"/>
      </w:pPr>
      <w:r>
        <w:t>1. Reformulated Thesis Framework</w:t>
      </w:r>
    </w:p>
    <w:p>
      <w:pPr>
        <w:pStyle w:val="Heading2"/>
      </w:pPr>
      <w:r>
        <w:t>1.1 Context and Reason for Reformulation</w:t>
      </w:r>
    </w:p>
    <w:p>
      <w:r>
        <w:t>The project was originally scoped on Day 1 as a reproduction of the trimodal emotion-recognition methodology of Lee, Kim and Kim (Bioengineering, 2024) on the EAV dataset. As development progressed and several practical constraints came into focus, the thesis was deliberately reframed on Day 5 to a more defensible and novel form: the study of cross-modal affective coherence. Two specific issues drove the reformulation. First, the ultimate practical scenario originally envisioned — continuous, per-second emotion tracking on in-the-wild video such as movie scenes — is incompatible with the EEG modality, because EEG cannot be collected from arbitrary audiovisual content. Second, EAV is a controlled-condition, cue-based laboratory dataset, and its emotions are necessarily elicited rather than spontaneous. Together these mean that any honest application of an EAV-trained model to in-the-wild content would be a stretch of validity that the available time did not permit closing.</w:t>
      </w:r>
    </w:p>
    <w:p>
      <w:r>
        <w:t>The reformulated thesis exploits, rather than apologises for, the fact that EEG is an internal, involuntary signal while audio and video are external, voluntary signals. Where they agree, the subject is producing a coherent affective response. Where they diverge, the divergence itself is the signal: a subject who appears outwardly calm while their physiology suggests distress is exhibiting affective incoherence, and that incoherence is clinically and behaviourally meaningful (associated, in the literature, with depression, anxiety, alexithymia, post-traumatic stress disorder, and other conditions involving emotion suppression). The thesis develops the methodology to detect and characterise such incoherence within the EAV dataset and frames clinical-population validation as Phase 2 future work.</w:t>
      </w:r>
    </w:p>
    <w:p>
      <w:pPr>
        <w:pStyle w:val="Heading2"/>
      </w:pPr>
      <w:r>
        <w:t>1.2 Working Title</w:t>
      </w:r>
    </w:p>
    <w:p>
      <w:r>
        <w:t>Two candidate titles, either of which is suitable for the submitted cover page. The formal variant emphasises the scientific construct; the more direct variant is preferred for the defence slide and any short oral abstract.</w:t>
      </w:r>
    </w:p>
    <w:p>
      <w:pPr>
        <w:pStyle w:val="ListBullet"/>
      </w:pPr>
      <w:r>
        <w:t>Formal: *Cross-Modal Affective Coherence: A Multimodal Framework for Detecting Discrepancies Between Externally Expressed and Internally Experienced Emotion Using EEG, Audio and Video.*</w:t>
      </w:r>
    </w:p>
    <w:p>
      <w:pPr>
        <w:pStyle w:val="ListBullet"/>
      </w:pPr>
      <w:r>
        <w:t>Direct: *When the Face Lies but the Brain Doesn’t: Multimodal Detection of Suppressed and Mismatched Affective States.*</w:t>
      </w:r>
    </w:p>
    <w:p>
      <w:pPr>
        <w:pStyle w:val="Heading2"/>
      </w:pPr>
      <w:r>
        <w:t>1.3 Research Questions</w:t>
      </w:r>
    </w:p>
    <w:p>
      <w:r>
        <w:t>The thesis addresses five questions, each of which corresponds to a specific empirical contribution in the results section.</w:t>
      </w:r>
    </w:p>
    <w:p>
      <w:pPr>
        <w:pStyle w:val="ListNumber"/>
      </w:pPr>
      <w:r>
        <w:t>Per-modality baseline. Can each of the audio, video and EEG modalities be classified into the five EAV emotion categories at a rate that meaningfully exceeds the EAV paper’s published per-modality baselines?</w:t>
      </w:r>
    </w:p>
    <w:p>
      <w:pPr>
        <w:pStyle w:val="ListNumber"/>
      </w:pPr>
      <w:r>
        <w:t>Fusion gain. Does multimodal fusion improve classification over the best single modality, and by how much?</w:t>
      </w:r>
    </w:p>
    <w:p>
      <w:pPr>
        <w:pStyle w:val="ListNumber"/>
      </w:pPr>
      <w:r>
        <w:t>Architectural contribution. Does learned cross-modal attention fusion outperform a naïve softmax-averaging late-fusion baseline?</w:t>
      </w:r>
    </w:p>
    <w:p>
      <w:pPr>
        <w:pStyle w:val="ListNumber"/>
      </w:pPr>
      <w:r>
        <w:t>Coherence as signal. Do the three modalities diverge more on trials where the subject is actively producing an emotional expression (Speak phase) than on trials where the subject is passively receiving one (Listen phase), and does that divergence vary systematically by emotion category and by subject?</w:t>
      </w:r>
    </w:p>
    <w:p>
      <w:pPr>
        <w:pStyle w:val="ListNumber"/>
      </w:pPr>
      <w:r>
        <w:t>Robustness. Does the system continue to produce meaningful predictions when one modality (specifically EEG) is unavailable at inference time?</w:t>
      </w:r>
    </w:p>
    <w:p>
      <w:pPr>
        <w:pStyle w:val="Heading2"/>
      </w:pPr>
      <w:r>
        <w:t>1.4 Architectural Overview</w:t>
      </w:r>
    </w:p>
    <w:p>
      <w:r>
        <w:t>The complete system comprises three layers: per-modality encoders, a trimodal fusion module, and two output heads.</w:t>
      </w:r>
    </w:p>
    <w:p>
      <w:pPr>
        <w:pStyle w:val="ListBullet"/>
      </w:pPr>
      <w:r>
        <w:t>Per-modality encoders. The Audio Spectrogram Transformer (AST, pre-trained on AudioSet) encodes audio. A facial-emotion fine-tuned Vision Transformer (ViT) encodes video. EEGNet, a compact convolutional network designed for EEG, is trained from scratch on the EAV data. Each encoder produces a single pooled feature vector per clip.</w:t>
      </w:r>
    </w:p>
    <w:p>
      <w:pPr>
        <w:pStyle w:val="ListBullet"/>
      </w:pPr>
      <w:r>
        <w:t>Trimodal Attention Fusion. The three pooled vectors are projected to a common embedding dimension, augmented with learnable modality embeddings, and stacked as a three-token sequence. A two-layer transformer encoder applies self-attention over the modality tokens, after which the tokens are mean-pooled to a single fused vector. The module is implemented in `fusion/trimodal_attention.py` and tested with synthetic inputs in the same file.</w:t>
      </w:r>
    </w:p>
    <w:p>
      <w:pPr>
        <w:pStyle w:val="ListBullet"/>
      </w:pPr>
      <w:r>
        <w:t>Dual output heads. The fused vector feeds two heads: a five-way emotion classifier, and a coherence-metric computation (currently pairwise symmetric Kullback–Leibler divergence between the three per-modality softmaxes, computed at inference rather than learned).</w:t>
      </w:r>
    </w:p>
    <w:p>
      <w:r>
        <w:t>Two architectural commitments, decided on Day 5 and recorded in CLAUDE.md, are load-bearing for the project’s long-term extensibility and for the demo. First, the fusion module’s `forward()` method returns a dictionary that includes the three per-modality post-attention embeddings as named keys; this permits a future temporal head (LSTM, Residual-TCN or temporal transformer) to be attached without rewriting the fusion module. Second, `forward(x_audio, x_visual, x_eeg)` is required to produce finite outputs when `x_eeg` is a tensor of zeros; the Day-7 / Day-11 modality-dropout training step is what makes those outputs *useful*, but the architecture must permit them from Day 4 onwards.</w:t>
      </w:r>
    </w:p>
    <w:p>
      <w:pPr>
        <w:pStyle w:val="Heading2"/>
      </w:pPr>
      <w:r>
        <w:t>1.5 Dataset Reference</w:t>
      </w:r>
    </w:p>
    <w:p>
      <w:r>
        <w:t>The EAV dataset (Lee, Shomanov, Kabidenova and Yazici, Scientific Data, 2024) comprises synchronised 30-channel EEG, audio and video recordings from 42 participants. Each participant contributed 200 interactions across five emotion categories — Neutral, Sadness, Anger, Happiness, Calmness — within a cue-based listening-and-speaking protocol. After preprocessing into 5-second windows, each subject has 280 training and 120 test trials per modality (per the EAV repository’s `h_idx=56` split). The Listen and Speak phases of each trial pair carry directly onto the coherence research question and require that the preprocessing preserve the per-trial task tag — a step scheduled for Day 1 of the new plan.</w:t>
      </w:r>
    </w:p>
    <w:p>
      <w:r>
        <w:br w:type="page"/>
      </w:r>
    </w:p>
    <w:p>
      <w:pPr>
        <w:pStyle w:val="Heading1"/>
      </w:pPr>
      <w:r>
        <w:t>2. Current Project Status</w:t>
      </w:r>
    </w:p>
    <w:p>
      <w:pPr>
        <w:pStyle w:val="Heading2"/>
      </w:pPr>
      <w:r>
        <w:t>2.1 Summary of Work Completed (Days 1–5)</w:t>
      </w:r>
    </w:p>
    <w:p>
      <w:r>
        <w:t>Five development days have been spent before the deadline extension. Each day produced concrete artefacts that are now part of the project’s working state.</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Day</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Date</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Outcome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Day 1</w:t>
            </w:r>
          </w:p>
        </w:tc>
        <w:tc>
          <w:tcPr>
            <w:tcW w:type="dxa" w:w="2880"/>
            <w:tcBorders>
              <w:top w:val="single" w:sz="4" w:space="0" w:color="000000"/>
              <w:left w:val="single" w:sz="4" w:space="0" w:color="000000"/>
              <w:bottom w:val="single" w:sz="4" w:space="0" w:color="000000"/>
              <w:right w:val="single" w:sz="4" w:space="0" w:color="000000"/>
            </w:tcBorders>
            <w:vAlign w:val="center"/>
          </w:tcPr>
          <w:p>
            <w:r>
              <w:t>2026-05-19</w:t>
            </w:r>
          </w:p>
        </w:tc>
        <w:tc>
          <w:tcPr>
            <w:tcW w:type="dxa" w:w="2880"/>
            <w:tcBorders>
              <w:top w:val="single" w:sz="4" w:space="0" w:color="000000"/>
              <w:left w:val="single" w:sz="4" w:space="0" w:color="000000"/>
              <w:bottom w:val="single" w:sz="4" w:space="0" w:color="000000"/>
              <w:right w:val="single" w:sz="4" w:space="0" w:color="000000"/>
            </w:tcBorders>
            <w:vAlign w:val="center"/>
          </w:tcPr>
          <w:p>
            <w:r>
              <w:t>Workflow established (Mac for code, Colab for compute, Drive for persistence, GitHub for sync). Three-subject smoke test across all three modalities completed.</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Day 2</w:t>
            </w:r>
          </w:p>
        </w:tc>
        <w:tc>
          <w:tcPr>
            <w:tcW w:type="dxa" w:w="2880"/>
            <w:tcBorders>
              <w:top w:val="single" w:sz="4" w:space="0" w:color="000000"/>
              <w:left w:val="single" w:sz="4" w:space="0" w:color="000000"/>
              <w:bottom w:val="single" w:sz="4" w:space="0" w:color="000000"/>
              <w:right w:val="single" w:sz="4" w:space="0" w:color="000000"/>
            </w:tcBorders>
            <w:vAlign w:val="center"/>
          </w:tcPr>
          <w:p>
            <w:r>
              <w:t>2026-05-20</w:t>
            </w:r>
          </w:p>
        </w:tc>
        <w:tc>
          <w:tcPr>
            <w:tcW w:type="dxa" w:w="2880"/>
            <w:tcBorders>
              <w:top w:val="single" w:sz="4" w:space="0" w:color="000000"/>
              <w:left w:val="single" w:sz="4" w:space="0" w:color="000000"/>
              <w:bottom w:val="single" w:sz="4" w:space="0" w:color="000000"/>
              <w:right w:val="single" w:sz="4" w:space="0" w:color="000000"/>
            </w:tcBorders>
            <w:vAlign w:val="center"/>
          </w:tcPr>
          <w:p>
            <w:r>
              <w:t>Full-budget per-modality training on three subjects. Two non-trivial bugs in the EAV repository fixed (softmax-CE composition; train/eval mode in `Trainer_uni`). EEG accuracy rose from a chance-level mean of 24.4% on Day 1 to a meaningfully-above-baseline mean of 50.6% on Day 2.</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Day 3</w:t>
            </w:r>
          </w:p>
        </w:tc>
        <w:tc>
          <w:tcPr>
            <w:tcW w:type="dxa" w:w="2880"/>
            <w:tcBorders>
              <w:top w:val="single" w:sz="4" w:space="0" w:color="000000"/>
              <w:left w:val="single" w:sz="4" w:space="0" w:color="000000"/>
              <w:bottom w:val="single" w:sz="4" w:space="0" w:color="000000"/>
              <w:right w:val="single" w:sz="4" w:space="0" w:color="000000"/>
            </w:tcBorders>
            <w:vAlign w:val="center"/>
          </w:tcPr>
          <w:p>
            <w:r>
              <w:t>2026-05-21</w:t>
            </w:r>
          </w:p>
        </w:tc>
        <w:tc>
          <w:tcPr>
            <w:tcW w:type="dxa" w:w="2880"/>
            <w:tcBorders>
              <w:top w:val="single" w:sz="4" w:space="0" w:color="000000"/>
              <w:left w:val="single" w:sz="4" w:space="0" w:color="000000"/>
              <w:bottom w:val="single" w:sz="4" w:space="0" w:color="000000"/>
              <w:right w:val="single" w:sz="4" w:space="0" w:color="000000"/>
            </w:tcBorders>
            <w:vAlign w:val="center"/>
          </w:tcPr>
          <w:p>
            <w:r>
              <w:t>Naïve late-fusion baseline computed on three subjects using Day-2 logits. Mean-softmax fusion achieved 81.9%, a 6.7 percentage-point gain over the best single modality. Per-trial pairwise Kullback–Leibler divergence added to the Day-3 driver for downstream coherence analysis.</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Day 4</w:t>
            </w:r>
          </w:p>
        </w:tc>
        <w:tc>
          <w:tcPr>
            <w:tcW w:type="dxa" w:w="2880"/>
            <w:tcBorders>
              <w:top w:val="single" w:sz="4" w:space="0" w:color="000000"/>
              <w:left w:val="single" w:sz="4" w:space="0" w:color="000000"/>
              <w:bottom w:val="single" w:sz="4" w:space="0" w:color="000000"/>
              <w:right w:val="single" w:sz="4" w:space="0" w:color="000000"/>
            </w:tcBorders>
            <w:vAlign w:val="center"/>
          </w:tcPr>
          <w:p>
            <w:r>
              <w:t>2026-05-22</w:t>
            </w:r>
          </w:p>
        </w:tc>
        <w:tc>
          <w:tcPr>
            <w:tcW w:type="dxa" w:w="2880"/>
            <w:tcBorders>
              <w:top w:val="single" w:sz="4" w:space="0" w:color="000000"/>
              <w:left w:val="single" w:sz="4" w:space="0" w:color="000000"/>
              <w:bottom w:val="single" w:sz="4" w:space="0" w:color="000000"/>
              <w:right w:val="single" w:sz="4" w:space="0" w:color="000000"/>
            </w:tcBorders>
            <w:vAlign w:val="center"/>
          </w:tcPr>
          <w:p>
            <w:r>
              <w:t>`fusion/trimodal_attention.py` created: 2.28-million-parameter self-attention fusion over three modality tokens. Three contract tests passed (full-modality forward; zero-EEG forward; gradient flow to all parameter groups). Project framing pivoted to cross-modal affective coherence; CLAUDE.md updated.</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Day 5</w:t>
            </w:r>
          </w:p>
        </w:tc>
        <w:tc>
          <w:tcPr>
            <w:tcW w:type="dxa" w:w="2880"/>
            <w:tcBorders>
              <w:top w:val="single" w:sz="4" w:space="0" w:color="000000"/>
              <w:left w:val="single" w:sz="4" w:space="0" w:color="000000"/>
              <w:bottom w:val="single" w:sz="4" w:space="0" w:color="000000"/>
              <w:right w:val="single" w:sz="4" w:space="0" w:color="000000"/>
            </w:tcBorders>
            <w:vAlign w:val="center"/>
          </w:tcPr>
          <w:p>
            <w:r>
              <w:t>2026-05-23</w:t>
            </w:r>
          </w:p>
        </w:tc>
        <w:tc>
          <w:tcPr>
            <w:tcW w:type="dxa" w:w="2880"/>
            <w:tcBorders>
              <w:top w:val="single" w:sz="4" w:space="0" w:color="000000"/>
              <w:left w:val="single" w:sz="4" w:space="0" w:color="000000"/>
              <w:bottom w:val="single" w:sz="4" w:space="0" w:color="000000"/>
              <w:right w:val="single" w:sz="4" w:space="0" w:color="000000"/>
            </w:tcBorders>
            <w:vAlign w:val="center"/>
          </w:tcPr>
          <w:p>
            <w:r>
              <w:t>Day-5 pipeline executed on three subjects on a Tesla T4 (and subsequently moved to a local RTX 4080). Cross-attention fusion produced a three-subject mean of 0.800, approximately 1.9 percentage points below the Day-3 naïve baseline and with substantial between-subject variance. Iteration on the fusion-module hyperparameters has begun.</w:t>
            </w:r>
          </w:p>
        </w:tc>
      </w:tr>
    </w:tbl>
    <w:p>
      <w:pPr>
        <w:jc w:val="center"/>
      </w:pPr>
      <w:r>
        <w:rPr>
          <w:b w:val="0"/>
          <w:i/>
          <w:sz w:val="20"/>
        </w:rPr>
        <w:t>Table 1. Summary of Days 1 to 5 of the original schedule.</w:t>
      </w:r>
    </w:p>
    <w:p/>
    <w:p>
      <w:pPr>
        <w:pStyle w:val="Heading2"/>
      </w:pPr>
      <w:r>
        <w:t>2.2 Empirical Results Available Today</w:t>
      </w:r>
    </w:p>
    <w:p>
      <w:r>
        <w:t>The three-subject pilot has produced the following measured accuracies, summarised here so that the remaining work can be calibrated against them. All accuracies are five-class classification, where chance is 20 per cent and the EAV paper baselines are 36.7% (SCNN audio), 52.8% (DeepFace vision) and 36.7% (EEGNet).</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Method</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Mean (3 subj.)</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Note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Audio (AST)</w:t>
            </w:r>
          </w:p>
        </w:tc>
        <w:tc>
          <w:tcPr>
            <w:tcW w:type="dxa" w:w="2880"/>
            <w:tcBorders>
              <w:top w:val="single" w:sz="4" w:space="0" w:color="000000"/>
              <w:left w:val="single" w:sz="4" w:space="0" w:color="000000"/>
              <w:bottom w:val="single" w:sz="4" w:space="0" w:color="000000"/>
              <w:right w:val="single" w:sz="4" w:space="0" w:color="000000"/>
            </w:tcBorders>
            <w:vAlign w:val="center"/>
          </w:tcPr>
          <w:p>
            <w:r>
              <w:t>61.1%</w:t>
            </w:r>
          </w:p>
        </w:tc>
        <w:tc>
          <w:tcPr>
            <w:tcW w:type="dxa" w:w="2880"/>
            <w:tcBorders>
              <w:top w:val="single" w:sz="4" w:space="0" w:color="000000"/>
              <w:left w:val="single" w:sz="4" w:space="0" w:color="000000"/>
              <w:bottom w:val="single" w:sz="4" w:space="0" w:color="000000"/>
              <w:right w:val="single" w:sz="4" w:space="0" w:color="000000"/>
            </w:tcBorders>
            <w:vAlign w:val="center"/>
          </w:tcPr>
          <w:p>
            <w:r>
              <w:t>above SCNN baseline by 24 pp</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Vision (ViT)</w:t>
            </w:r>
          </w:p>
        </w:tc>
        <w:tc>
          <w:tcPr>
            <w:tcW w:type="dxa" w:w="2880"/>
            <w:tcBorders>
              <w:top w:val="single" w:sz="4" w:space="0" w:color="000000"/>
              <w:left w:val="single" w:sz="4" w:space="0" w:color="000000"/>
              <w:bottom w:val="single" w:sz="4" w:space="0" w:color="000000"/>
              <w:right w:val="single" w:sz="4" w:space="0" w:color="000000"/>
            </w:tcBorders>
            <w:vAlign w:val="center"/>
          </w:tcPr>
          <w:p>
            <w:r>
              <w:t>75.6%</w:t>
            </w:r>
          </w:p>
        </w:tc>
        <w:tc>
          <w:tcPr>
            <w:tcW w:type="dxa" w:w="2880"/>
            <w:tcBorders>
              <w:top w:val="single" w:sz="4" w:space="0" w:color="000000"/>
              <w:left w:val="single" w:sz="4" w:space="0" w:color="000000"/>
              <w:bottom w:val="single" w:sz="4" w:space="0" w:color="000000"/>
              <w:right w:val="single" w:sz="4" w:space="0" w:color="000000"/>
            </w:tcBorders>
            <w:vAlign w:val="center"/>
          </w:tcPr>
          <w:p>
            <w:r>
              <w:t>above DeepFace baseline by 23 pp</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EEG (EEGNet)</w:t>
            </w:r>
          </w:p>
        </w:tc>
        <w:tc>
          <w:tcPr>
            <w:tcW w:type="dxa" w:w="2880"/>
            <w:tcBorders>
              <w:top w:val="single" w:sz="4" w:space="0" w:color="000000"/>
              <w:left w:val="single" w:sz="4" w:space="0" w:color="000000"/>
              <w:bottom w:val="single" w:sz="4" w:space="0" w:color="000000"/>
              <w:right w:val="single" w:sz="4" w:space="0" w:color="000000"/>
            </w:tcBorders>
            <w:vAlign w:val="center"/>
          </w:tcPr>
          <w:p>
            <w:r>
              <w:t>50.6%</w:t>
            </w:r>
          </w:p>
        </w:tc>
        <w:tc>
          <w:tcPr>
            <w:tcW w:type="dxa" w:w="2880"/>
            <w:tcBorders>
              <w:top w:val="single" w:sz="4" w:space="0" w:color="000000"/>
              <w:left w:val="single" w:sz="4" w:space="0" w:color="000000"/>
              <w:bottom w:val="single" w:sz="4" w:space="0" w:color="000000"/>
              <w:right w:val="single" w:sz="4" w:space="0" w:color="000000"/>
            </w:tcBorders>
            <w:vAlign w:val="center"/>
          </w:tcPr>
          <w:p>
            <w:r>
              <w:t>above EEGNet baseline by 14 pp</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Naïve late fusion</w:t>
            </w:r>
          </w:p>
        </w:tc>
        <w:tc>
          <w:tcPr>
            <w:tcW w:type="dxa" w:w="2880"/>
            <w:tcBorders>
              <w:top w:val="single" w:sz="4" w:space="0" w:color="000000"/>
              <w:left w:val="single" w:sz="4" w:space="0" w:color="000000"/>
              <w:bottom w:val="single" w:sz="4" w:space="0" w:color="000000"/>
              <w:right w:val="single" w:sz="4" w:space="0" w:color="000000"/>
            </w:tcBorders>
            <w:vAlign w:val="center"/>
          </w:tcPr>
          <w:p>
            <w:r>
              <w:t>81.9%</w:t>
            </w:r>
          </w:p>
        </w:tc>
        <w:tc>
          <w:tcPr>
            <w:tcW w:type="dxa" w:w="2880"/>
            <w:tcBorders>
              <w:top w:val="single" w:sz="4" w:space="0" w:color="000000"/>
              <w:left w:val="single" w:sz="4" w:space="0" w:color="000000"/>
              <w:bottom w:val="single" w:sz="4" w:space="0" w:color="000000"/>
              <w:right w:val="single" w:sz="4" w:space="0" w:color="000000"/>
            </w:tcBorders>
            <w:vAlign w:val="center"/>
          </w:tcPr>
          <w:p>
            <w:r>
              <w:t>+6.3 pp over best single modality (vision)</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Cross-attention fusion</w:t>
            </w:r>
          </w:p>
        </w:tc>
        <w:tc>
          <w:tcPr>
            <w:tcW w:type="dxa" w:w="2880"/>
            <w:tcBorders>
              <w:top w:val="single" w:sz="4" w:space="0" w:color="000000"/>
              <w:left w:val="single" w:sz="4" w:space="0" w:color="000000"/>
              <w:bottom w:val="single" w:sz="4" w:space="0" w:color="000000"/>
              <w:right w:val="single" w:sz="4" w:space="0" w:color="000000"/>
            </w:tcBorders>
            <w:vAlign w:val="center"/>
          </w:tcPr>
          <w:p>
            <w:r>
              <w:t>80.0%</w:t>
            </w:r>
          </w:p>
        </w:tc>
        <w:tc>
          <w:tcPr>
            <w:tcW w:type="dxa" w:w="2880"/>
            <w:tcBorders>
              <w:top w:val="single" w:sz="4" w:space="0" w:color="000000"/>
              <w:left w:val="single" w:sz="4" w:space="0" w:color="000000"/>
              <w:bottom w:val="single" w:sz="4" w:space="0" w:color="000000"/>
              <w:right w:val="single" w:sz="4" w:space="0" w:color="000000"/>
            </w:tcBorders>
            <w:vAlign w:val="center"/>
          </w:tcPr>
          <w:p>
            <w:r>
              <w:t>−1.9 pp vs naïve baseline; high variance (std 0.10)</w:t>
            </w:r>
          </w:p>
        </w:tc>
      </w:tr>
    </w:tbl>
    <w:p>
      <w:pPr>
        <w:jc w:val="center"/>
      </w:pPr>
      <w:r>
        <w:rPr>
          <w:b w:val="0"/>
          <w:i/>
          <w:sz w:val="20"/>
        </w:rPr>
        <w:t>Table 2. Measured per-method accuracy on the three-subject pilot. All numbers are means across subjects 1, 2 and 3.</w:t>
      </w:r>
    </w:p>
    <w:p/>
    <w:p>
      <w:pPr>
        <w:pStyle w:val="Heading2"/>
      </w:pPr>
      <w:r>
        <w:t>2.3 Outstanding Issues and Methodological Risks</w:t>
      </w:r>
    </w:p>
    <w:p>
      <w:r>
        <w:t>Several open issues are blockers for the headline contribution and must be resolved before the remaining work has scientific validity.</w:t>
      </w:r>
    </w:p>
    <w:p>
      <w:pPr>
        <w:pStyle w:val="ListNumber"/>
      </w:pPr>
      <w:r>
        <w:t>Trial alignment between modalities is unverified. The EAV repository’s audio and vision preprocessors keep only Speaking clips, while the EEG preprocessor selects classes [1, 3, 5, 7, 9] with a source comment that ambiguously says ‘listening’. Whether the three modalities’ test trials correspond to the same underlying events is currently unproven. The Day-3 alignment check passed only because `EAVDataSplit` sorts trials by class, so the class label sequences match even if the underlying trials do not. This must be resolved on Day 1 of the new schedule, before any further computation is committed.</w:t>
      </w:r>
    </w:p>
    <w:p>
      <w:pPr>
        <w:pStyle w:val="ListNumber"/>
      </w:pPr>
      <w:r>
        <w:t>Cross-attention fusion under-performs naïve late fusion. On three subjects the cross-attention model lost by 1.9 percentage points to mean-softmax fusion. The three plausible causes (insufficient regularisation, model too large for available training samples, suboptimal best-test checkpointing) are all tractable; a small hyperparameter sweep is scheduled for Day 2.</w:t>
      </w:r>
    </w:p>
    <w:p>
      <w:pPr>
        <w:pStyle w:val="ListNumber"/>
      </w:pPr>
      <w:r>
        <w:t>The full forty-two-subject rollout has not yet been run. Only three subjects have per-modality state dictionaries and extracted features. The remaining thirty-nine subjects require scheduling against the available compute budget (the 4080 with twelve-hour session limits).</w:t>
      </w:r>
    </w:p>
    <w:p>
      <w:pPr>
        <w:pStyle w:val="ListNumber"/>
      </w:pPr>
      <w:r>
        <w:t>Per-trial task tags (Listen versus Speak) are not preserved through preprocessing. The headline coherence analysis requires these tags, which means the preprocessing scripts must be modified to emit an additional metadata column, and the pickles must be regenerated.</w:t>
      </w:r>
    </w:p>
    <w:p>
      <w:pPr>
        <w:pStyle w:val="ListNumber"/>
      </w:pPr>
      <w:r>
        <w:t>Modality-dropout training is not yet implemented. Without it, the inference-time zero-EEG forward path (which the demo depends on) produces architecturally-valid but semantically-undefined predictions. This is the difference between ‘the model permits missing EEG’ and ‘the model handles missing EEG sensibly’.</w:t>
      </w:r>
    </w:p>
    <w:p>
      <w:pPr>
        <w:pStyle w:val="ListNumber"/>
      </w:pPr>
      <w:r>
        <w:t>No subject-independent (leave-one-subject-out) evaluation has been run. The current numbers are all within-subject and therefore biased upward.</w:t>
      </w:r>
    </w:p>
    <w:p>
      <w:pPr>
        <w:pStyle w:val="ListNumber"/>
      </w:pPr>
      <w:r>
        <w:t>No statistical testing has been applied to method comparisons yet. Any claim of one method beating another requires a paired test across subjects.</w:t>
      </w:r>
    </w:p>
    <w:p>
      <w:r>
        <w:br w:type="page"/>
      </w:r>
    </w:p>
    <w:p>
      <w:pPr>
        <w:pStyle w:val="Heading1"/>
      </w:pPr>
      <w:r>
        <w:t>3. Necessary Remaining Steps</w:t>
      </w:r>
    </w:p>
    <w:p>
      <w:r>
        <w:t>The remaining work falls into nine workstreams. Each is described below at the level of detail required to plan and estimate it. Section 4 sequences these workstreams into the ten-day window.</w:t>
      </w:r>
    </w:p>
    <w:p>
      <w:pPr>
        <w:pStyle w:val="Heading2"/>
      </w:pPr>
      <w:r>
        <w:t>3.1 Methodology Cleanup</w:t>
      </w:r>
    </w:p>
    <w:p>
      <w:r>
        <w:t>Three foundational corrections are needed before further experiments are run. First, the Listen/Speak task tag must be preserved through preprocessing for all three modalities; this requires editing `Dataload_audio.py`, `Dataload_vision.py` and `Dataload_eeg.py` to emit an additional per-trial metadata column, then regenerating the pickle files. Second, a held-out validation split must be introduced so that best-epoch checkpointing does not contaminate the test set; the cleanest implementation is to take a small fraction of the training trials (per subject, per class) as a validation fold. Third, trial alignment across modalities must be verified empirically by checking that the same subject-trial-emotion combination appears in all three modalities’ pickles.</w:t>
      </w:r>
    </w:p>
    <w:p>
      <w:pPr>
        <w:pStyle w:val="Heading2"/>
      </w:pPr>
      <w:r>
        <w:t>3.2 Fusion Module Iteration</w:t>
      </w:r>
    </w:p>
    <w:p>
      <w:r>
        <w:t>The Day-5 cross-attention result of 0.800 on three subjects is below the Day-3 naïve baseline of 0.819 and must be improved before any large-scale rollout. Three hyperparameter configurations will be tested on the cached three-subject features (so iteration costs minutes rather than hours): a more regularised version of the existing model (dropout 0.3, weight decay 1e-3, learning rate 5e-4, 150 epochs); a smaller version (d_model=128, num_layers=1, num_heads=4); and a concat-then-MLP baseline as a sanity check that the attention mechanism is doing meaningful work. The best-performing configuration becomes the production fusion architecture.</w:t>
      </w:r>
    </w:p>
    <w:p>
      <w:pPr>
        <w:pStyle w:val="Heading2"/>
      </w:pPr>
      <w:r>
        <w:t>3.3 Scale to Forty-Two Subjects</w:t>
      </w:r>
    </w:p>
    <w:p>
      <w:r>
        <w:t>All remaining experiments depend on having per-modality state dictionaries and features for every subject. With a reduced epoch budget (AST 5+5 instead of 10+15; ViT 3+2 instead of 10+5; EEGNet retained at 350), per-subject training time on the RTX 4080 is approximately fifteen minutes including feature extraction. The full forty-two-subject rollout therefore requires approximately ten and a half hours of GPU time, comfortably fitting one twelve-hour session. The pipeline is already resume-aware at the (subject, modality) granularity.</w:t>
      </w:r>
    </w:p>
    <w:p>
      <w:pPr>
        <w:pStyle w:val="Heading2"/>
      </w:pPr>
      <w:r>
        <w:t>3.4 Coherence Analysis</w:t>
      </w:r>
    </w:p>
    <w:p>
      <w:r>
        <w:t>The central novelty of the reformulated thesis lives in this workstream. With Listen/Speak tags preserved and per-trial coherence metrics computed (Day-3 work, already in place for three subjects), the headline experiment is a paired statistical test of pairwise modality disagreement between Speak and Listen trials, across all forty-two subjects. Secondary analyses include a per-emotion breakdown of mean coherence (under the hypothesis that high-arousal emotions such as Anger produce more cross-modally coherent expressions than low-arousal ones such as Calmness) and a per-subject breakdown identifying subjects whose expressions are systematically incoherent.</w:t>
      </w:r>
    </w:p>
    <w:p>
      <w:pPr>
        <w:pStyle w:val="Heading2"/>
      </w:pPr>
      <w:r>
        <w:t>3.5 Modality-Dropout Training</w:t>
      </w:r>
    </w:p>
    <w:p>
      <w:r>
        <w:t>The fusion module must be retrained with the softhard modality-dropout scheme adapted from Chumachenko, Iosifidis and Gabbouj (ICPR, 2022) and extended to three modalities. Each training batch contains a mix of full-modality, audio-only, vision-only, and audio-plus-vision-without-EEG samples; the model thereby learns to make sensible predictions when one or more modalities are absent. This is the precondition for the demo (which feeds zero-EEG at inference) to produce defensible outputs. Robustness is then quantified by comparing the full-modality and zero-EEG accuracies on the test set.</w:t>
      </w:r>
    </w:p>
    <w:p>
      <w:pPr>
        <w:pStyle w:val="Heading2"/>
      </w:pPr>
      <w:r>
        <w:t>3.6 MERCL Contrastive Pre-Training (Stretch)</w:t>
      </w:r>
    </w:p>
    <w:p>
      <w:r>
        <w:t>If schedule permits, the three contrastive losses of Lee et al. (2024) — Intra-Modal Contrastive Learning (AMCL), Inter-Modal Contrastive Learning (EMCL) and Sample-wise Multimodal Alignment Contrastive Learning (SMCL) — will be implemented and used to pre-train the encoders for a small number of epochs before fine-tuning the cross-attention fusion module. The expected improvement from contrastive pre-training, extrapolating from the paper’s ablation study, is approximately four percentage points. This workstream is the first item to be cut if the schedule slips.</w:t>
      </w:r>
    </w:p>
    <w:p>
      <w:pPr>
        <w:pStyle w:val="Heading2"/>
      </w:pPr>
      <w:r>
        <w:t>3.7 Subject-Independent Evaluation (LOSO)</w:t>
      </w:r>
    </w:p>
    <w:p>
      <w:r>
        <w:t>All accuracies reported so far are within-subject, where the training and test sets come from the same individual. Leave-one-subject-out cross-validation (LOSO) is the standard credibility test in affective computing and is essential for claiming any form of generalisation. The implementation cost is compute-heavy: it multiplies the training cost by the number of held-out subjects. A pragmatic approximation is five-fold across-subject cross-validation, which gives statistically interpretable results at a fifth of the cost. The choice between full LOSO and 5-fold will be made on Day 7 based on remaining GPU budget.</w:t>
      </w:r>
    </w:p>
    <w:p>
      <w:pPr>
        <w:pStyle w:val="Heading2"/>
      </w:pPr>
      <w:r>
        <w:t>3.8 Demonstration</w:t>
      </w:r>
    </w:p>
    <w:p>
      <w:r>
        <w:t>A file-based demo will be produced for the defence. Input: a personal twenty-to-thirty-second video clip with synchronous audio. Output: a copy of the same video with a coloured per-segment emotion label and a small five-bar confidence indicator rendered as an overlay, plus a separate coherence indicator visualising when the modalities disagree. EEG is fed as zeros at inference time; this is the use case the modality-dropout training enables. The implementation uses OpenCV for frame-level overlay and FFmpeg for re-attaching the original audio track.</w:t>
      </w:r>
    </w:p>
    <w:p>
      <w:pPr>
        <w:pStyle w:val="Heading2"/>
      </w:pPr>
      <w:r>
        <w:t>3.9 Writing and Defence Preparation</w:t>
      </w:r>
    </w:p>
    <w:p>
      <w:r>
        <w:t>The thesis manuscript and the defence slide deck are produced in parallel over the final three days. The manuscript follows the standard format: Introduction, Related Work, Methods, Experiments, Results, Discussion, Limitations, Future Work, Conclusion. The Limitations section explicitly acknowledges that the coherence methodology is validated behaviourally (via the Listen-vs-Speak contrast) but not clinically, and that in-the-wild evaluation is Phase 2 future work. The slide deck structures the defence around the five research questions from Section 1.3 of this plan.</w:t>
      </w:r>
    </w:p>
    <w:p>
      <w:r>
        <w:br w:type="page"/>
      </w:r>
    </w:p>
    <w:p>
      <w:pPr>
        <w:pStyle w:val="Heading1"/>
      </w:pPr>
      <w:r>
        <w:t>4. Ten-Day Plan (2026-05-24 to 2026-06-02)</w:t>
      </w:r>
    </w:p>
    <w:p>
      <w:pPr>
        <w:pStyle w:val="Heading2"/>
      </w:pPr>
      <w:r>
        <w:t>4.1 Plan at a Glance</w:t>
      </w:r>
    </w:p>
    <w:p>
      <w:r>
        <w:t>The remaining work is sequenced across ten consecutive days. Each day has a single principal goal, a set of concrete tasks, and a defined expected output. Days 1 to 4 build the empirical foundation by scaling the work to all forty-two subjects; Days 5 to 7 produce the headline contributions (coherence analysis, modality-dropout robustness, subject-independent evaluation); Days 8 to 10 deliver the demo and the thesis manuscript. Table 3 summarises; subsequent subsections elaborate.</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Day</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Date</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Goal</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Key Tasks</w:t>
            </w:r>
          </w:p>
        </w:tc>
        <w:tc>
          <w:tcPr>
            <w:tcW w:type="dxa" w:w="1728"/>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Expected Output</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1</w:t>
            </w:r>
          </w:p>
        </w:tc>
        <w:tc>
          <w:tcPr>
            <w:tcW w:type="dxa" w:w="1728"/>
            <w:tcBorders>
              <w:top w:val="single" w:sz="4" w:space="0" w:color="000000"/>
              <w:left w:val="single" w:sz="4" w:space="0" w:color="000000"/>
              <w:bottom w:val="single" w:sz="4" w:space="0" w:color="000000"/>
              <w:right w:val="single" w:sz="4" w:space="0" w:color="000000"/>
            </w:tcBorders>
            <w:vAlign w:val="center"/>
          </w:tcPr>
          <w:p>
            <w:r>
              <w:t>Sun May 24</w:t>
            </w:r>
          </w:p>
        </w:tc>
        <w:tc>
          <w:tcPr>
            <w:tcW w:type="dxa" w:w="1728"/>
            <w:tcBorders>
              <w:top w:val="single" w:sz="4" w:space="0" w:color="000000"/>
              <w:left w:val="single" w:sz="4" w:space="0" w:color="000000"/>
              <w:bottom w:val="single" w:sz="4" w:space="0" w:color="000000"/>
              <w:right w:val="single" w:sz="4" w:space="0" w:color="000000"/>
            </w:tcBorders>
            <w:vAlign w:val="center"/>
          </w:tcPr>
          <w:p>
            <w:r>
              <w:t>Methodology cleanup, fusion iteration on cached features</w:t>
            </w:r>
          </w:p>
        </w:tc>
        <w:tc>
          <w:tcPr>
            <w:tcW w:type="dxa" w:w="1728"/>
            <w:tcBorders>
              <w:top w:val="single" w:sz="4" w:space="0" w:color="000000"/>
              <w:left w:val="single" w:sz="4" w:space="0" w:color="000000"/>
              <w:bottom w:val="single" w:sz="4" w:space="0" w:color="000000"/>
              <w:right w:val="single" w:sz="4" w:space="0" w:color="000000"/>
            </w:tcBorders>
            <w:vAlign w:val="center"/>
          </w:tcPr>
          <w:p>
            <w:r>
              <w:t>Verify trial alignment across modalities; modify preprocessing to preserve Listen/Speak tag; run three fusion-hyperparameter configurations on the cached three-subject features and pick the best.</w:t>
            </w:r>
          </w:p>
        </w:tc>
        <w:tc>
          <w:tcPr>
            <w:tcW w:type="dxa" w:w="1728"/>
            <w:tcBorders>
              <w:top w:val="single" w:sz="4" w:space="0" w:color="000000"/>
              <w:left w:val="single" w:sz="4" w:space="0" w:color="000000"/>
              <w:bottom w:val="single" w:sz="4" w:space="0" w:color="000000"/>
              <w:right w:val="single" w:sz="4" w:space="0" w:color="000000"/>
            </w:tcBorders>
            <w:vAlign w:val="center"/>
          </w:tcPr>
          <w:p>
            <w:r>
              <w:t>Updated preprocessing scripts; alignment verification report; chosen fusion configuration; updated CLAUDE.md.</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2</w:t>
            </w:r>
          </w:p>
        </w:tc>
        <w:tc>
          <w:tcPr>
            <w:tcW w:type="dxa" w:w="1728"/>
            <w:tcBorders>
              <w:top w:val="single" w:sz="4" w:space="0" w:color="000000"/>
              <w:left w:val="single" w:sz="4" w:space="0" w:color="000000"/>
              <w:bottom w:val="single" w:sz="4" w:space="0" w:color="000000"/>
              <w:right w:val="single" w:sz="4" w:space="0" w:color="000000"/>
            </w:tcBorders>
            <w:vAlign w:val="center"/>
          </w:tcPr>
          <w:p>
            <w:r>
              <w:t>Mon May 25</w:t>
            </w:r>
          </w:p>
        </w:tc>
        <w:tc>
          <w:tcPr>
            <w:tcW w:type="dxa" w:w="1728"/>
            <w:tcBorders>
              <w:top w:val="single" w:sz="4" w:space="0" w:color="000000"/>
              <w:left w:val="single" w:sz="4" w:space="0" w:color="000000"/>
              <w:bottom w:val="single" w:sz="4" w:space="0" w:color="000000"/>
              <w:right w:val="single" w:sz="4" w:space="0" w:color="000000"/>
            </w:tcBorders>
            <w:vAlign w:val="center"/>
          </w:tcPr>
          <w:p>
            <w:r>
              <w:t>Re-preprocess and start forty-two-subject rollout</w:t>
            </w:r>
          </w:p>
        </w:tc>
        <w:tc>
          <w:tcPr>
            <w:tcW w:type="dxa" w:w="1728"/>
            <w:tcBorders>
              <w:top w:val="single" w:sz="4" w:space="0" w:color="000000"/>
              <w:left w:val="single" w:sz="4" w:space="0" w:color="000000"/>
              <w:bottom w:val="single" w:sz="4" w:space="0" w:color="000000"/>
              <w:right w:val="single" w:sz="4" w:space="0" w:color="000000"/>
            </w:tcBorders>
            <w:vAlign w:val="center"/>
          </w:tcPr>
          <w:p>
            <w:r>
              <w:t>Regenerate per-subject pickles with task tag preserved. Launch Stage A (per-modality training) for all forty-two subjects on the 4080 with reduced epoch budgets.</w:t>
            </w:r>
          </w:p>
        </w:tc>
        <w:tc>
          <w:tcPr>
            <w:tcW w:type="dxa" w:w="1728"/>
            <w:tcBorders>
              <w:top w:val="single" w:sz="4" w:space="0" w:color="000000"/>
              <w:left w:val="single" w:sz="4" w:space="0" w:color="000000"/>
              <w:bottom w:val="single" w:sz="4" w:space="0" w:color="000000"/>
              <w:right w:val="single" w:sz="4" w:space="0" w:color="000000"/>
            </w:tcBorders>
            <w:vAlign w:val="center"/>
          </w:tcPr>
          <w:p>
            <w:r>
              <w:t>New pickles in Drive; state dictionaries for first ~24 subjects.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3</w:t>
            </w:r>
          </w:p>
        </w:tc>
        <w:tc>
          <w:tcPr>
            <w:tcW w:type="dxa" w:w="1728"/>
            <w:tcBorders>
              <w:top w:val="single" w:sz="4" w:space="0" w:color="000000"/>
              <w:left w:val="single" w:sz="4" w:space="0" w:color="000000"/>
              <w:bottom w:val="single" w:sz="4" w:space="0" w:color="000000"/>
              <w:right w:val="single" w:sz="4" w:space="0" w:color="000000"/>
            </w:tcBorders>
            <w:vAlign w:val="center"/>
          </w:tcPr>
          <w:p>
            <w:r>
              <w:t>Tue May 26</w:t>
            </w:r>
          </w:p>
        </w:tc>
        <w:tc>
          <w:tcPr>
            <w:tcW w:type="dxa" w:w="1728"/>
            <w:tcBorders>
              <w:top w:val="single" w:sz="4" w:space="0" w:color="000000"/>
              <w:left w:val="single" w:sz="4" w:space="0" w:color="000000"/>
              <w:bottom w:val="single" w:sz="4" w:space="0" w:color="000000"/>
              <w:right w:val="single" w:sz="4" w:space="0" w:color="000000"/>
            </w:tcBorders>
            <w:vAlign w:val="center"/>
          </w:tcPr>
          <w:p>
            <w:r>
              <w:t>Complete per-modality rollout; extract features</w:t>
            </w:r>
          </w:p>
        </w:tc>
        <w:tc>
          <w:tcPr>
            <w:tcW w:type="dxa" w:w="1728"/>
            <w:tcBorders>
              <w:top w:val="single" w:sz="4" w:space="0" w:color="000000"/>
              <w:left w:val="single" w:sz="4" w:space="0" w:color="000000"/>
              <w:bottom w:val="single" w:sz="4" w:space="0" w:color="000000"/>
              <w:right w:val="single" w:sz="4" w:space="0" w:color="000000"/>
            </w:tcBorders>
            <w:vAlign w:val="center"/>
          </w:tcPr>
          <w:p>
            <w:r>
              <w:t>Finish Stage A for remaining subjects; run Stage B feature extraction for all subjects; begin Stage C fusion training.</w:t>
            </w:r>
          </w:p>
        </w:tc>
        <w:tc>
          <w:tcPr>
            <w:tcW w:type="dxa" w:w="1728"/>
            <w:tcBorders>
              <w:top w:val="single" w:sz="4" w:space="0" w:color="000000"/>
              <w:left w:val="single" w:sz="4" w:space="0" w:color="000000"/>
              <w:bottom w:val="single" w:sz="4" w:space="0" w:color="000000"/>
              <w:right w:val="single" w:sz="4" w:space="0" w:color="000000"/>
            </w:tcBorders>
            <w:vAlign w:val="center"/>
          </w:tcPr>
          <w:p>
            <w:r>
              <w:t>All 42 state dictionaries and feature files cached in Drive; fusion training in progress.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4</w:t>
            </w:r>
          </w:p>
        </w:tc>
        <w:tc>
          <w:tcPr>
            <w:tcW w:type="dxa" w:w="1728"/>
            <w:tcBorders>
              <w:top w:val="single" w:sz="4" w:space="0" w:color="000000"/>
              <w:left w:val="single" w:sz="4" w:space="0" w:color="000000"/>
              <w:bottom w:val="single" w:sz="4" w:space="0" w:color="000000"/>
              <w:right w:val="single" w:sz="4" w:space="0" w:color="000000"/>
            </w:tcBorders>
            <w:vAlign w:val="center"/>
          </w:tcPr>
          <w:p>
            <w:r>
              <w:t>Wed May 27</w:t>
            </w:r>
          </w:p>
        </w:tc>
        <w:tc>
          <w:tcPr>
            <w:tcW w:type="dxa" w:w="1728"/>
            <w:tcBorders>
              <w:top w:val="single" w:sz="4" w:space="0" w:color="000000"/>
              <w:left w:val="single" w:sz="4" w:space="0" w:color="000000"/>
              <w:bottom w:val="single" w:sz="4" w:space="0" w:color="000000"/>
              <w:right w:val="single" w:sz="4" w:space="0" w:color="000000"/>
            </w:tcBorders>
            <w:vAlign w:val="center"/>
          </w:tcPr>
          <w:p>
            <w:r>
              <w:t>Complete fusion training; naive-fusion baseline on 42 subjects</w:t>
            </w:r>
          </w:p>
        </w:tc>
        <w:tc>
          <w:tcPr>
            <w:tcW w:type="dxa" w:w="1728"/>
            <w:tcBorders>
              <w:top w:val="single" w:sz="4" w:space="0" w:color="000000"/>
              <w:left w:val="single" w:sz="4" w:space="0" w:color="000000"/>
              <w:bottom w:val="single" w:sz="4" w:space="0" w:color="000000"/>
              <w:right w:val="single" w:sz="4" w:space="0" w:color="000000"/>
            </w:tcBorders>
            <w:vAlign w:val="center"/>
          </w:tcPr>
          <w:p>
            <w:r>
              <w:t>Finish cross-attention fusion training for all subjects. Compute the Day-3-style naïve late-fusion baseline on the full set so the two methods are directly comparable across forty-two subjects.</w:t>
            </w:r>
          </w:p>
        </w:tc>
        <w:tc>
          <w:tcPr>
            <w:tcW w:type="dxa" w:w="1728"/>
            <w:tcBorders>
              <w:top w:val="single" w:sz="4" w:space="0" w:color="000000"/>
              <w:left w:val="single" w:sz="4" w:space="0" w:color="000000"/>
              <w:bottom w:val="single" w:sz="4" w:space="0" w:color="000000"/>
              <w:right w:val="single" w:sz="4" w:space="0" w:color="000000"/>
            </w:tcBorders>
            <w:vAlign w:val="center"/>
          </w:tcPr>
          <w:p>
            <w:r>
              <w:t>results/day8_fusion_42subjects.csv with per-method accuracy; first comparison table for the thesis.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5</w:t>
            </w:r>
          </w:p>
        </w:tc>
        <w:tc>
          <w:tcPr>
            <w:tcW w:type="dxa" w:w="1728"/>
            <w:tcBorders>
              <w:top w:val="single" w:sz="4" w:space="0" w:color="000000"/>
              <w:left w:val="single" w:sz="4" w:space="0" w:color="000000"/>
              <w:bottom w:val="single" w:sz="4" w:space="0" w:color="000000"/>
              <w:right w:val="single" w:sz="4" w:space="0" w:color="000000"/>
            </w:tcBorders>
            <w:vAlign w:val="center"/>
          </w:tcPr>
          <w:p>
            <w:r>
              <w:t>Thu May 28</w:t>
            </w:r>
          </w:p>
        </w:tc>
        <w:tc>
          <w:tcPr>
            <w:tcW w:type="dxa" w:w="1728"/>
            <w:tcBorders>
              <w:top w:val="single" w:sz="4" w:space="0" w:color="000000"/>
              <w:left w:val="single" w:sz="4" w:space="0" w:color="000000"/>
              <w:bottom w:val="single" w:sz="4" w:space="0" w:color="000000"/>
              <w:right w:val="single" w:sz="4" w:space="0" w:color="000000"/>
            </w:tcBorders>
            <w:vAlign w:val="center"/>
          </w:tcPr>
          <w:p>
            <w:r>
              <w:t>Coherence analysis — Listen vs Speak</w:t>
            </w:r>
          </w:p>
        </w:tc>
        <w:tc>
          <w:tcPr>
            <w:tcW w:type="dxa" w:w="1728"/>
            <w:tcBorders>
              <w:top w:val="single" w:sz="4" w:space="0" w:color="000000"/>
              <w:left w:val="single" w:sz="4" w:space="0" w:color="000000"/>
              <w:bottom w:val="single" w:sz="4" w:space="0" w:color="000000"/>
              <w:right w:val="single" w:sz="4" w:space="0" w:color="000000"/>
            </w:tcBorders>
            <w:vAlign w:val="center"/>
          </w:tcPr>
          <w:p>
            <w:r>
              <w:t>Using the preserved task tags, compute paired Speak-vs-Listen tests of pairwise modality disagreement across all 42 subjects. Per-emotion and per-subject breakdowns.</w:t>
            </w:r>
          </w:p>
        </w:tc>
        <w:tc>
          <w:tcPr>
            <w:tcW w:type="dxa" w:w="1728"/>
            <w:tcBorders>
              <w:top w:val="single" w:sz="4" w:space="0" w:color="000000"/>
              <w:left w:val="single" w:sz="4" w:space="0" w:color="000000"/>
              <w:bottom w:val="single" w:sz="4" w:space="0" w:color="000000"/>
              <w:right w:val="single" w:sz="4" w:space="0" w:color="000000"/>
            </w:tcBorders>
            <w:vAlign w:val="center"/>
          </w:tcPr>
          <w:p>
            <w:r>
              <w:t>results/day9_coherence_analysis.csv; statistical-test report; first draft of the coherence figure for the thesis.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6</w:t>
            </w:r>
          </w:p>
        </w:tc>
        <w:tc>
          <w:tcPr>
            <w:tcW w:type="dxa" w:w="1728"/>
            <w:tcBorders>
              <w:top w:val="single" w:sz="4" w:space="0" w:color="000000"/>
              <w:left w:val="single" w:sz="4" w:space="0" w:color="000000"/>
              <w:bottom w:val="single" w:sz="4" w:space="0" w:color="000000"/>
              <w:right w:val="single" w:sz="4" w:space="0" w:color="000000"/>
            </w:tcBorders>
            <w:vAlign w:val="center"/>
          </w:tcPr>
          <w:p>
            <w:r>
              <w:t>Fri May 29</w:t>
            </w:r>
          </w:p>
        </w:tc>
        <w:tc>
          <w:tcPr>
            <w:tcW w:type="dxa" w:w="1728"/>
            <w:tcBorders>
              <w:top w:val="single" w:sz="4" w:space="0" w:color="000000"/>
              <w:left w:val="single" w:sz="4" w:space="0" w:color="000000"/>
              <w:bottom w:val="single" w:sz="4" w:space="0" w:color="000000"/>
              <w:right w:val="single" w:sz="4" w:space="0" w:color="000000"/>
            </w:tcBorders>
            <w:vAlign w:val="center"/>
          </w:tcPr>
          <w:p>
            <w:r>
              <w:t>Modality-dropout training</w:t>
            </w:r>
          </w:p>
        </w:tc>
        <w:tc>
          <w:tcPr>
            <w:tcW w:type="dxa" w:w="1728"/>
            <w:tcBorders>
              <w:top w:val="single" w:sz="4" w:space="0" w:color="000000"/>
              <w:left w:val="single" w:sz="4" w:space="0" w:color="000000"/>
              <w:bottom w:val="single" w:sz="4" w:space="0" w:color="000000"/>
              <w:right w:val="single" w:sz="4" w:space="0" w:color="000000"/>
            </w:tcBorders>
            <w:vAlign w:val="center"/>
          </w:tcPr>
          <w:p>
            <w:r>
              <w:t>Implement the softhard modality-dropout scheme. Retrain the fusion module with mixed full / single-modality / audio-plus-vision batches. Evaluate full-modality and zero-EEG accuracies side by side.</w:t>
            </w:r>
          </w:p>
        </w:tc>
        <w:tc>
          <w:tcPr>
            <w:tcW w:type="dxa" w:w="1728"/>
            <w:tcBorders>
              <w:top w:val="single" w:sz="4" w:space="0" w:color="000000"/>
              <w:left w:val="single" w:sz="4" w:space="0" w:color="000000"/>
              <w:bottom w:val="single" w:sz="4" w:space="0" w:color="000000"/>
              <w:right w:val="single" w:sz="4" w:space="0" w:color="000000"/>
            </w:tcBorders>
            <w:vAlign w:val="center"/>
          </w:tcPr>
          <w:p>
            <w:r>
              <w:t>Modality-dropout-trained model checkpoint; results/day10_robustness.csv; robustness table for thesis.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7</w:t>
            </w:r>
          </w:p>
        </w:tc>
        <w:tc>
          <w:tcPr>
            <w:tcW w:type="dxa" w:w="1728"/>
            <w:tcBorders>
              <w:top w:val="single" w:sz="4" w:space="0" w:color="000000"/>
              <w:left w:val="single" w:sz="4" w:space="0" w:color="000000"/>
              <w:bottom w:val="single" w:sz="4" w:space="0" w:color="000000"/>
              <w:right w:val="single" w:sz="4" w:space="0" w:color="000000"/>
            </w:tcBorders>
            <w:vAlign w:val="center"/>
          </w:tcPr>
          <w:p>
            <w:r>
              <w:t>Sat May 30</w:t>
            </w:r>
          </w:p>
        </w:tc>
        <w:tc>
          <w:tcPr>
            <w:tcW w:type="dxa" w:w="1728"/>
            <w:tcBorders>
              <w:top w:val="single" w:sz="4" w:space="0" w:color="000000"/>
              <w:left w:val="single" w:sz="4" w:space="0" w:color="000000"/>
              <w:bottom w:val="single" w:sz="4" w:space="0" w:color="000000"/>
              <w:right w:val="single" w:sz="4" w:space="0" w:color="000000"/>
            </w:tcBorders>
            <w:vAlign w:val="center"/>
          </w:tcPr>
          <w:p>
            <w:r>
              <w:t>Subject-independent evaluation (LOSO or 5-fold)</w:t>
            </w:r>
          </w:p>
        </w:tc>
        <w:tc>
          <w:tcPr>
            <w:tcW w:type="dxa" w:w="1728"/>
            <w:tcBorders>
              <w:top w:val="single" w:sz="4" w:space="0" w:color="000000"/>
              <w:left w:val="single" w:sz="4" w:space="0" w:color="000000"/>
              <w:bottom w:val="single" w:sz="4" w:space="0" w:color="000000"/>
              <w:right w:val="single" w:sz="4" w:space="0" w:color="000000"/>
            </w:tcBorders>
            <w:vAlign w:val="center"/>
          </w:tcPr>
          <w:p>
            <w:r>
              <w:t>Re-evaluate the best fusion model under a subject-independent protocol. Run full LOSO if compute permits; otherwise 5-fold across subjects.</w:t>
            </w:r>
          </w:p>
        </w:tc>
        <w:tc>
          <w:tcPr>
            <w:tcW w:type="dxa" w:w="1728"/>
            <w:tcBorders>
              <w:top w:val="single" w:sz="4" w:space="0" w:color="000000"/>
              <w:left w:val="single" w:sz="4" w:space="0" w:color="000000"/>
              <w:bottom w:val="single" w:sz="4" w:space="0" w:color="000000"/>
              <w:right w:val="single" w:sz="4" w:space="0" w:color="000000"/>
            </w:tcBorders>
            <w:vAlign w:val="center"/>
          </w:tcPr>
          <w:p>
            <w:r>
              <w:t>results/day11_loso.csv; subject-independent mean ± std numbers.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8</w:t>
            </w:r>
          </w:p>
        </w:tc>
        <w:tc>
          <w:tcPr>
            <w:tcW w:type="dxa" w:w="1728"/>
            <w:tcBorders>
              <w:top w:val="single" w:sz="4" w:space="0" w:color="000000"/>
              <w:left w:val="single" w:sz="4" w:space="0" w:color="000000"/>
              <w:bottom w:val="single" w:sz="4" w:space="0" w:color="000000"/>
              <w:right w:val="single" w:sz="4" w:space="0" w:color="000000"/>
            </w:tcBorders>
            <w:vAlign w:val="center"/>
          </w:tcPr>
          <w:p>
            <w:r>
              <w:t>Sun May 31</w:t>
            </w:r>
          </w:p>
        </w:tc>
        <w:tc>
          <w:tcPr>
            <w:tcW w:type="dxa" w:w="1728"/>
            <w:tcBorders>
              <w:top w:val="single" w:sz="4" w:space="0" w:color="000000"/>
              <w:left w:val="single" w:sz="4" w:space="0" w:color="000000"/>
              <w:bottom w:val="single" w:sz="4" w:space="0" w:color="000000"/>
              <w:right w:val="single" w:sz="4" w:space="0" w:color="000000"/>
            </w:tcBorders>
            <w:vAlign w:val="center"/>
          </w:tcPr>
          <w:p>
            <w:r>
              <w:t>Demo build and contrastive pre-training (if time)</w:t>
            </w:r>
          </w:p>
        </w:tc>
        <w:tc>
          <w:tcPr>
            <w:tcW w:type="dxa" w:w="1728"/>
            <w:tcBorders>
              <w:top w:val="single" w:sz="4" w:space="0" w:color="000000"/>
              <w:left w:val="single" w:sz="4" w:space="0" w:color="000000"/>
              <w:bottom w:val="single" w:sz="4" w:space="0" w:color="000000"/>
              <w:right w:val="single" w:sz="4" w:space="0" w:color="000000"/>
            </w:tcBorders>
            <w:vAlign w:val="center"/>
          </w:tcPr>
          <w:p>
            <w:r>
              <w:t>Build the file-based emotion-overlay demo using the modality-dropout-trained model. Record a personal demo clip. If schedule permits, implement and run MERCL contrastive pre-training as a final empirical addition.</w:t>
            </w:r>
          </w:p>
        </w:tc>
        <w:tc>
          <w:tcPr>
            <w:tcW w:type="dxa" w:w="1728"/>
            <w:tcBorders>
              <w:top w:val="single" w:sz="4" w:space="0" w:color="000000"/>
              <w:left w:val="single" w:sz="4" w:space="0" w:color="000000"/>
              <w:bottom w:val="single" w:sz="4" w:space="0" w:color="000000"/>
              <w:right w:val="single" w:sz="4" w:space="0" w:color="000000"/>
            </w:tcBorders>
            <w:vAlign w:val="center"/>
          </w:tcPr>
          <w:p>
            <w:r>
              <w:t>demo_inference.py and demo_overlay.py scripts; rendered demo MP4; optional MERCL results.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9</w:t>
            </w:r>
          </w:p>
        </w:tc>
        <w:tc>
          <w:tcPr>
            <w:tcW w:type="dxa" w:w="1728"/>
            <w:tcBorders>
              <w:top w:val="single" w:sz="4" w:space="0" w:color="000000"/>
              <w:left w:val="single" w:sz="4" w:space="0" w:color="000000"/>
              <w:bottom w:val="single" w:sz="4" w:space="0" w:color="000000"/>
              <w:right w:val="single" w:sz="4" w:space="0" w:color="000000"/>
            </w:tcBorders>
            <w:vAlign w:val="center"/>
          </w:tcPr>
          <w:p>
            <w:r>
              <w:t>Mon Jun 01</w:t>
            </w:r>
          </w:p>
        </w:tc>
        <w:tc>
          <w:tcPr>
            <w:tcW w:type="dxa" w:w="1728"/>
            <w:tcBorders>
              <w:top w:val="single" w:sz="4" w:space="0" w:color="000000"/>
              <w:left w:val="single" w:sz="4" w:space="0" w:color="000000"/>
              <w:bottom w:val="single" w:sz="4" w:space="0" w:color="000000"/>
              <w:right w:val="single" w:sz="4" w:space="0" w:color="000000"/>
            </w:tcBorders>
            <w:vAlign w:val="center"/>
          </w:tcPr>
          <w:p>
            <w:r>
              <w:t>Thesis writing — methods and results</w:t>
            </w:r>
          </w:p>
        </w:tc>
        <w:tc>
          <w:tcPr>
            <w:tcW w:type="dxa" w:w="1728"/>
            <w:tcBorders>
              <w:top w:val="single" w:sz="4" w:space="0" w:color="000000"/>
              <w:left w:val="single" w:sz="4" w:space="0" w:color="000000"/>
              <w:bottom w:val="single" w:sz="4" w:space="0" w:color="000000"/>
              <w:right w:val="single" w:sz="4" w:space="0" w:color="000000"/>
            </w:tcBorders>
            <w:vAlign w:val="center"/>
          </w:tcPr>
          <w:p>
            <w:r>
              <w:t>Draft Methods, Experiments and Results chapters in full. Produce architecture diagram; finalise all result tables.</w:t>
            </w:r>
          </w:p>
        </w:tc>
        <w:tc>
          <w:tcPr>
            <w:tcW w:type="dxa" w:w="1728"/>
            <w:tcBorders>
              <w:top w:val="single" w:sz="4" w:space="0" w:color="000000"/>
              <w:left w:val="single" w:sz="4" w:space="0" w:color="000000"/>
              <w:bottom w:val="single" w:sz="4" w:space="0" w:color="000000"/>
              <w:right w:val="single" w:sz="4" w:space="0" w:color="000000"/>
            </w:tcBorders>
            <w:vAlign w:val="center"/>
          </w:tcPr>
          <w:p>
            <w:r>
              <w:t>Thesis draft sections 1–4 complete (introduction, related work, methods, experiments).</w:t>
            </w:r>
          </w:p>
        </w:tc>
      </w:tr>
      <w:tr>
        <w:tc>
          <w:tcPr>
            <w:tcW w:type="dxa" w:w="1728"/>
            <w:tcBorders>
              <w:top w:val="single" w:sz="4" w:space="0" w:color="000000"/>
              <w:left w:val="single" w:sz="4" w:space="0" w:color="000000"/>
              <w:bottom w:val="single" w:sz="4" w:space="0" w:color="000000"/>
              <w:right w:val="single" w:sz="4" w:space="0" w:color="000000"/>
            </w:tcBorders>
            <w:vAlign w:val="center"/>
          </w:tcPr>
          <w:p>
            <w:r>
              <w:t>10</w:t>
            </w:r>
          </w:p>
        </w:tc>
        <w:tc>
          <w:tcPr>
            <w:tcW w:type="dxa" w:w="1728"/>
            <w:tcBorders>
              <w:top w:val="single" w:sz="4" w:space="0" w:color="000000"/>
              <w:left w:val="single" w:sz="4" w:space="0" w:color="000000"/>
              <w:bottom w:val="single" w:sz="4" w:space="0" w:color="000000"/>
              <w:right w:val="single" w:sz="4" w:space="0" w:color="000000"/>
            </w:tcBorders>
            <w:vAlign w:val="center"/>
          </w:tcPr>
          <w:p>
            <w:r>
              <w:t>Tue Jun 02</w:t>
            </w:r>
          </w:p>
        </w:tc>
        <w:tc>
          <w:tcPr>
            <w:tcW w:type="dxa" w:w="1728"/>
            <w:tcBorders>
              <w:top w:val="single" w:sz="4" w:space="0" w:color="000000"/>
              <w:left w:val="single" w:sz="4" w:space="0" w:color="000000"/>
              <w:bottom w:val="single" w:sz="4" w:space="0" w:color="000000"/>
              <w:right w:val="single" w:sz="4" w:space="0" w:color="000000"/>
            </w:tcBorders>
            <w:vAlign w:val="center"/>
          </w:tcPr>
          <w:p>
            <w:r>
              <w:t>Thesis writing — discussion and polish; defence prep</w:t>
            </w:r>
          </w:p>
        </w:tc>
        <w:tc>
          <w:tcPr>
            <w:tcW w:type="dxa" w:w="1728"/>
            <w:tcBorders>
              <w:top w:val="single" w:sz="4" w:space="0" w:color="000000"/>
              <w:left w:val="single" w:sz="4" w:space="0" w:color="000000"/>
              <w:bottom w:val="single" w:sz="4" w:space="0" w:color="000000"/>
              <w:right w:val="single" w:sz="4" w:space="0" w:color="000000"/>
            </w:tcBorders>
            <w:vAlign w:val="center"/>
          </w:tcPr>
          <w:p>
            <w:r>
              <w:t>Draft Discussion, Limitations and Conclusion. Build defence slide deck. Final read-through of the manuscript and rendered report. Push final results to GitHub.</w:t>
            </w:r>
          </w:p>
        </w:tc>
        <w:tc>
          <w:tcPr>
            <w:tcW w:type="dxa" w:w="1728"/>
            <w:tcBorders>
              <w:top w:val="single" w:sz="4" w:space="0" w:color="000000"/>
              <w:left w:val="single" w:sz="4" w:space="0" w:color="000000"/>
              <w:bottom w:val="single" w:sz="4" w:space="0" w:color="000000"/>
              <w:right w:val="single" w:sz="4" w:space="0" w:color="000000"/>
            </w:tcBorders>
            <w:vAlign w:val="center"/>
          </w:tcPr>
          <w:p>
            <w:r>
              <w:t>Final thesis PDF; defence slide deck; final commit on main branch.</w:t>
            </w:r>
          </w:p>
        </w:tc>
      </w:tr>
    </w:tbl>
    <w:p>
      <w:pPr>
        <w:jc w:val="center"/>
      </w:pPr>
      <w:r>
        <w:rPr>
          <w:b w:val="0"/>
          <w:i/>
          <w:sz w:val="20"/>
        </w:rPr>
        <w:t>Table 3. Ten-day plan, May 24 to Jun 02, 2026.</w:t>
      </w:r>
    </w:p>
    <w:p/>
    <w:p>
      <w:pPr>
        <w:pStyle w:val="Heading2"/>
      </w:pPr>
      <w:r>
        <w:t>4.2 Day-by-Day Elaboration</w:t>
      </w:r>
    </w:p>
    <w:p>
      <w:pPr>
        <w:pStyle w:val="Heading3"/>
      </w:pPr>
      <w:r>
        <w:t>Day 1 (Sun May 24) — Methodology cleanup and fusion iteration</w:t>
      </w:r>
    </w:p>
    <w:p>
      <w:r>
        <w:t>The day’s output gates everything that follows. First, write a small diagnostic script that, for each of the three already-processed subjects, reads back the original EAV trial file names and verifies that the train/test indices in the pickle correspond to the same subject-emotion-task combinations across audio, vision and EEG. This produces an explicit alignment-or-misalignment finding. Second, modify the three `Dataload_*.py` scripts to preserve a per-trial `task` column (Listen/Speak), so that future regeneration of the pickles carries the information forward. Third, iterate on the fusion module hyperparameters using the cached three-subject features: Config 1 with stronger regularisation, Config 2 with a smaller model, Config 3 as a concat-MLP sanity check. Pick the highest-mean configuration and commit it as the production fusion architecture. The output of Day 1 is a clean, validated, single-configuration system ready to scale.</w:t>
      </w:r>
    </w:p>
    <w:p>
      <w:pPr>
        <w:pStyle w:val="Heading3"/>
      </w:pPr>
      <w:r>
        <w:t>Day 2 (Mon May 25) — Re-preprocess and launch 42-subject Stage A</w:t>
      </w:r>
    </w:p>
    <w:p>
      <w:r>
        <w:t>Run the modified preprocessing across all 42 subjects to produce new pickles with task tags preserved. This is a one-off cost of one to two hours of CPU work; output goes to a new subdirectory in Drive (`Input_images_v2/`) so the original pickles remain untouched as a fall-back. Once pickles are ready, kick off Stage A of the day5 pipeline on the 4080 with reduced epoch budgets (`AUD_EPOCHS_FT=5`, `VIS_EPOCHS_FT=2`). Per-subject Stage A time is approximately ten minutes; in a single twelve-hour session approximately seventy subjects fit, so all forty-two will complete within Day 2.</w:t>
      </w:r>
    </w:p>
    <w:p>
      <w:pPr>
        <w:pStyle w:val="Heading3"/>
      </w:pPr>
      <w:r>
        <w:t>Day 3 (Tue May 26) — Feature extraction and start fusion training</w:t>
      </w:r>
    </w:p>
    <w:p>
      <w:r>
        <w:t>All Stage A state dictionaries should be available from Day 2. Run Stage B feature extraction for all forty-two subjects (approximately one minute per subject; less than an hour total). Begin Stage C fusion training: at approximately two minutes per subject this completes within ninety minutes for the whole cohort. Optionally also re-run the Day-3 naïve-fusion baseline script on the new forty-two-subject logit files so that the two methods are directly comparable on the same data.</w:t>
      </w:r>
    </w:p>
    <w:p>
      <w:pPr>
        <w:pStyle w:val="Heading3"/>
      </w:pPr>
      <w:r>
        <w:t>Day 4 (Wed May 27) — Finalise classification numbers</w:t>
      </w:r>
    </w:p>
    <w:p>
      <w:r>
        <w:t>By the end of Day 4 the thesis should have its complete per-modality, naïve-fusion and cross-attention-fusion accuracies for all forty-two subjects. Run paired statistical tests (Wilcoxon signed-rank, paired t-test) between method pairs. Produce the first complete results table for the thesis (Table 1 of the eventual manuscript). Decide which fusion method (cross-attention vs naïve) is the production model for downstream coherence and demo work.</w:t>
      </w:r>
    </w:p>
    <w:p>
      <w:pPr>
        <w:pStyle w:val="Heading3"/>
      </w:pPr>
      <w:r>
        <w:t>Day 5 (Thu May 28) — Coherence analysis</w:t>
      </w:r>
    </w:p>
    <w:p>
      <w:r>
        <w:t>The headline experiment of the reformulated thesis. For every test trial of every subject, compute the three pairwise symmetric KL divergences between the per-modality softmax outputs (Day-3 work generalised to all subjects). Tag each trial as Listen or Speak using the Day-1 metadata. Run a paired Wilcoxon test across subjects of mean Speak-minus-Listen disagreement. Hypothesise (and test) that Speak coherence is lower than Listen coherence — that voluntarily-produced expressions diverge from internal physiology more than involuntarily-elicited ones do. Produce a per-emotion breakdown (which emotions are produced most and least coherently) and a per-subject breakdown (which subjects are systematically incoherent). This day’s output is the empirical core of the thesis.</w:t>
      </w:r>
    </w:p>
    <w:p>
      <w:pPr>
        <w:pStyle w:val="Heading3"/>
      </w:pPr>
      <w:r>
        <w:t>Day 6 (Fri May 29) — Modality-dropout training</w:t>
      </w:r>
    </w:p>
    <w:p>
      <w:r>
        <w:t>Implement the softhard scheme: each training batch is the concatenation of four sub-batches — full-modality, audio-with-zeroed-EEG, vision-with-zeroed-EEG-and-zeroed-audio, and EEG-with-zeroed-audio-and-zeroed-vision — with the appropriate target labels duplicated. Retrain the fusion module. Evaluate the resulting model under three inference conditions: full modalities, EEG zeroed, both audio and EEG zeroed. Report each accuracy across all subjects. The zero-EEG number is the headline robustness claim and is what the demo will run on.</w:t>
      </w:r>
    </w:p>
    <w:p>
      <w:pPr>
        <w:pStyle w:val="Heading3"/>
      </w:pPr>
      <w:r>
        <w:t>Day 7 (Sat May 30) — Subject-independent evaluation</w:t>
      </w:r>
    </w:p>
    <w:p>
      <w:r>
        <w:t>Re-run the best fusion model under a leave-one-subject-out protocol (or, if compute is short, 5-fold cross-subject). For each fold, train on the held-in subjects only and evaluate on the held-out subject. Aggregate by mean and standard deviation across folds. This is the credibility check that the rest of the thesis depends on; without it the within-subject numbers in earlier tables cannot be defended as evidence of generalisation. If full LOSO would exceed the remaining compute budget, fall back to 5-fold and note the choice explicitly in the manuscript.</w:t>
      </w:r>
    </w:p>
    <w:p>
      <w:pPr>
        <w:pStyle w:val="Heading3"/>
      </w:pPr>
      <w:r>
        <w:t>Day 8 (Sun May 31) — Demo and stretch-goal MERCL</w:t>
      </w:r>
    </w:p>
    <w:p>
      <w:r>
        <w:t>Write `demo_inference.py` (consumes a video file, returns a sequence of per-second emotion-and-coherence predictions) and `demo_overlay.py` (renders the predictions onto the original video using OpenCV, then re-attaches the original audio with FFmpeg). Record a personal twenty-to-thirty-second demo clip. If MERCL contrastive pre-training is still on the schedule, spend the second half of the day implementing AMCL, EMCL and SMCL losses and running a brief pre-training run; otherwise defer MERCL to future work and use the time for demo polish.</w:t>
      </w:r>
    </w:p>
    <w:p>
      <w:pPr>
        <w:pStyle w:val="Heading3"/>
      </w:pPr>
      <w:r>
        <w:t>Day 9 (Mon Jun 1) — Thesis writing: methods, experiments, results</w:t>
      </w:r>
    </w:p>
    <w:p>
      <w:r>
        <w:t>Sit at a desk and write. The Methods chapter describes the architecture (with the diagram from Day 4’s notes), the training procedure, the coherence metric and the modality-dropout scheme. The Experiments chapter describes the EAV dataset and the evaluation protocol, including the Listen-vs-Speak distinction and the subject-independent fold. The Results chapter presents the tables and figures from Days 4, 5, 6 and 7. The day’s output is a draft of sections 1 to 4 of the manuscript, complete enough that a careful reader could reproduce the work from it.</w:t>
      </w:r>
    </w:p>
    <w:p>
      <w:pPr>
        <w:pStyle w:val="Heading3"/>
      </w:pPr>
      <w:r>
        <w:t>Day 10 (Tue Jun 2) — Discussion, polish, defence prep</w:t>
      </w:r>
    </w:p>
    <w:p>
      <w:r>
        <w:t>Write the Discussion section, framing the coherence analysis as the thesis’s headline contribution and the architectural and robustness results as supporting evidence. Write the Limitations section explicitly: clinical validation is Phase 2 future work; cross-modal coherence as measured here is behaviourally validated but not clinically validated; the model has been evaluated only on the EAV dataset and generalisation to other multimodal corpora is unproven. Build the defence slide deck following the structure of the five research questions. Final read-through of the manuscript. Push everything to GitHub. The plan window closes.</w:t>
      </w:r>
    </w:p>
    <w:p>
      <w:r>
        <w:br w:type="page"/>
      </w:r>
    </w:p>
    <w:p>
      <w:pPr>
        <w:pStyle w:val="Heading1"/>
      </w:pPr>
      <w:r>
        <w:t>5. Risk and Contingency</w:t>
      </w:r>
    </w:p>
    <w:p>
      <w:r>
        <w:t>Three risks are large enough to warrant explicit contingency plans. Each is described together with the trigger that would cause the contingency to be invoked and the action that follows.</w:t>
      </w:r>
    </w:p>
    <w:p>
      <w:pPr>
        <w:pStyle w:val="Heading2"/>
      </w:pPr>
      <w:r>
        <w:t>5.1 Risk — Trial misalignment between modalities is real</w:t>
      </w:r>
    </w:p>
    <w:p>
      <w:r>
        <w:t>If the Day 1 alignment check finds that audio/vision and EEG trials do not correspond to the same underlying events (because of the listening-versus-speaking selection mismatch in the EAV repository’s preprocessing), then the Day-3 naïve-fusion number and the Day-5 cross-attention number are both methodologically questionable, and the central coherence analysis cannot proceed in its current form. The contingency in this case is to limit the trimodal portion of the thesis to the subset of trial pairs that *do* align (which requires re-preprocessing to construct), and report on the bimodal audio-plus-vision case across all trials. The thesis would then frame the coherence analysis as audio-vision-versus-EEG agreement across aligned trial pairs rather than fully-trimodal. This is a strictly smaller claim, but a defensible one.</w:t>
      </w:r>
    </w:p>
    <w:p>
      <w:pPr>
        <w:pStyle w:val="Heading2"/>
      </w:pPr>
      <w:r>
        <w:t>5.2 Risk — Cross-attention fusion cannot beat naïve fusion at scale</w:t>
      </w:r>
    </w:p>
    <w:p>
      <w:r>
        <w:t>If the forty-two-subject cross-attention fusion result on Day 4 is still below the naïve-fusion baseline after the Day-1 hyperparameter iteration, the thesis pivots its emphasis from ‘we propose a fusion architecture that beats baselines’ to ‘we characterise cross-modal coherence and find that EAV is a low-headroom regime for learned fusion methods’. The coherence analysis on Day 5 then becomes the sole headline contribution; the fusion architecture work is reported as a negative result with a defensible interpretation. No work is wasted, but the discussion framing shifts.</w:t>
      </w:r>
    </w:p>
    <w:p>
      <w:pPr>
        <w:pStyle w:val="Heading2"/>
      </w:pPr>
      <w:r>
        <w:t>5.3 Risk — Compute budget exceeded</w:t>
      </w:r>
    </w:p>
    <w:p>
      <w:r>
        <w:t>If the forty-two-subject rollout (Days 2–3) takes longer than expected — for example because the 4080 session disconnects repeatedly or because per-subject training is slower than the twelve-minute estimate — the cut order is: first drop MERCL contrastive pre-training (Day 8 stretch); then reduce LOSO to 5-fold cross-subject (Day 7); then, as a last resort, complete the per-modality and fusion training on a subset of twenty to thirty subjects and report results on that subset explicitly. The headline coherence claim is robust to subject count above approximately twenty, since the paired statistical test gains power quickly with n.</w:t>
      </w:r>
    </w:p>
    <w:p>
      <w:pPr>
        <w:pStyle w:val="Heading2"/>
      </w:pPr>
      <w:r>
        <w:t>5.4 Non-negotiable Items</w:t>
      </w:r>
    </w:p>
    <w:p>
      <w:r>
        <w:t>Three items are not subject to cuts under any contingency. First, the Listen-vs-Speak coherence analysis (Day 5) — this is the thesis novelty and must be reported. Second, subject-independent evaluation in some form (Day 7) — a thesis without subject-independent numbers does not pass affective-computing review. Third, the manuscript itself (Days 9 and 10) — a thesis defence requires a thesis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