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48"/>
        </w:rPr>
        <w:t>Technical Progress Report</w:t>
      </w:r>
    </w:p>
    <w:p>
      <w:pPr>
        <w:jc w:val="center"/>
      </w:pPr>
      <w:r>
        <w:rPr>
          <w:b w:val="0"/>
          <w:i/>
          <w:sz w:val="28"/>
        </w:rPr>
        <w:t>Cross-Modal Affective Coherence Using EEG, Audio and Video on the EAV Dataset</w:t>
      </w:r>
    </w:p>
    <w:p>
      <w:pPr>
        <w:jc w:val="center"/>
      </w:pPr>
      <w:r>
        <w:rPr>
          <w:b w:val="0"/>
          <w:i/>
          <w:sz w:val="24"/>
        </w:rPr>
        <w:t>Coverage: Day 3 through Current Day</w:t>
      </w:r>
    </w:p>
    <w:p/>
    <w:p/>
    <w:p/>
    <w:p/>
    <w:p/>
    <w:p/>
    <w:p>
      <w:pPr>
        <w:jc w:val="center"/>
      </w:pPr>
      <w:r>
        <w:rPr>
          <w:b/>
          <w:i w:val="0"/>
          <w:sz w:val="24"/>
        </w:rPr>
        <w:t>Author</w:t>
      </w:r>
    </w:p>
    <w:p>
      <w:pPr>
        <w:jc w:val="center"/>
      </w:pPr>
      <w:r>
        <w:rPr>
          <w:b w:val="0"/>
          <w:i w:val="0"/>
          <w:sz w:val="24"/>
        </w:rPr>
        <w:t>Shafin</w:t>
      </w:r>
    </w:p>
    <w:p/>
    <w:p>
      <w:pPr>
        <w:jc w:val="center"/>
      </w:pPr>
      <w:r>
        <w:rPr>
          <w:b/>
          <w:i w:val="0"/>
          <w:sz w:val="24"/>
        </w:rPr>
        <w:t>Institution</w:t>
      </w:r>
    </w:p>
    <w:p>
      <w:pPr>
        <w:jc w:val="center"/>
      </w:pPr>
      <w:r>
        <w:rPr>
          <w:b w:val="0"/>
          <w:i w:val="0"/>
          <w:sz w:val="24"/>
        </w:rPr>
        <w:t>[Institution name — to be filled in]</w:t>
      </w:r>
    </w:p>
    <w:p/>
    <w:p>
      <w:pPr>
        <w:jc w:val="center"/>
      </w:pPr>
      <w:r>
        <w:rPr>
          <w:b/>
          <w:i w:val="0"/>
          <w:sz w:val="24"/>
        </w:rPr>
        <w:t>Date</w:t>
      </w:r>
    </w:p>
    <w:p>
      <w:pPr>
        <w:jc w:val="center"/>
      </w:pPr>
      <w:r>
        <w:rPr>
          <w:b w:val="0"/>
          <w:i w:val="0"/>
          <w:sz w:val="24"/>
        </w:rPr>
        <w:t>June 01, 2026</w:t>
      </w:r>
    </w:p>
    <w:p>
      <w:r>
        <w:br w:type="page"/>
      </w:r>
    </w:p>
    <w:p>
      <w:r>
        <w:rPr>
          <w:b/>
          <w:i w:val="0"/>
          <w:sz w:val="36"/>
        </w:rPr>
        <w:t>Table of Contents</w:t>
      </w:r>
    </w:p>
    <w:p/>
    <w:p>
      <w:r>
        <w:fldChar w:fldCharType="begin"/>
        <w:instrText xml:space="preserve">TOC \o "1-2" \h \z \u</w:instrText>
        <w:fldChar w:fldCharType="separate"/>
        <w:t>Right-click here and choose “Update Field” to populate the table of contents.</w:t>
        <w:fldChar w:fldCharType="end"/>
      </w:r>
    </w:p>
    <w:p>
      <w:r>
        <w:br w:type="page"/>
      </w:r>
    </w:p>
    <w:p>
      <w:pPr>
        <w:pStyle w:val="Heading1"/>
      </w:pPr>
      <w:r>
        <w:t>1. Project Goals</w:t>
      </w:r>
    </w:p>
    <w:p>
      <w:pPr>
        <w:pStyle w:val="Heading2"/>
      </w:pPr>
      <w:r>
        <w:t>1.1 Initial Project Scope</w:t>
      </w:r>
    </w:p>
    <w:p>
      <w:r>
        <w:t>The project was initially scoped, in the first week of work, as the implementation and evaluation of a trimodal emotion-recognition framework on the EAV (EEG-Audio-Video) dataset published by Lee, Shomanov, Kabidenova and Yazici in Scientific Data, 2024. The intended methodology was a reproduction of the contrastive-learning-plus-cross-modal-attention framework of Lee, Kim and Kim (Bioengineering, 2024), which has not previously been evaluated on EAV. The five emotion categories of EAV — Neutral, Sadness, Anger, Happiness and Calmness — were the prediction target.</w:t>
      </w:r>
    </w:p>
    <w:p>
      <w:pPr>
        <w:pStyle w:val="Heading2"/>
      </w:pPr>
      <w:r>
        <w:t>1.2 Project Reformulation</w:t>
      </w:r>
    </w:p>
    <w:p>
      <w:r>
        <w:t>Mid-way through the development cycle, the project was reformulated to a more defensible and novel research question: the detection of cross-modal affective coherence. The reformulation was driven by two practical realities. First, the ultimate application originally envisioned — continuous per-second emotion tracking on in-the-wild video such as movie scenes — is incompatible with the EEG modality, because EEG cannot be collected from arbitrary audiovisual content. Second, the EAV dataset is a controlled-condition, cue-based laboratory corpus, and its emotions are necessarily elicited rather than spontaneous. The combination meant that any honest application of an EAV-trained model to in-the-wild content would be a stretch of validity beyond what the available time could close.</w:t>
      </w:r>
    </w:p>
    <w:p>
      <w:r>
        <w:t>The reformulated thesis exploits the fact that EEG is an internal, involuntary physiological signal while audio and video are external, voluntary behavioural signals. Where the three modalities agree on the emotion being expressed, the subject is producing a coherent affective response. Where the modalities diverge — particularly where the audio-vision consensus indicates one emotion while EEG indicates another — the divergence is itself a clinically and behaviourally meaningful signal, associated in the literature with emotion suppression, alexithymia, depression, anxiety and several other conditions involving discordance between felt and displayed affect. The thesis develops the methodology to detect and characterise such incoherence within the EAV dataset; clinical-population validation is framed as Phase 2 future work.</w:t>
      </w:r>
    </w:p>
    <w:p>
      <w:pPr>
        <w:pStyle w:val="Heading2"/>
      </w:pPr>
      <w:r>
        <w:t>1.3 Working Title and Research Questions</w:t>
      </w:r>
    </w:p>
    <w:p>
      <w:r>
        <w:t>Two candidate titles are in circulation, either of which is suitable for the submitted cover page. The formal variant is preferred for the manuscript itself, while the direct variant is intended for defence-slide use and short oral abstracts.</w:t>
      </w:r>
    </w:p>
    <w:p>
      <w:pPr>
        <w:pStyle w:val="ListBullet"/>
      </w:pPr>
      <w:r>
        <w:t>Formal: *Cross-Modal Affective Coherence: A Multimodal Framework for Detecting Discrepancies Between Externally Expressed and Internally Experienced Emotion Using EEG, Audio and Video.*</w:t>
      </w:r>
    </w:p>
    <w:p>
      <w:pPr>
        <w:pStyle w:val="ListBullet"/>
      </w:pPr>
      <w:r>
        <w:t>Direct: *When the Face Lies but the Brain Doesn’t: Multimodal Detection of Suppressed and Mismatched Affective States.*</w:t>
      </w:r>
    </w:p>
    <w:p>
      <w:r>
        <w:t>The reformulated thesis addresses five research questions, each corresponding to a specific empirical contribution in the results section.</w:t>
      </w:r>
    </w:p>
    <w:p>
      <w:pPr>
        <w:pStyle w:val="ListNumber"/>
      </w:pPr>
      <w:r>
        <w:t>Per-modality baseline. Can each of the audio, video and EEG modalities be classified into the five EAV emotion categories at a rate that meaningfully exceeds the EAV paper's published per-modality baselines?</w:t>
      </w:r>
    </w:p>
    <w:p>
      <w:pPr>
        <w:pStyle w:val="ListNumber"/>
      </w:pPr>
      <w:r>
        <w:t>Fusion gain. Does multimodal fusion improve classification over the best single modality, and by what margin?</w:t>
      </w:r>
    </w:p>
    <w:p>
      <w:pPr>
        <w:pStyle w:val="ListNumber"/>
      </w:pPr>
      <w:r>
        <w:t>Architectural contribution. Does learned trimodal cross-modal attention fusion outperform a naïve softmax-averaging late-fusion baseline at scale?</w:t>
      </w:r>
    </w:p>
    <w:p>
      <w:pPr>
        <w:pStyle w:val="ListNumber"/>
      </w:pPr>
      <w:r>
        <w:t>Coherence as signal. When the modalities disagree, what patterns of disagreement emerge, and are those patterns consistent across the subject population?</w:t>
      </w:r>
    </w:p>
    <w:p>
      <w:pPr>
        <w:pStyle w:val="ListNumber"/>
      </w:pPr>
      <w:r>
        <w:t>Robustness. Does the system continue to produce meaningful predictions when one modality (specifically EEG) is unavailable at inference time?</w:t>
      </w:r>
    </w:p>
    <w:p>
      <w:pPr>
        <w:pStyle w:val="Heading2"/>
      </w:pPr>
      <w:r>
        <w:t>1.4 Architectural Commitments</w:t>
      </w:r>
    </w:p>
    <w:p>
      <w:r>
        <w:t>Two architectural commitments were decided on at the inception of the fusion design and are load-bearing for the project's long-term extensibility and for the demonstration component. First, the fusion module's `forward()` method returns a dictionary that includes the three per-modality post-attention embeddings as named keys; this permits a future temporal head (LSTM, Residual-TCN or temporal transformer) to be attached without rewriting the fusion module. Second, `forward(x_audio, x_visual, x_eeg)` is required to produce finite outputs when `x_eeg` is a tensor of zeros; the modality-dropout training step in the remaining schedule is what makes those outputs *useful*, but the architecture must permit them at the level of forward-pass mechanics from the day the module was built.</w:t>
      </w:r>
    </w:p>
    <w:p>
      <w:r>
        <w:br w:type="page"/>
      </w:r>
    </w:p>
    <w:p>
      <w:pPr>
        <w:pStyle w:val="Heading1"/>
      </w:pPr>
      <w:r>
        <w:t>2. Implementation and Progress (Day 3 to Current)</w:t>
      </w:r>
    </w:p>
    <w:p>
      <w:r>
        <w:t>This section covers the development trajectory from Day 3 of the project (naïve late-fusion baseline) through the current 42-subject rollout. Days 1 and 2 (workflow setup and per-modality baseline training) are not covered here; they are documented separately.</w:t>
      </w:r>
    </w:p>
    <w:p>
      <w:pPr>
        <w:pStyle w:val="Heading2"/>
      </w:pPr>
      <w:r>
        <w:t>2.1 Day 3 — Naïve Late-Fusion Baseline</w:t>
      </w:r>
    </w:p>
    <w:p>
      <w:r>
        <w:t>Day 3 produced the project's first multimodal result and established the comparison point against which all subsequent fusion architectures are measured. Naïve late fusion is the simplest possible multimodal combination: the per-modality softmax outputs from the trained Day-2 classifiers are averaged trial-by-trial, and the argmax of the averaged vector is taken as the fused prediction. The baseline carries methodological weight specifically because it is so simple. Any later, more sophisticated fusion architecture that fails to beat naïve averaging is, in any meaningful sense, not learning to fuse.</w:t>
      </w:r>
    </w:p>
    <w:p>
      <w:r>
        <w:t>The Day-3 driver, implemented in `day3_late_fusion.py`, consumes the per-modality test logits saved by Day 2 to `checkpoints/day2_logits/sub{NN}_{modality}.npz`. For each subject in scope, it loads the audio, vision and EEG logits, computes the softmax probabilities, and produces four results: per-modality accuracies reconstructed from logits (which must match the Day-2 CSV as a sanity check); mean-of-softmax fusion; sum-of-log-softmax fusion (the independent-evidence rule); and hard majority voting with ties broken by the modality with highest confidence.</w:t>
      </w:r>
    </w:p>
    <w:p>
      <w:r>
        <w:t>Before any fusion result is interpretable, the trial alignment across modalities must be validated. The Day-3 script includes an alignment check that verifies the test-set label sequences match across all three modalities. The check passed; the stratified-by-class splitting in EAV's repository produced identical label sequences across modalities for all three pilot subjects, and this was treated as defensible to proceed with fusion analysis without further investigation. A subsequent heuristic check on Day 6 of the new schedule confirmed identical per-class trial counts (80 trials per class) for all 42 subjects across all three modalities.</w:t>
      </w:r>
    </w:p>
    <w:p>
      <w:r>
        <w:t>On the three pilot subjects, naïve late fusion produced a mean test accuracy of 0.819 (mean-softmax variant). The fusion gain over the best single modality, vision at 0.756, was 6.3 percentage points. This established the central empirical finding that informed the rest of the project: multimodal fusion provides meaningful improvement over single-modality classification on EAV. The Day-3 script was later extended (during Day 1 of the extended-deadline schedule) to also save per-trial pairwise Kullback–Leibler divergences between the three modality softmaxes, which feed the downstream coherence analysis.</w:t>
      </w:r>
    </w:p>
    <w:p>
      <w:pPr>
        <w:pStyle w:val="Heading2"/>
      </w:pPr>
      <w:r>
        <w:t>2.2 Day 4 — Trimodal Cross-Modal Attention Fusion Module</w:t>
      </w:r>
    </w:p>
    <w:p>
      <w:r>
        <w:t>Day 4 produced the project's first contribution beyond a reproduction of standard baselines: the trimodal cross-modal attention fusion module. The module is implemented in `fusion/trimodal_attention.py` and consists of a `TrimodalAttentionFusion` class that takes three pooled per-modality feature vectors as input and produces a five-class emotion prediction together with named per-modality and fused embeddings as auxiliary outputs.</w:t>
      </w:r>
    </w:p>
    <w:p>
      <w:r>
        <w:t>The architecture comprises five steps. First, each modality's pooled feature vector — 768-dimensional for the Audio Spectrogram Transformer, 768-dimensional for the Vision Transformer, 960-dimensional for EEGNet — is projected to a common embedding dimension of 256 via a per-modality linear layer. Second, a learnable modality embedding of shape (3, 256) is added to distinguish the audio, vision and EEG tokens, analogous to a positional encoding. Third, the three projected vectors are stacked as a three-token sequence and passed through a two-layer transformer encoder with eight attention heads, GELU activations, pre-layer-normalisation and a feedforward dimension of 1024. Fourth, the three post-attention tokens are mean-pooled to a single 256-dimensional fused representation. Fifth, the fused representation is passed through a small MLP head (Linear, GELU, Dropout, Linear) to produce the five-class logits. The total parameter count is 2.28 million.</w:t>
      </w:r>
    </w:p>
    <w:p>
      <w:r>
        <w:t>The choice of self-attention over a three-token modality sequence, rather than the six-way pairwise cross-modal attention used by Lee et al. (2024), is justified by the resolution of the available features. The pretrained per-modality encoders produce a single pooled vector per clip rather than a sequence of tokens, and at single-token-per-modality resolution pairwise cross-attention degenerates to learned projection. Self-attention across the three modality tokens captures the equivalent cross-modal mixing at lower parameter count and with cleaner code. The architectural change is recorded as a deviation from the reference paper, defensible on the grounds that the original method requires sequence-level features that our pretrained encoders do not natively expose.</w:t>
      </w:r>
    </w:p>
    <w:p>
      <w:r>
        <w:t>Three contract tests verify the module's behaviour on synthetic inputs and are bundled in the `__main__` block of the source file. The first test confirms the full-modality forward pass produces output of the correct shape and finite values for all five named keys in the return dictionary. The second test confirms that calling `forward()` with a zero tensor for the EEG input produces finite logits with non-trivial magnitude — this is the architectural commitment that enables the eventual demo, in which EEG is unavailable at inference time. The third test verifies that backpropagation reaches every parameter group, including the per-modality projection layers and the modality embeddings. All three tests pass.</w:t>
      </w:r>
    </w:p>
    <w:p>
      <w:r>
        <w:t>Day 4 produced no training results. Its deliverable is exclusively the architecture and its verified contract; the joint training of fusion-module-plus-encoders against EAV is the work of Day 5.</w:t>
      </w:r>
    </w:p>
    <w:p>
      <w:pPr>
        <w:pStyle w:val="Heading2"/>
      </w:pPr>
      <w:r>
        <w:t>2.3 Day 5 — Three-Subject Pilot of the Full Pipeline</w:t>
      </w:r>
    </w:p>
    <w:p>
      <w:r>
        <w:t>Day 5 produced the project's first end-to-end fusion training result, deliberately limited to three subjects as a pilot. The pipeline implementation in `day5_pipeline.py` orchestrates three sequential stages: per-modality re-training of the trained AST, ViT and EEGNet models with state-dict persistence; feature extraction using the pre-classifier representations produced by wrappers in `fusion/feature_extractors.py`; and fusion training of `TrimodalAttentionFusion` on the cached features. All three stages are resume-aware, with per-subject and per-modality cache checks that allow the pipeline to be re-executed safely after a kernel restart and to pick up at the next unfinished step.</w:t>
      </w:r>
    </w:p>
    <w:p>
      <w:r>
        <w:t>The pilot used the EAV repository's default per-modality epoch budgets — ten frozen plus fifteen fine-tuning epochs for AST, ten plus five for ViT, three hundred and fifty for EEGNet. The fusion module was trained for eighty epochs with the AdamW optimiser at learning rate 0.001, cosine learning-rate annealing, batch size 32, and best-test-epoch checkpointing of the logits.</w:t>
      </w:r>
    </w:p>
    <w:p>
      <w:r>
        <w:t>The pilot result was a fusion mean of 0.800 across the three subjects, with high variance (subject 1 = 0.683, subject 2 = 0.783, subject 3 = 0.933). At face value, this was 1.9 percentage points below the Day-3 naïve late-fusion baseline of 0.819, which prompted a hyperparameter-iteration discussion. In retrospect (see Section 2.6), the gap was an artefact of the Day-3 baseline being computed on the same three subjects that happened to include two relatively easy individuals; the gap vanishes when both methods are evaluated at the full 42-subject scale.</w:t>
      </w:r>
    </w:p>
    <w:p>
      <w:pPr>
        <w:pStyle w:val="Heading2"/>
      </w:pPr>
      <w:r>
        <w:t>2.4 Mid-Day-5 Project Reformulation</w:t>
      </w:r>
    </w:p>
    <w:p>
      <w:r>
        <w:t>Following completion of the three-subject pilot, the project's scope and framing were re-evaluated. The reformulation, documented in Section 1.2 of this report and recorded contemporaneously in the project's CLAUDE.md notes file, shifted the headline contribution from "we propose a fusion architecture that beats baselines" to "we characterise cross-modal affective coherence and find that EAV is a low-headroom regime for learned fusion methods." The architectural work was retained, with cross-attention fusion becoming a supporting empirical result rather than the central claim, and the suppression-matrix coherence analysis (introduced in Section 2.6) becoming the headline.</w:t>
      </w:r>
    </w:p>
    <w:p>
      <w:r>
        <w:t>The reformulation preserved every artefact and code component produced up to that point. The per-modality classifiers, the naïve-fusion baseline and the cross-attention fusion module all feed directly into the coherence-detection framework. What changed was the prose framing and the relative emphasis of the research questions in Section 1.3.</w:t>
      </w:r>
    </w:p>
    <w:p>
      <w:pPr>
        <w:pStyle w:val="Heading2"/>
      </w:pPr>
      <w:r>
        <w:t>2.5 Methodology Cleanup and Pilot Coherence Analysis</w:t>
      </w:r>
    </w:p>
    <w:p>
      <w:r>
        <w:t>Following a planned break in the project, work resumed with a deadline extension that provided a fresh nine-day execution window. The first day of the new schedule was reserved for methodology cleanup before any further computation was committed.</w:t>
      </w:r>
    </w:p>
    <w:p>
      <w:r>
        <w:t>A trial-alignment heuristic check was conducted to verify that the per-modality preprocessing did not draw from disjoint trial pools across audio, vision and EEG. The check loaded each subject's pickled splits and counted per-class trial occurrences across all three modalities; for all three pilot subjects, every modality showed exactly eighty trials per class (totalling four hundred), satisfying the necessary condition for trial alignment.</w:t>
      </w:r>
    </w:p>
    <w:p>
      <w:r>
        <w:t>The original intent of preserving the per-trial Listen-versus-Speak task tag through preprocessing was abandoned. The user no longer had the raw EAV data on disk (it had been deleted after the initial pickle generation), and re-downloading the forty-six-gigabyte dataset from Zenodo to recover the per-trial task labels was judged not worth the time. The headline coherence analysis was correspondingly redesigned to use a suppression matrix that operates on whatever trials are present, without requiring the Listen/Speak distinction. This produced a thesis-grade analysis that worked with existing data.</w:t>
      </w:r>
    </w:p>
    <w:p>
      <w:r>
        <w:t>The suppression matrix is a five-by-five contingency table. Each row corresponds to an emotion that the audio-vision consensus predicted (the externally displayed emotion), and each column corresponds to the emotion that the EEG model predicted (the internally indicated emotion). A trial contributes to the matrix if and only if three conditions are met: audio and vision both produce the same top-1 prediction (an external consensus exists); the EEG top-1 prediction differs from that consensus (a divergence is present); and the EEG model's top-1 confidence is at least 0.5 (the divergence is not the EEG model essentially guessing). The diagonal of the matrix is zero by construction; off-diagonal cells count suppression events of the corresponding external/internal pairing.</w:t>
      </w:r>
    </w:p>
    <w:p>
      <w:r>
        <w:t>The matrix was implemented in `suppression_matrix.py`. A follow-up diagnostic script, `suppression_followup.py`, was developed in parallel to address two further questions raised by the pilot: per-subject pattern robustness (whether the matrix cells are dominated by a single outlier subject) and EEG marginal-distribution comparison (whether the EEG model has a systematic bias toward predicting Neutral on uncertain trials, which would inflate the Neutral column of the matrix artefactually).</w:t>
      </w:r>
    </w:p>
    <w:p>
      <w:r>
        <w:t>Run on the three pilot subjects, the suppression matrix produced 32 suppression events from 360 trials, a base rate of 8.9 percent. The per-subject consistency analysis showed that only one cell — Calmness displayed externally with EEG predicting Neutral — was robust across all three subjects, with the others driven entirely by single subjects. The EEG marginal comparison showed Neutral inflation of +12.8 percentage points on suppression-event trials relative to the overall distribution, indicating an EEG-model bias confound that would need to be reported as a methodological caveat.</w:t>
      </w:r>
    </w:p>
    <w:p>
      <w:pPr>
        <w:pStyle w:val="Heading2"/>
      </w:pPr>
      <w:r>
        <w:t>2.6 Forty-Two-Subject Rollout and Headline Results</w:t>
      </w:r>
    </w:p>
    <w:p>
      <w:r>
        <w:t>The full forty-two-subject training rollout was executed in a single overnight session on a Google Colab Pro L4 GPU instance, with all per-modality state dictionaries, extracted features, fusion logits and CSV results persisted to the user's Google Drive. The per-modality epoch budgets were reduced from the EAV defaults — to five-plus-five for AST and three-plus-two for ViT — on the basis of Day-2 evidence that AST training accuracy reaches 100 per cent by epoch five of fine-tuning and that ViT converges within one to two epochs of fine-tuning. The EEGNet budget was retained at 350 epochs. The reduced budgets yielded approximately ten to fifteen minutes of training time per subject on the L4 GPU, completing the full rollout within approximately twelve hours.</w:t>
      </w:r>
    </w:p>
    <w:p>
      <w:r>
        <w:t>The cross-attention fusion result across all forty-two subjects is a mean test accuracy of 0.802 with a standard deviation of 0.083. Five subjects scored below 0.70 (subjects 8, 12, 14, 16 and 40); two subjects exceeded 0.95 (subjects 20 and 41). The distribution is roughly symmetric around the mean with a moderate left tail, consistent with the expected affective-computing pattern of a few intrinsically harder subjects (driven by lighting, atypical expression, idiosyncratic prosody or other individual factors) pulling the lower end of the distribution. Table 1 summarises the per-modality and fusion results.</w:t>
      </w:r>
    </w:p>
    <w:p/>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Method</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Mean (42 subj.)</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Note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Audio (AST)</w:t>
            </w:r>
          </w:p>
        </w:tc>
        <w:tc>
          <w:tcPr>
            <w:tcW w:type="dxa" w:w="2880"/>
            <w:tcBorders>
              <w:top w:val="single" w:sz="4" w:space="0" w:color="000000"/>
              <w:left w:val="single" w:sz="4" w:space="0" w:color="000000"/>
              <w:bottom w:val="single" w:sz="4" w:space="0" w:color="000000"/>
              <w:right w:val="single" w:sz="4" w:space="0" w:color="000000"/>
            </w:tcBorders>
            <w:vAlign w:val="center"/>
          </w:tcPr>
          <w:p>
            <w:r>
              <w:t>57.1%</w:t>
            </w:r>
          </w:p>
        </w:tc>
        <w:tc>
          <w:tcPr>
            <w:tcW w:type="dxa" w:w="2880"/>
            <w:tcBorders>
              <w:top w:val="single" w:sz="4" w:space="0" w:color="000000"/>
              <w:left w:val="single" w:sz="4" w:space="0" w:color="000000"/>
              <w:bottom w:val="single" w:sz="4" w:space="0" w:color="000000"/>
              <w:right w:val="single" w:sz="4" w:space="0" w:color="000000"/>
            </w:tcBorders>
            <w:vAlign w:val="center"/>
          </w:tcPr>
          <w:p>
            <w:r>
              <w:t>+20.4 pp above SCNN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Vision (ViT)</w:t>
            </w:r>
          </w:p>
        </w:tc>
        <w:tc>
          <w:tcPr>
            <w:tcW w:type="dxa" w:w="2880"/>
            <w:tcBorders>
              <w:top w:val="single" w:sz="4" w:space="0" w:color="000000"/>
              <w:left w:val="single" w:sz="4" w:space="0" w:color="000000"/>
              <w:bottom w:val="single" w:sz="4" w:space="0" w:color="000000"/>
              <w:right w:val="single" w:sz="4" w:space="0" w:color="000000"/>
            </w:tcBorders>
            <w:vAlign w:val="center"/>
          </w:tcPr>
          <w:p>
            <w:r>
              <w:t>74.6%</w:t>
            </w:r>
          </w:p>
        </w:tc>
        <w:tc>
          <w:tcPr>
            <w:tcW w:type="dxa" w:w="2880"/>
            <w:tcBorders>
              <w:top w:val="single" w:sz="4" w:space="0" w:color="000000"/>
              <w:left w:val="single" w:sz="4" w:space="0" w:color="000000"/>
              <w:bottom w:val="single" w:sz="4" w:space="0" w:color="000000"/>
              <w:right w:val="single" w:sz="4" w:space="0" w:color="000000"/>
            </w:tcBorders>
            <w:vAlign w:val="center"/>
          </w:tcPr>
          <w:p>
            <w:r>
              <w:t>+21.8 pp above DeepFace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EEG (EEGNet)</w:t>
            </w:r>
          </w:p>
        </w:tc>
        <w:tc>
          <w:tcPr>
            <w:tcW w:type="dxa" w:w="2880"/>
            <w:tcBorders>
              <w:top w:val="single" w:sz="4" w:space="0" w:color="000000"/>
              <w:left w:val="single" w:sz="4" w:space="0" w:color="000000"/>
              <w:bottom w:val="single" w:sz="4" w:space="0" w:color="000000"/>
              <w:right w:val="single" w:sz="4" w:space="0" w:color="000000"/>
            </w:tcBorders>
            <w:vAlign w:val="center"/>
          </w:tcPr>
          <w:p>
            <w:r>
              <w:t>43.9%</w:t>
            </w:r>
          </w:p>
        </w:tc>
        <w:tc>
          <w:tcPr>
            <w:tcW w:type="dxa" w:w="2880"/>
            <w:tcBorders>
              <w:top w:val="single" w:sz="4" w:space="0" w:color="000000"/>
              <w:left w:val="single" w:sz="4" w:space="0" w:color="000000"/>
              <w:bottom w:val="single" w:sz="4" w:space="0" w:color="000000"/>
              <w:right w:val="single" w:sz="4" w:space="0" w:color="000000"/>
            </w:tcBorders>
            <w:vAlign w:val="center"/>
          </w:tcPr>
          <w:p>
            <w:r>
              <w:t>+7.2 pp above EEGNet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Best single modality</w:t>
            </w:r>
          </w:p>
        </w:tc>
        <w:tc>
          <w:tcPr>
            <w:tcW w:type="dxa" w:w="2880"/>
            <w:tcBorders>
              <w:top w:val="single" w:sz="4" w:space="0" w:color="000000"/>
              <w:left w:val="single" w:sz="4" w:space="0" w:color="000000"/>
              <w:bottom w:val="single" w:sz="4" w:space="0" w:color="000000"/>
              <w:right w:val="single" w:sz="4" w:space="0" w:color="000000"/>
            </w:tcBorders>
            <w:vAlign w:val="center"/>
          </w:tcPr>
          <w:p>
            <w:r>
              <w:t>74.6%</w:t>
            </w:r>
          </w:p>
        </w:tc>
        <w:tc>
          <w:tcPr>
            <w:tcW w:type="dxa" w:w="2880"/>
            <w:tcBorders>
              <w:top w:val="single" w:sz="4" w:space="0" w:color="000000"/>
              <w:left w:val="single" w:sz="4" w:space="0" w:color="000000"/>
              <w:bottom w:val="single" w:sz="4" w:space="0" w:color="000000"/>
              <w:right w:val="single" w:sz="4" w:space="0" w:color="000000"/>
            </w:tcBorders>
            <w:vAlign w:val="center"/>
          </w:tcPr>
          <w:p>
            <w:r>
              <w:t>(vision)</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Naïve late fusion (mean-softmax)</w:t>
            </w:r>
          </w:p>
        </w:tc>
        <w:tc>
          <w:tcPr>
            <w:tcW w:type="dxa" w:w="2880"/>
            <w:tcBorders>
              <w:top w:val="single" w:sz="4" w:space="0" w:color="000000"/>
              <w:left w:val="single" w:sz="4" w:space="0" w:color="000000"/>
              <w:bottom w:val="single" w:sz="4" w:space="0" w:color="000000"/>
              <w:right w:val="single" w:sz="4" w:space="0" w:color="000000"/>
            </w:tcBorders>
            <w:vAlign w:val="center"/>
          </w:tcPr>
          <w:p>
            <w:r>
              <w:t>80.0%</w:t>
            </w:r>
          </w:p>
        </w:tc>
        <w:tc>
          <w:tcPr>
            <w:tcW w:type="dxa" w:w="2880"/>
            <w:tcBorders>
              <w:top w:val="single" w:sz="4" w:space="0" w:color="000000"/>
              <w:left w:val="single" w:sz="4" w:space="0" w:color="000000"/>
              <w:bottom w:val="single" w:sz="4" w:space="0" w:color="000000"/>
              <w:right w:val="single" w:sz="4" w:space="0" w:color="000000"/>
            </w:tcBorders>
            <w:vAlign w:val="center"/>
          </w:tcPr>
          <w:p>
            <w:r>
              <w:t>+5.4 pp over best single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Cross-attention fusion</w:t>
            </w:r>
          </w:p>
        </w:tc>
        <w:tc>
          <w:tcPr>
            <w:tcW w:type="dxa" w:w="2880"/>
            <w:tcBorders>
              <w:top w:val="single" w:sz="4" w:space="0" w:color="000000"/>
              <w:left w:val="single" w:sz="4" w:space="0" w:color="000000"/>
              <w:bottom w:val="single" w:sz="4" w:space="0" w:color="000000"/>
              <w:right w:val="single" w:sz="4" w:space="0" w:color="000000"/>
            </w:tcBorders>
            <w:vAlign w:val="center"/>
          </w:tcPr>
          <w:p>
            <w:r>
              <w:t>80.2%</w:t>
            </w:r>
          </w:p>
        </w:tc>
        <w:tc>
          <w:tcPr>
            <w:tcW w:type="dxa" w:w="2880"/>
            <w:tcBorders>
              <w:top w:val="single" w:sz="4" w:space="0" w:color="000000"/>
              <w:left w:val="single" w:sz="4" w:space="0" w:color="000000"/>
              <w:bottom w:val="single" w:sz="4" w:space="0" w:color="000000"/>
              <w:right w:val="single" w:sz="4" w:space="0" w:color="000000"/>
            </w:tcBorders>
            <w:vAlign w:val="center"/>
          </w:tcPr>
          <w:p>
            <w:r>
              <w:t>+0.2 pp vs naïve late fusion</w:t>
            </w:r>
          </w:p>
        </w:tc>
      </w:tr>
    </w:tbl>
    <w:p>
      <w:pPr>
        <w:jc w:val="center"/>
      </w:pPr>
      <w:r>
        <w:rPr>
          <w:b w:val="0"/>
          <w:i/>
          <w:sz w:val="20"/>
        </w:rPr>
        <w:t>Table 1. Forty-two-subject mean test accuracies across per-modality and fusion methods. EAV paper baselines: SCNN audio = 36.7%, DeepFace vision = 52.8%, EEGNet EEG = 36.7%.</w:t>
      </w:r>
    </w:p>
    <w:p/>
    <w:p>
      <w:r>
        <w:t>Three observations from this table merit emphasis. First, all three per-modality classifiers exceed their respective EAV-paper baselines by substantial margins, confirming that the per-modality training pipeline is functioning correctly. Second, multimodal fusion provides a 5.4 percentage-point improvement over the best single modality, indicating that the three modalities carry genuinely complementary information on this dataset. Third, learned cross-modal attention fusion and naïve softmax-averaging fusion produce statistically indistinguishable results, with cross-attention exceeding naïve by 0.2 percentage points. This is reported as a neutral architectural finding: the choice of fusion mechanism between these two alternatives is not the performance bottleneck on EAV.</w:t>
      </w:r>
    </w:p>
    <w:p>
      <w:pPr>
        <w:pStyle w:val="Heading2"/>
      </w:pPr>
      <w:r>
        <w:t>2.7 Suppression Matrix at Forty-Two Subjects</w:t>
      </w:r>
    </w:p>
    <w:p>
      <w:r>
        <w:t>The suppression matrix at forty-two-subject scale is the thesis's headline empirical contribution. The full 5040 test trials produced 2426 trials with audio-vision consensus (48.1 per cent), 1252 of which had EEG disagreement (24.8 per cent), and 401 trials passing the strict EEG-confidence ≥ 0.5 filter (8.0 per cent of all trials). The base rate of confident cross-modal incoherence is therefore approximately one in twelve test trials, a stable number across both the three-subject pilot and the full population.</w:t>
      </w:r>
    </w:p>
    <w:p>
      <w:r>
        <w:t>Table 2 reports the 5×5 matrix. Rows are external emotion (audio-vision consensus); columns are internal emotion (EEG top-1 prediction); cells are counts of suppression events.</w:t>
      </w:r>
    </w:p>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External \ Internal</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Neutral</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Sadness</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Anger</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Happiness</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Calmness</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Neutral</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5</w:t>
            </w:r>
          </w:p>
        </w:tc>
        <w:tc>
          <w:tcPr>
            <w:tcW w:type="dxa" w:w="1440"/>
            <w:tcBorders>
              <w:top w:val="single" w:sz="4" w:space="0" w:color="000000"/>
              <w:left w:val="single" w:sz="4" w:space="0" w:color="000000"/>
              <w:bottom w:val="single" w:sz="4" w:space="0" w:color="000000"/>
              <w:right w:val="single" w:sz="4" w:space="0" w:color="000000"/>
            </w:tcBorders>
            <w:vAlign w:val="center"/>
          </w:tcPr>
          <w:p>
            <w:r>
              <w:t>3</w:t>
            </w:r>
          </w:p>
        </w:tc>
        <w:tc>
          <w:tcPr>
            <w:tcW w:type="dxa" w:w="1440"/>
            <w:tcBorders>
              <w:top w:val="single" w:sz="4" w:space="0" w:color="000000"/>
              <w:left w:val="single" w:sz="4" w:space="0" w:color="000000"/>
              <w:bottom w:val="single" w:sz="4" w:space="0" w:color="000000"/>
              <w:right w:val="single" w:sz="4" w:space="0" w:color="000000"/>
            </w:tcBorders>
            <w:vAlign w:val="center"/>
          </w:tcPr>
          <w:p>
            <w:r>
              <w:t>8</w:t>
            </w:r>
          </w:p>
        </w:tc>
        <w:tc>
          <w:tcPr>
            <w:tcW w:type="dxa" w:w="1440"/>
            <w:tcBorders>
              <w:top w:val="single" w:sz="4" w:space="0" w:color="000000"/>
              <w:left w:val="single" w:sz="4" w:space="0" w:color="000000"/>
              <w:bottom w:val="single" w:sz="4" w:space="0" w:color="000000"/>
              <w:right w:val="single" w:sz="4" w:space="0" w:color="000000"/>
            </w:tcBorders>
            <w:vAlign w:val="center"/>
          </w:tcPr>
          <w:p>
            <w:r>
              <w:t>24</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Sadness</w:t>
            </w:r>
          </w:p>
        </w:tc>
        <w:tc>
          <w:tcPr>
            <w:tcW w:type="dxa" w:w="1440"/>
            <w:tcBorders>
              <w:top w:val="single" w:sz="4" w:space="0" w:color="000000"/>
              <w:left w:val="single" w:sz="4" w:space="0" w:color="000000"/>
              <w:bottom w:val="single" w:sz="4" w:space="0" w:color="000000"/>
              <w:right w:val="single" w:sz="4" w:space="0" w:color="000000"/>
            </w:tcBorders>
            <w:vAlign w:val="center"/>
          </w:tcPr>
          <w:p>
            <w:r>
              <w:t>43</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21</w:t>
            </w:r>
          </w:p>
        </w:tc>
        <w:tc>
          <w:tcPr>
            <w:tcW w:type="dxa" w:w="1440"/>
            <w:tcBorders>
              <w:top w:val="single" w:sz="4" w:space="0" w:color="000000"/>
              <w:left w:val="single" w:sz="4" w:space="0" w:color="000000"/>
              <w:bottom w:val="single" w:sz="4" w:space="0" w:color="000000"/>
              <w:right w:val="single" w:sz="4" w:space="0" w:color="000000"/>
            </w:tcBorders>
            <w:vAlign w:val="center"/>
          </w:tcPr>
          <w:p>
            <w:r>
              <w:t>12</w:t>
            </w:r>
          </w:p>
        </w:tc>
        <w:tc>
          <w:tcPr>
            <w:tcW w:type="dxa" w:w="1440"/>
            <w:tcBorders>
              <w:top w:val="single" w:sz="4" w:space="0" w:color="000000"/>
              <w:left w:val="single" w:sz="4" w:space="0" w:color="000000"/>
              <w:bottom w:val="single" w:sz="4" w:space="0" w:color="000000"/>
              <w:right w:val="single" w:sz="4" w:space="0" w:color="000000"/>
            </w:tcBorders>
            <w:vAlign w:val="center"/>
          </w:tcPr>
          <w:p>
            <w:r>
              <w:t>20</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Anger</w:t>
            </w:r>
          </w:p>
        </w:tc>
        <w:tc>
          <w:tcPr>
            <w:tcW w:type="dxa" w:w="1440"/>
            <w:tcBorders>
              <w:top w:val="single" w:sz="4" w:space="0" w:color="000000"/>
              <w:left w:val="single" w:sz="4" w:space="0" w:color="000000"/>
              <w:bottom w:val="single" w:sz="4" w:space="0" w:color="000000"/>
              <w:right w:val="single" w:sz="4" w:space="0" w:color="000000"/>
            </w:tcBorders>
            <w:vAlign w:val="center"/>
          </w:tcPr>
          <w:p>
            <w:r>
              <w:t>5</w:t>
            </w:r>
          </w:p>
        </w:tc>
        <w:tc>
          <w:tcPr>
            <w:tcW w:type="dxa" w:w="1440"/>
            <w:tcBorders>
              <w:top w:val="single" w:sz="4" w:space="0" w:color="000000"/>
              <w:left w:val="single" w:sz="4" w:space="0" w:color="000000"/>
              <w:bottom w:val="single" w:sz="4" w:space="0" w:color="000000"/>
              <w:right w:val="single" w:sz="4" w:space="0" w:color="000000"/>
            </w:tcBorders>
            <w:vAlign w:val="center"/>
          </w:tcPr>
          <w:p>
            <w:r>
              <w:t>13</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65</w:t>
            </w:r>
          </w:p>
        </w:tc>
        <w:tc>
          <w:tcPr>
            <w:tcW w:type="dxa" w:w="1440"/>
            <w:tcBorders>
              <w:top w:val="single" w:sz="4" w:space="0" w:color="000000"/>
              <w:left w:val="single" w:sz="4" w:space="0" w:color="000000"/>
              <w:bottom w:val="single" w:sz="4" w:space="0" w:color="000000"/>
              <w:right w:val="single" w:sz="4" w:space="0" w:color="000000"/>
            </w:tcBorders>
            <w:vAlign w:val="center"/>
          </w:tcPr>
          <w:p>
            <w:r>
              <w:t>10</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Happiness</w:t>
            </w:r>
          </w:p>
        </w:tc>
        <w:tc>
          <w:tcPr>
            <w:tcW w:type="dxa" w:w="1440"/>
            <w:tcBorders>
              <w:top w:val="single" w:sz="4" w:space="0" w:color="000000"/>
              <w:left w:val="single" w:sz="4" w:space="0" w:color="000000"/>
              <w:bottom w:val="single" w:sz="4" w:space="0" w:color="000000"/>
              <w:right w:val="single" w:sz="4" w:space="0" w:color="000000"/>
            </w:tcBorders>
            <w:vAlign w:val="center"/>
          </w:tcPr>
          <w:p>
            <w:r>
              <w:t>11</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52</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14</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Calmness</w:t>
            </w:r>
          </w:p>
        </w:tc>
        <w:tc>
          <w:tcPr>
            <w:tcW w:type="dxa" w:w="1440"/>
            <w:tcBorders>
              <w:top w:val="single" w:sz="4" w:space="0" w:color="000000"/>
              <w:left w:val="single" w:sz="4" w:space="0" w:color="000000"/>
              <w:bottom w:val="single" w:sz="4" w:space="0" w:color="000000"/>
              <w:right w:val="single" w:sz="4" w:space="0" w:color="000000"/>
            </w:tcBorders>
            <w:vAlign w:val="center"/>
          </w:tcPr>
          <w:p>
            <w:r>
              <w:t>40</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4</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r>
    </w:tbl>
    <w:p>
      <w:pPr>
        <w:jc w:val="center"/>
      </w:pPr>
      <w:r>
        <w:rPr>
          <w:b w:val="0"/>
          <w:i/>
          <w:sz w:val="20"/>
        </w:rPr>
        <w:t>Table 2. Suppression matrix across 42 subjects, 401 events. Diagonal is zero by construction.</w:t>
      </w:r>
    </w:p>
    <w:p/>
    <w:p>
      <w:r>
        <w:t>Three patterns are visible. The most prominent is a bidirectional Anger-Happiness confusion: 65 events of Anger displayed with EEG predicting Happiness, and 52 events of Happiness displayed with EEG predicting Anger, combining to 117 of the 401 events. The pattern is consistent with high-arousal valence confusion in the EEG signal: Anger and Happiness share many physiological correlates of elevated arousal, and the EEG model may detect arousal level correctly while mis-attributing valence. Second, directional Sadness-to-Neutral (43) and Calmness-to-Neutral (40) patterns appear, in which low-arousal emotions are displayed externally while EEG indicates a more neutral physiological baseline. Third, smaller patterns at Calmness-to-Sadness, Calmness-to-Happiness, and Happiness-to-Sadness each contribute in the range of 14 to 20 events.</w:t>
      </w:r>
    </w:p>
    <w:p>
      <w:r>
        <w:t>Per-subject decomposition confirms that these patterns are not artefacts of a single outlier subject. The Anger-to-Happiness cell contains contributions from over twenty subjects, with individual subject contributions ranging from one to eight events. The Happiness-to-Anger cell shows similar distribution across the population. The Sadness-to-Neutral cell has a single subject (subject 6) contributing fourteen events, but the remaining twenty-nine events come from fifteen other subjects, establishing the pattern as cross-population rather than subject-specific.</w:t>
      </w:r>
    </w:p>
    <w:p>
      <w:r>
        <w:t>The EEG-Neutral inflation confound identified at the three-subject pilot has disappeared at scale. The Neutral fraction of EEG predictions on suppression-event trials is 24.7 per cent, compared to 25.7 per cent on all trials — an inflation of negative 1.0 percentage points. The Neutral column of the matrix at forty-two-subject scale reflects genuine EEG signal rather than model uncertainty, removing the principal methodological caveat that had been planned for the Limitations section.</w:t>
      </w:r>
    </w:p>
    <w:p>
      <w:r>
        <w:br w:type="page"/>
      </w:r>
    </w:p>
    <w:p>
      <w:pPr>
        <w:pStyle w:val="Heading1"/>
      </w:pPr>
      <w:r>
        <w:t>3. Challenges Faced and Solutions Implemented</w:t>
      </w:r>
    </w:p>
    <w:p>
      <w:r>
        <w:t>Ten distinct technical and methodological challenges were encountered between Day 3 and the present. Each is documented below in the order in which it was diagnosed. Each entry comprises a brief statement of the symptom, a description of the underlying cause uncovered during diagnosis, and the remediation applied. All resolved issues are also recorded in the project's CLAUDE.md notes file for cross-session persistence.</w:t>
      </w:r>
    </w:p>
    <w:p>
      <w:pPr>
        <w:pStyle w:val="Heading2"/>
      </w:pPr>
      <w:r>
        <w:t>Challenge 1: Forward-hook return-value bug in EEGNet_tor.py</w:t>
      </w:r>
    </w:p>
    <w:p>
      <w:r>
        <w:rPr>
          <w:b/>
          <w:i w:val="0"/>
        </w:rPr>
        <w:t>Diagnosis.</w:t>
      </w:r>
    </w:p>
    <w:p>
      <w:r>
        <w:t>On Day 1, EEGNet training failed with the error message `RuntimeError: running_mean should contain 1 elements not 64`. The depthwise convolution and final dense layer in EEGNet carry max-norm constraints implemented as forward hooks of the form `lambda module, inputs, outputs: module.weight.data.renorm_(...)`. The `renorm_` operation is in-place but returns the modified weight tensor; the lambda implicitly propagates that tensor as its return value; PyTorch's `register_forward_hook` protocol then substitutes the returned tensor in place of the layer's output. The downstream BatchNorm received the weight tensor (shape (64, 1, 30, 1)) instead of the convolution output and crashed.</w:t>
      </w:r>
    </w:p>
    <w:p>
      <w:r>
        <w:rPr>
          <w:b/>
          <w:i w:val="0"/>
        </w:rPr>
        <w:t>Resolution.</w:t>
      </w:r>
    </w:p>
    <w:p>
      <w:r>
        <w:t>The hooks were extracted into a real (non-lambda) function `_make_max_norm_hook(norm_rate)` whose implicit return is `None`, satisfying the forward-hook protocol's no-replacement convention. The fix was applied to both the depthwise convolution and the dense layer.</w:t>
      </w:r>
    </w:p>
    <w:p>
      <w:pPr>
        <w:pStyle w:val="Heading2"/>
      </w:pPr>
      <w:r>
        <w:t>Challenge 2: Softmax-CrossEntropy double-softmax composition bug</w:t>
      </w:r>
    </w:p>
    <w:p>
      <w:r>
        <w:rPr>
          <w:b/>
          <w:i w:val="0"/>
        </w:rPr>
        <w:t>Diagnosis.</w:t>
      </w:r>
    </w:p>
    <w:p>
      <w:r>
        <w:t>The EEGNet model's `forward()` method ended with a softmax layer, while the trainer applied `nn.CrossEntropyLoss` on the result. CrossEntropyLoss is implemented as a numerically-stable fused log-softmax-plus-negative-log-likelihood operation that expects raw logits. Feeding it softmax probabilities causes the gradient to vanish as soon as any class becomes mildly confident, with the model essentially failing to train. The Day-1 smoke test produced EEG accuracy at chance level (24.4 per cent across three subjects).</w:t>
      </w:r>
    </w:p>
    <w:p>
      <w:r>
        <w:rPr>
          <w:b/>
          <w:i w:val="0"/>
        </w:rPr>
        <w:t>Resolution.</w:t>
      </w:r>
    </w:p>
    <w:p>
      <w:r>
        <w:t>The trailing softmax was removed from `EEGNet_tor.forward()` and the `nn.Softmax` instance was removed from `__init__`. The fix produced a one-to-two-percentage-point improvement on a controlled fifty-epoch sanity test, which was smaller than expected and prompted further investigation that uncovered the next bug.</w:t>
      </w:r>
    </w:p>
    <w:p>
      <w:pPr>
        <w:pStyle w:val="Heading2"/>
      </w:pPr>
      <w:r>
        <w:t>Challenge 3: Trainer_uni train/eval mode bug</w:t>
      </w:r>
    </w:p>
    <w:p>
      <w:r>
        <w:rPr>
          <w:b/>
          <w:i w:val="0"/>
        </w:rPr>
        <w:t>Diagnosis.</w:t>
      </w:r>
    </w:p>
    <w:p>
      <w:r>
        <w:t>Inspection of `Trainer_uni.train()` in the EAV repository revealed that `self.model.train()` was called exactly once, before the outer epoch loop. Inside the loop, `self.validate()` is called at the end of each epoch, which sets `self.model.eval()`. From epoch two onwards, therefore, training proceeded with BatchNorm layers in evaluation mode (using frozen running statistics) and Dropout disabled. Both effects impair training, and in combination they explain a model that learns slowly and never reaches its capacity.</w:t>
      </w:r>
    </w:p>
    <w:p>
      <w:r>
        <w:rPr>
          <w:b/>
          <w:i w:val="0"/>
        </w:rPr>
        <w:t>Resolution.</w:t>
      </w:r>
    </w:p>
    <w:p>
      <w:r>
        <w:t>The call to `self.model.train()` was relocated to the top of the epoch loop. A controlled fifty-epoch sanity test produced a six-percentage-point improvement in EEG accuracy (0.317 → 0.375), and the full three-hundred-and-fifty-epoch training schedule across three subjects produced a mean EEG accuracy of 0.506, an improvement of over twenty-six percentage points above the Day-1 smoke test.</w:t>
      </w:r>
    </w:p>
    <w:p>
      <w:pPr>
        <w:pStyle w:val="Heading2"/>
      </w:pPr>
      <w:r>
        <w:t>Challenge 4: Cross-attention fusion underperformed naïve fusion on the three-subject pilot</w:t>
      </w:r>
    </w:p>
    <w:p>
      <w:r>
        <w:rPr>
          <w:b/>
          <w:i w:val="0"/>
        </w:rPr>
        <w:t>Diagnosis.</w:t>
      </w:r>
    </w:p>
    <w:p>
      <w:r>
        <w:t>The Day-5 three-subject cross-attention fusion mean of 0.800 was 1.9 percentage points below the Day-3 naïve late-fusion baseline of 0.819 on the same three subjects. The deficit prompted a hyperparameter-iteration discussion in which three configurations were proposed for testing: stronger regularisation, smaller model size, and a concat-then-MLP sanity-check baseline.</w:t>
      </w:r>
    </w:p>
    <w:p>
      <w:r>
        <w:rPr>
          <w:b/>
          <w:i w:val="0"/>
        </w:rPr>
        <w:t>Resolution.</w:t>
      </w:r>
    </w:p>
    <w:p>
      <w:r>
        <w:t>Before the iteration was executed, the project moved to the forty-two-subject rollout. The full-scale result (cross-attention mean 0.802, naïve late-fusion mean 0.800) showed that the deficit was an artefact of the three-subject comparison's small sample size, in which two of the three pilot subjects happened to be relatively easy. At forty-two subjects, the two methods are statistically tied. No further hyperparameter iteration was necessary.</w:t>
      </w:r>
    </w:p>
    <w:p>
      <w:pPr>
        <w:pStyle w:val="Heading2"/>
      </w:pPr>
      <w:r>
        <w:t>Challenge 5: Project pivot away from in-the-wild continuous emotion tracking</w:t>
      </w:r>
    </w:p>
    <w:p>
      <w:r>
        <w:rPr>
          <w:b/>
          <w:i w:val="0"/>
        </w:rPr>
        <w:t>Diagnosis.</w:t>
      </w:r>
    </w:p>
    <w:p>
      <w:r>
        <w:t>Mid-Day-5, it became apparent that the originally-envisioned ultimate application — continuous per-second emotion tracking on in-the-wild audiovisual content — was incompatible with the EEG modality. Any EAV-trained system applied to movie content would be making predictions in a regime fundamentally different from the training distribution. The thesis as initially framed ("reproduce Lee et al. on EAV") was a methodology study without a clear application story, and the application story ("continuous in-the-wild tracking") could not be honestly delivered in the available time.</w:t>
      </w:r>
    </w:p>
    <w:p>
      <w:r>
        <w:rPr>
          <w:b/>
          <w:i w:val="0"/>
        </w:rPr>
        <w:t>Resolution.</w:t>
      </w:r>
    </w:p>
    <w:p>
      <w:r>
        <w:t>The thesis was reformulated to a different research question: cross-modal affective coherence detection. The new framing treats cross-modal divergence as a signal in its own right rather than as something to overcome via fusion. All existing code components (per-modality classifiers, fusion module, naïve fusion baseline) were retained; what changed was the headline contribution and the emphasis of the research questions. Phase 2 future work was explicitly carved out for in-the-wild continuous tracking with a temporally-annotated in-the-wild dataset.</w:t>
      </w:r>
    </w:p>
    <w:p>
      <w:pPr>
        <w:pStyle w:val="Heading2"/>
      </w:pPr>
      <w:r>
        <w:t>Challenge 6: Raw EAV data not available for re-preprocessing</w:t>
      </w:r>
    </w:p>
    <w:p>
      <w:r>
        <w:rPr>
          <w:b/>
          <w:i w:val="0"/>
        </w:rPr>
        <w:t>Diagnosis.</w:t>
      </w:r>
    </w:p>
    <w:p>
      <w:r>
        <w:t>Following a planned break in the project, work resumed with the intent of modifying the EAV preprocessing pipeline to preserve per-trial task tags (Listen versus Speak) for use in the coherence analysis. The raw EAV data — approximately forty-six gigabytes downloaded from Zenodo — had been deleted from the user's local disk after the initial pickle generation, and re-downloading was judged not worth the time cost given the approaching deadline.</w:t>
      </w:r>
    </w:p>
    <w:p>
      <w:r>
        <w:rPr>
          <w:b/>
          <w:i w:val="0"/>
        </w:rPr>
        <w:t>Resolution.</w:t>
      </w:r>
    </w:p>
    <w:p>
      <w:r>
        <w:t>The Listen-versus-Speak coherence analysis was dropped as a headline contribution. The suppression-matrix analysis, which does not require task tags, was promoted to the headline. The decision was recorded explicitly in the project's master plan document, with a note that future work on a clinical or task-aware corpus would naturally re-introduce the Listen-versus-Speak comparison.</w:t>
      </w:r>
    </w:p>
    <w:p>
      <w:pPr>
        <w:pStyle w:val="Heading2"/>
      </w:pPr>
      <w:r>
        <w:t>Challenge 7: Environment-variable propagation between PyCharm run configurations and the Python Console</w:t>
      </w:r>
    </w:p>
    <w:p>
      <w:r>
        <w:rPr>
          <w:b/>
          <w:i w:val="0"/>
        </w:rPr>
        <w:t>Diagnosis.</w:t>
      </w:r>
    </w:p>
    <w:p>
      <w:r>
        <w:t>When the workflow moved to a remote 4080 PC (accessed via AnyDesk) and PyCharm, environment variables set in a Run Configuration were found not to propagate to the Python Console or Terminal tabs within PyCharm. Tests of the path-resolution module produced incorrect Mac-default paths even with the run configuration apparently set correctly. The same paths.py module additionally suffered from Python's import-cache behaviour: once imported, the module's resolved paths were frozen for the session even if the environment variables were subsequently changed.</w:t>
      </w:r>
    </w:p>
    <w:p>
      <w:r>
        <w:rPr>
          <w:b/>
          <w:i w:val="0"/>
        </w:rPr>
        <w:t>Resolution.</w:t>
      </w:r>
    </w:p>
    <w:p>
      <w:r>
        <w:t>Two complementary fixes were applied. First, the `paths.py` module was hardened to auto-detect the Google Colab runtime environment and default to Drive-mounted paths when running in Colab, removing the requirement to set environment variables before every session. Second, a documented "rebind" cell was added to the workflow for cases where the module had already been imported under stale environment variables; it evicts the `paths` module from `sys.modules` so that the next import re-reads from the environment. The first fix is the durable improvement; the second is a session-level recovery mechanism.</w:t>
      </w:r>
    </w:p>
    <w:p>
      <w:pPr>
        <w:pStyle w:val="Heading2"/>
      </w:pPr>
      <w:r>
        <w:t>Challenge 8: Per-modality test logits not saved during the forty-two-subject Day-5 rollout</w:t>
      </w:r>
    </w:p>
    <w:p>
      <w:r>
        <w:rPr>
          <w:b/>
          <w:i w:val="0"/>
        </w:rPr>
        <w:t>Diagnosis.</w:t>
      </w:r>
    </w:p>
    <w:p>
      <w:r>
        <w:t>The Day-5 pipeline persisted three artefacts per subject: per-modality model state dictionaries, pre-classifier feature vectors, and fused logits from the cross-attention model. It did not save per-modality (post-classifier-head) logits. The naïve-late-fusion baseline and the suppression matrix both require per-modality softmax outputs; without these, neither comparison could be computed at forty-two-subject scale.</w:t>
      </w:r>
    </w:p>
    <w:p>
      <w:r>
        <w:rPr>
          <w:b/>
          <w:i w:val="0"/>
        </w:rPr>
        <w:t>Resolution.</w:t>
      </w:r>
    </w:p>
    <w:p>
      <w:r>
        <w:t>A small post-hoc inference script, `compute_per_modality_logits.py`, was written. For each of the forty-two subjects, it loads the trained state dictionaries, instantiates the corresponding model, runs inference on the test set, and saves per-modality logits to a new directory `day5_per_modality_logits/`. The operation completed in approximately twenty minutes on Colab L4. The two consumer scripts (`day3_late_fusion.py` and `suppression_matrix.py`) were patched to read from the new directory via a configurable environment variable, leaving the original three-subject pilot files in `day2_logits/` untouched.</w:t>
      </w:r>
    </w:p>
    <w:p>
      <w:pPr>
        <w:pStyle w:val="Heading2"/>
      </w:pPr>
      <w:r>
        <w:t>Challenge 9: EEG-Neutral inflation confound at the three-subject pilot scale</w:t>
      </w:r>
    </w:p>
    <w:p>
      <w:r>
        <w:rPr>
          <w:b/>
          <w:i w:val="0"/>
        </w:rPr>
        <w:t>Diagnosis.</w:t>
      </w:r>
    </w:p>
    <w:p>
      <w:r>
        <w:t>At three-subject scale, the suppression matrix's Neutral column showed a count of 13 events, the highest of any column. The EEG marginal-distribution comparison developed in the follow-up analysis revealed that Neutral was disproportionately predicted by the EEG model on suppression-event trials versus the overall distribution — an inflation of 12.8 percentage points. This raised a methodological concern that the EEG model was defaulting to Neutral on uncertain trials, inflating the matrix's Neutral column artefactually.</w:t>
      </w:r>
    </w:p>
    <w:p>
      <w:r>
        <w:rPr>
          <w:b/>
          <w:i w:val="0"/>
        </w:rPr>
        <w:t>Resolution.</w:t>
      </w:r>
    </w:p>
    <w:p>
      <w:r>
        <w:t>At forty-two-subject scale, the same comparison was repeated. The Neutral inflation on suppression-event trials is now negative 1.0 percentage points, indicating no meaningful bias. The artefact identified in the pilot was a small-sample phenomenon that disappeared at full scale, removing the principal methodological caveat that had been planned for the Limitations section.</w:t>
      </w:r>
    </w:p>
    <w:p>
      <w:r>
        <w:br w:type="page"/>
      </w:r>
    </w:p>
    <w:p>
      <w:pPr>
        <w:pStyle w:val="Heading1"/>
      </w:pPr>
      <w:r>
        <w:t>4. Remaining Work and Future Roadmap</w:t>
      </w:r>
    </w:p>
    <w:p>
      <w:pPr>
        <w:pStyle w:val="Heading2"/>
      </w:pPr>
      <w:r>
        <w:t>4.1 Immediate Remaining Workstreams</w:t>
      </w:r>
    </w:p>
    <w:p>
      <w:r>
        <w:t>Four workstreams remain between the current state of the project and the deadline. Each is described below with its expected scope, output, and approximate compute budget.</w:t>
      </w:r>
    </w:p>
    <w:p>
      <w:pPr>
        <w:pStyle w:val="Heading3"/>
      </w:pPr>
      <w:r>
        <w:t>4.1.1 Modality-Dropout Training</w:t>
      </w:r>
    </w:p>
    <w:p>
      <w:r>
        <w:t>The fusion module is currently trained on full-modality examples and therefore does not yet handle missing modalities with sensible behaviour at inference time. The softhard modality-dropout scheme of Chumachenko, Iosifidis and Gabbouj (ICPR, 2022) will be adapted to the trimodal case: each training batch will be expanded into four sub-batches (full-modality; audio-only with vision and EEG zeroed; vision-only with audio and EEG zeroed; audio-plus-vision with EEG zeroed) with the appropriate labels replicated. The fusion module is then retrained on cached features, requiring no additional per-modality training. Compute estimate: approximately one hour on Colab L4.</w:t>
      </w:r>
    </w:p>
    <w:p>
      <w:r>
        <w:t>The resulting model is evaluated under multiple inference conditions, with the headline robustness number being the zero-EEG accuracy across all forty-two subjects. This number is what the demo will run on (since EEG is unavailable in any in-the-wild deployment scenario) and is also the principal robustness claim of the thesis.</w:t>
      </w:r>
    </w:p>
    <w:p>
      <w:pPr>
        <w:pStyle w:val="Heading3"/>
      </w:pPr>
      <w:r>
        <w:t>4.1.2 Subject-Independent Evaluation</w:t>
      </w:r>
    </w:p>
    <w:p>
      <w:r>
        <w:t>All accuracies reported in this document are within-subject: the training and test sets come from the same individual. Subject-independent evaluation is the standard credibility check in affective computing, and is essential for any generalisation claim. Two options are available: full leave-one-subject-out (LOSO), which trains forty-two separate models, and five-fold cross-subject, which trains five. The former is compute-prohibitive on the remaining schedule; the latter is feasible. The five-fold variant is therefore the planned approach. Compute estimate: approximately five hours on Colab L4 for the fusion-module retraining only, using cached features.</w:t>
      </w:r>
    </w:p>
    <w:p>
      <w:pPr>
        <w:pStyle w:val="Heading3"/>
      </w:pPr>
      <w:r>
        <w:t>4.1.3 Demonstration</w:t>
      </w:r>
    </w:p>
    <w:p>
      <w:r>
        <w:t>A file-based demonstration is the planned defence-day artefact. The input is a personal recorded video clip of twenty to thirty seconds with synchronous audio. The output is a copy of the video with two overlays rendered on top: a per-segment predicted emotion label with confidence, and a per-segment coherence indicator that flashes red when the system's audio-vision and EEG-equivalent (here zeroed) predictions diverge. The implementation uses OpenCV for frame-level overlay and FFmpeg for re-attaching the original audio track. Two small scripts (`demo_inference.py` and `demo_overlay.py`) will be written for this purpose. Estimated implementation time: approximately one full day.</w:t>
      </w:r>
    </w:p>
    <w:p>
      <w:pPr>
        <w:pStyle w:val="Heading3"/>
      </w:pPr>
      <w:r>
        <w:t>4.1.4 Thesis Writing</w:t>
      </w:r>
    </w:p>
    <w:p>
      <w:r>
        <w:t>The thesis manuscript and the defence slide deck are the final deliverables. The manuscript follows the standard format — Introduction, Related Work, Methods, Experiments, Results, Discussion, Limitations, Future Work, Conclusion — with the Limitations section explicitly acknowledging that the coherence methodology is validated behaviourally but not clinically, and that in-the-wild evaluation is Phase 2 future work. The slide deck structures the defence around the five research questions stated in Section 1.3. Estimated writing time: approximately two to three full days.</w:t>
      </w:r>
    </w:p>
    <w:p>
      <w:pPr>
        <w:pStyle w:val="Heading2"/>
      </w:pPr>
      <w:r>
        <w:t>4.2 Schedule for the Remaining Window</w:t>
      </w:r>
    </w:p>
    <w:p>
      <w:r>
        <w:t>The remaining workstreams are sequenced across the days between today and the deadline of June 9, 2026. Table 3 summarises the plan.</w:t>
      </w:r>
    </w:p>
    <w:p/>
    <w:tbl>
      <w:tblPr>
        <w:tblW w:type="auto" w:w="0"/>
        <w:jc w:val="center"/>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Date</w:t>
            </w:r>
          </w:p>
        </w:tc>
        <w:tc>
          <w:tcPr>
            <w:tcW w:type="dxa" w:w="432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Principal Goal</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2</w:t>
            </w:r>
          </w:p>
        </w:tc>
        <w:tc>
          <w:tcPr>
            <w:tcW w:type="dxa" w:w="4320"/>
            <w:tcBorders>
              <w:top w:val="single" w:sz="4" w:space="0" w:color="000000"/>
              <w:left w:val="single" w:sz="4" w:space="0" w:color="000000"/>
              <w:bottom w:val="single" w:sz="4" w:space="0" w:color="000000"/>
              <w:right w:val="single" w:sz="4" w:space="0" w:color="000000"/>
            </w:tcBorders>
            <w:vAlign w:val="center"/>
          </w:tcPr>
          <w:p>
            <w:r>
              <w:t>Modality-dropout training; zero-EEG robustness evaluation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3</w:t>
            </w:r>
          </w:p>
        </w:tc>
        <w:tc>
          <w:tcPr>
            <w:tcW w:type="dxa" w:w="4320"/>
            <w:tcBorders>
              <w:top w:val="single" w:sz="4" w:space="0" w:color="000000"/>
              <w:left w:val="single" w:sz="4" w:space="0" w:color="000000"/>
              <w:bottom w:val="single" w:sz="4" w:space="0" w:color="000000"/>
              <w:right w:val="single" w:sz="4" w:space="0" w:color="000000"/>
            </w:tcBorders>
            <w:vAlign w:val="center"/>
          </w:tcPr>
          <w:p>
            <w:r>
              <w:t>Five-fold subject-independent evaluation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4</w:t>
            </w:r>
          </w:p>
        </w:tc>
        <w:tc>
          <w:tcPr>
            <w:tcW w:type="dxa" w:w="4320"/>
            <w:tcBorders>
              <w:top w:val="single" w:sz="4" w:space="0" w:color="000000"/>
              <w:left w:val="single" w:sz="4" w:space="0" w:color="000000"/>
              <w:bottom w:val="single" w:sz="4" w:space="0" w:color="000000"/>
              <w:right w:val="single" w:sz="4" w:space="0" w:color="000000"/>
            </w:tcBorders>
            <w:vAlign w:val="center"/>
          </w:tcPr>
          <w:p>
            <w:r>
              <w:t>Demo construction; personal video recording</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5</w:t>
            </w:r>
          </w:p>
        </w:tc>
        <w:tc>
          <w:tcPr>
            <w:tcW w:type="dxa" w:w="4320"/>
            <w:tcBorders>
              <w:top w:val="single" w:sz="4" w:space="0" w:color="000000"/>
              <w:left w:val="single" w:sz="4" w:space="0" w:color="000000"/>
              <w:bottom w:val="single" w:sz="4" w:space="0" w:color="000000"/>
              <w:right w:val="single" w:sz="4" w:space="0" w:color="000000"/>
            </w:tcBorders>
            <w:vAlign w:val="center"/>
          </w:tcPr>
          <w:p>
            <w:r>
              <w:t>Thesis writing — Methods, Experiments and Results chapters</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6</w:t>
            </w:r>
          </w:p>
        </w:tc>
        <w:tc>
          <w:tcPr>
            <w:tcW w:type="dxa" w:w="4320"/>
            <w:tcBorders>
              <w:top w:val="single" w:sz="4" w:space="0" w:color="000000"/>
              <w:left w:val="single" w:sz="4" w:space="0" w:color="000000"/>
              <w:bottom w:val="single" w:sz="4" w:space="0" w:color="000000"/>
              <w:right w:val="single" w:sz="4" w:space="0" w:color="000000"/>
            </w:tcBorders>
            <w:vAlign w:val="center"/>
          </w:tcPr>
          <w:p>
            <w:r>
              <w:t>Thesis writing — Discussion, Limitations and Conclusion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7</w:t>
            </w:r>
          </w:p>
        </w:tc>
        <w:tc>
          <w:tcPr>
            <w:tcW w:type="dxa" w:w="4320"/>
            <w:tcBorders>
              <w:top w:val="single" w:sz="4" w:space="0" w:color="000000"/>
              <w:left w:val="single" w:sz="4" w:space="0" w:color="000000"/>
              <w:bottom w:val="single" w:sz="4" w:space="0" w:color="000000"/>
              <w:right w:val="single" w:sz="4" w:space="0" w:color="000000"/>
            </w:tcBorders>
            <w:vAlign w:val="center"/>
          </w:tcPr>
          <w:p>
            <w:r>
              <w:t>Defence slide deck</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8</w:t>
            </w:r>
          </w:p>
        </w:tc>
        <w:tc>
          <w:tcPr>
            <w:tcW w:type="dxa" w:w="4320"/>
            <w:tcBorders>
              <w:top w:val="single" w:sz="4" w:space="0" w:color="000000"/>
              <w:left w:val="single" w:sz="4" w:space="0" w:color="000000"/>
              <w:bottom w:val="single" w:sz="4" w:space="0" w:color="000000"/>
              <w:right w:val="single" w:sz="4" w:space="0" w:color="000000"/>
            </w:tcBorders>
            <w:vAlign w:val="center"/>
          </w:tcPr>
          <w:p>
            <w:r>
              <w:t>Final manuscript pass; submission preparation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9</w:t>
            </w:r>
          </w:p>
        </w:tc>
        <w:tc>
          <w:tcPr>
            <w:tcW w:type="dxa" w:w="4320"/>
            <w:tcBorders>
              <w:top w:val="single" w:sz="4" w:space="0" w:color="000000"/>
              <w:left w:val="single" w:sz="4" w:space="0" w:color="000000"/>
              <w:bottom w:val="single" w:sz="4" w:space="0" w:color="000000"/>
              <w:right w:val="single" w:sz="4" w:space="0" w:color="000000"/>
            </w:tcBorders>
            <w:vAlign w:val="center"/>
          </w:tcPr>
          <w:p>
            <w:r>
              <w:t>Final submission</w:t>
            </w:r>
          </w:p>
        </w:tc>
      </w:tr>
    </w:tbl>
    <w:p>
      <w:pPr>
        <w:jc w:val="center"/>
      </w:pPr>
      <w:r>
        <w:rPr>
          <w:b w:val="0"/>
          <w:i/>
          <w:sz w:val="20"/>
        </w:rPr>
        <w:t>Table 3. Schedule for the remaining work window, June 2 through June 9, 2026.</w:t>
      </w:r>
    </w:p>
    <w:p/>
    <w:p>
      <w:pPr>
        <w:pStyle w:val="Heading2"/>
      </w:pPr>
      <w:r>
        <w:t>4.3 Phase 2 Future Work (Out of Scope)</w:t>
      </w:r>
    </w:p>
    <w:p>
      <w:r>
        <w:t>The thesis explicitly carves out three workstreams as Phase 2 future work, beyond the scope of the present submission. Acknowledging these in the manuscript permits the thesis to make a tightly-scoped claim about EAV without inviting reviewer questions about generalisation beyond it.</w:t>
      </w:r>
    </w:p>
    <w:p>
      <w:r>
        <w:t>First, clinical validation. The suppression-matrix methodology developed in this thesis identifies patterns of cross-modal incoherence in a healthy laboratory population. The clinical interest of these patterns — whether subjects with depression, alexithymia, post-traumatic stress disorder, or autism spectrum conditions show systematically different coherence patterns — requires a labelled clinical population that the present thesis does not have. Phase 2 work would deploy the same methodology against such a population to test whether coherence scores discriminate diagnostic groups.</w:t>
      </w:r>
    </w:p>
    <w:p>
      <w:r>
        <w:t>Second, in-the-wild deployment. The model architecture has been designed with explicit hooks (per-modality embeddings as named outputs of the fusion forward pass; zero-EEG inference path) that support a future temporal head consuming continuous video. Realising this requires a temporally-annotated in-the-wild audiovisual dataset (DFEW, MAFW, or a custom collection) and the addition of a sequence-to-sequence temporal model (LSTM, Residual-TCN, or temporal transformer) on top of the existing frozen per-modality encoders. The architectural decisions made during the present thesis make this extension a localised change rather than a rewrite.</w:t>
      </w:r>
    </w:p>
    <w:p>
      <w:r>
        <w:t>Third, MERCL contrastive pre-training. The supervised contrastive losses of Lee, Kim and Kim (2024) — Intra-Modal Contrastive Learning (AMCL), Inter-Modal Contrastive Learning (EMCL) and Sample-wise Multimodal Alignment Contrastive Learning (SMCL) — are theoretically attractive but were dropped from the present thesis under schedule pressure. Their re-introduction in Phase 2 would test whether contrastive pre-training of the per-modality encoders, before fine-tuning the fusion head, materially improves either classification or coherence-detection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