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i w:val="0"/>
          <w:sz w:val="48"/>
        </w:rPr>
        <w:t>Multimodal Emotion Recognition Using Audio, Video and EEG Signals</w:t>
      </w:r>
    </w:p>
    <w:p>
      <w:pPr>
        <w:jc w:val="center"/>
      </w:pPr>
      <w:r>
        <w:rPr>
          <w:b w:val="0"/>
          <w:i/>
          <w:sz w:val="28"/>
        </w:rPr>
        <w:t>A Reproduction and Extension of the MERCL + Cross-Modal Attention Framework on the EAV Dataset</w:t>
      </w:r>
    </w:p>
    <w:p/>
    <w:p/>
    <w:p/>
    <w:p/>
    <w:p/>
    <w:p/>
    <w:p>
      <w:pPr>
        <w:jc w:val="center"/>
      </w:pPr>
      <w:r>
        <w:rPr>
          <w:b/>
          <w:i w:val="0"/>
          <w:sz w:val="24"/>
        </w:rPr>
        <w:t>Author</w:t>
      </w:r>
    </w:p>
    <w:p>
      <w:pPr>
        <w:jc w:val="center"/>
      </w:pPr>
      <w:r>
        <w:rPr>
          <w:b w:val="0"/>
          <w:i w:val="0"/>
          <w:sz w:val="24"/>
        </w:rPr>
        <w:t>Shafin</w:t>
      </w:r>
    </w:p>
    <w:p/>
    <w:p>
      <w:pPr>
        <w:jc w:val="center"/>
      </w:pPr>
      <w:r>
        <w:rPr>
          <w:b/>
          <w:i w:val="0"/>
          <w:sz w:val="24"/>
        </w:rPr>
        <w:t>Institution</w:t>
      </w:r>
    </w:p>
    <w:p>
      <w:pPr>
        <w:jc w:val="center"/>
      </w:pPr>
      <w:r>
        <w:rPr>
          <w:b w:val="0"/>
          <w:i w:val="0"/>
          <w:sz w:val="24"/>
        </w:rPr>
        <w:t>[Institution name — to be filled in]</w:t>
      </w:r>
    </w:p>
    <w:p/>
    <w:p>
      <w:pPr>
        <w:jc w:val="center"/>
      </w:pPr>
      <w:r>
        <w:rPr>
          <w:b/>
          <w:i w:val="0"/>
          <w:sz w:val="24"/>
        </w:rPr>
        <w:t>Date</w:t>
      </w:r>
    </w:p>
    <w:p>
      <w:pPr>
        <w:jc w:val="center"/>
      </w:pPr>
      <w:r>
        <w:rPr>
          <w:b w:val="0"/>
          <w:i w:val="0"/>
          <w:sz w:val="24"/>
        </w:rPr>
        <w:t>May 19, 2026</w:t>
      </w:r>
    </w:p>
    <w:p>
      <w:r>
        <w:br w:type="page"/>
      </w:r>
    </w:p>
    <w:p>
      <w:pPr>
        <w:jc w:val="left"/>
      </w:pPr>
      <w:r>
        <w:rPr>
          <w:b/>
          <w:i w:val="0"/>
          <w:sz w:val="36"/>
        </w:rPr>
        <w:t>Table of Contents</w:t>
      </w:r>
    </w:p>
    <w:p/>
    <w:p>
      <w:r>
        <w:fldChar w:fldCharType="begin"/>
        <w:instrText xml:space="preserve">TOC \o "1-2" \h \z \u</w:instrText>
        <w:fldChar w:fldCharType="separate"/>
        <w:t>Right-click here and choose “Update Field” to populate the table of contents.</w:t>
        <w:fldChar w:fldCharType="end"/>
      </w:r>
    </w:p>
    <w:p>
      <w:r>
        <w:br w:type="page"/>
      </w:r>
    </w:p>
    <w:p>
      <w:pPr>
        <w:pStyle w:val="Heading1"/>
      </w:pPr>
      <w:r>
        <w:t>1. Project Overview</w:t>
      </w:r>
    </w:p>
    <w:p>
      <w:pPr>
        <w:pStyle w:val="Heading2"/>
      </w:pPr>
      <w:r>
        <w:t>1.1 Research Problem and Motivation</w:t>
      </w:r>
    </w:p>
    <w:p>
      <w:r>
        <w:t>Automatic emotion recognition is increasingly central to applications in human–computer interaction, affective computing, clinical monitoring, personalised education, and intelligent content recommendation. Conventional approaches typically rely on a single modality such as facial expression analysis, speech prosody, or physiological signals. Each of these modalities, considered in isolation, offers only a partial view of the underlying emotional state. Facial expressions can be occluded, voluntarily suppressed, or culturally modulated; speech signals can be degraded by background noise or by the speaker’s linguistic habits; physiological signals can be noisy and exhibit considerable inter-subject variability. As a consequence, single-modality systems are known to suffer in real-world conditions and tend to generalise poorly across speakers, scenes, and devices.</w:t>
      </w:r>
    </w:p>
    <w:p>
      <w:r>
        <w:t>Multimodal emotion recognition addresses these limitations by integrating complementary streams of information. Behavioural modalities such as facial video and speech audio capture how an emotion is externally expressed, while physiological modalities such as electroencephalography (EEG) capture the internal, often involuntary, response of the autonomic nervous system. A trimodal system that jointly leverages audio, video and EEG therefore promises both robustness against modality-specific degradation and access to internal affective signals that are not visible on the surface. The research problem addressed in this thesis is the design and evaluation of such a trimodal system on a realistic, conversational dataset, and the systematic study of how cross-modal interaction influences classification performance.</w:t>
      </w:r>
    </w:p>
    <w:p>
      <w:pPr>
        <w:pStyle w:val="Heading2"/>
      </w:pPr>
      <w:r>
        <w:t>1.2 Research Goals and Objectives</w:t>
      </w:r>
    </w:p>
    <w:p>
      <w:r>
        <w:t>The primary objective of this thesis is to design, implement and evaluate a trimodal emotion recognition framework that combines audio, video and EEG signals via a cross-modal attention fusion mechanism, evaluated on the EEG-Audio-Video (EAV) dataset published by Lee, Shomanov, Kabidenova and Yazici in Scientific Data, 2024. In particular, the work seeks to reproduce and adapt the methodology of Lee, Kim and Kim (Bioengineering, 2024), which combines supervised contrastive learning across modalities (MERCL) with pairwise cross-modal attention (CMA), and to evaluate this methodology on the EAV benchmark, on which it has not previously been reported.</w:t>
      </w:r>
    </w:p>
    <w:p>
      <w:r>
        <w:t>The secondary objectives are as follows:</w:t>
      </w:r>
    </w:p>
    <w:p>
      <w:pPr>
        <w:pStyle w:val="ListBullet"/>
      </w:pPr>
      <w:r>
        <w:t>Establish strong per-modality baselines on the EAV dataset using the encoders shipped in the official nubcico/EAV repository (Audio Spectrogram Transformer for audio, Vision Transformer for video, and EEGNet for EEG).</w:t>
      </w:r>
    </w:p>
    <w:p>
      <w:pPr>
        <w:pStyle w:val="ListBullet"/>
      </w:pPr>
      <w:r>
        <w:t>Implement a trimodal cross-attention fusion module that processes the three modality streams jointly and produces a single emotion prediction.</w:t>
      </w:r>
    </w:p>
    <w:p>
      <w:pPr>
        <w:pStyle w:val="ListBullet"/>
      </w:pPr>
      <w:r>
        <w:t>Investigate the robustness of the proposed system under modality dropout, in order to characterise its behaviour when one of the three modalities is missing or corrupted at inference time.</w:t>
      </w:r>
    </w:p>
    <w:p>
      <w:pPr>
        <w:pStyle w:val="ListBullet"/>
      </w:pPr>
      <w:r>
        <w:t>Where time permits, integrate the MERCL supervised contrastive pre-training stage and study its marginal contribution above and beyond cross-modal attention alone.</w:t>
      </w:r>
    </w:p>
    <w:p>
      <w:pPr>
        <w:pStyle w:val="ListBullet"/>
      </w:pPr>
      <w:r>
        <w:t>Maintain a reproducible workflow throughout, with explicit version control, deterministic data splits, and per-subject results that can be re-evaluated in a subject-independent (leave-one-subject-out) manner.</w:t>
      </w:r>
    </w:p>
    <w:p>
      <w:pPr>
        <w:pStyle w:val="Heading2"/>
      </w:pPr>
      <w:r>
        <w:t>1.3 Proposed Approach and Methodology</w:t>
      </w:r>
    </w:p>
    <w:p>
      <w:r>
        <w:t>The proposed approach is structured in three layers. The first layer comprises modality-specific encoders that map each raw signal to a fixed-length feature representation: the Audio Spectrogram Transformer (AST) pre-trained on AudioSet for the audio modality, a Vision Transformer (ViT) pre-trained on a facial-emotion dataset for the video modality, and an EEGNet model trained from scratch on EAV for the EEG modality. The second layer is a fusion module that ingests these three streams and produces a joint representation; in this thesis, fusion will progress in stages from naïve late fusion (averaging of softmax probabilities) to a trimodal cross-modal attention scheme inspired by Lee et al. (2024) and Chumachenko et al. (ICPR 2022). The third layer is a small classifier head that maps the joint representation to the five emotion categories of the EAV dataset. If time permits, the encoders will additionally be pre-trained with a MERCL-style supervised contrastive loss before the fusion module is fine-tuned with cross-entropy.</w:t>
      </w:r>
    </w:p>
    <w:p>
      <w:r>
        <w:t>The methodology is explicitly incremental. Each stage produces a working system that can be evaluated against the previous stage, so that the marginal contribution of each architectural decision is measurable. This is critical given the limited time budget: even if the more ambitious MERCL stage is not completed, a credible thesis contribution remains available from the cross-attention fusion alone.</w:t>
      </w:r>
    </w:p>
    <w:p>
      <w:pPr>
        <w:pStyle w:val="Heading2"/>
      </w:pPr>
      <w:r>
        <w:t>1.4 Primary Source of Code: the nubcico/EAV Repository</w:t>
      </w:r>
    </w:p>
    <w:p>
      <w:r>
        <w:t>The primary source of code for this project is the official EAV repository maintained by Lee, Shomanov, Kabidenova and Yazici at Nazarbayev University, available at https://github.com/nubcico/EAV. This repository accompanies the EAV dataset paper and provides preprocessing pipelines, dataset loaders and per-modality classifiers tailored to the EAV data layout. Specifically, it ships PyTorch (and parallel TensorFlow) implementations for audio fine-tuning on AST, video fine-tuning on ViT and a custom ShallowConvNet/Transformer hybrid, and EEG training on EEGNet.</w:t>
      </w:r>
    </w:p>
    <w:p>
      <w:r>
        <w:t>Two properties make this repository the appropriate starting point. First, it is the canonical reference implementation distributed by the dataset authors, which removes ambiguity about data layout, channel ordering, label encoding and train/test split conventions. Second, although the repository provides strong per-modality baselines, it deliberately stops short of implementing trimodal fusion. The README explicitly lists “Add inference files” and “Create demo file” as open roadmap items, and inspection of the code base confirms that there is no joint training, no cross-modal interaction, and no contrastive alignment. This gap is precisely the gap that this thesis sets out to fill, making nubcico/EAV the ideal scaffolding on which to build.</w:t>
      </w:r>
    </w:p>
    <w:p>
      <w:r>
        <w:t>An earlier candidate scaffold, the multimodal-emotion-recognition repository by Chumachenko, Iosifidis and Gabbouj (ICPR 2022), was evaluated and ultimately rejected as the primary base, because it targets only audio and video on the RAVDESS dataset and does not support EEG. However, it remains a valuable secondary resource: its self-attention fusion modules and “softhard” modality dropout pattern will be ported into this project at Day 4.</w:t>
      </w:r>
    </w:p>
    <w:p>
      <w:pPr>
        <w:pStyle w:val="Heading2"/>
      </w:pPr>
      <w:r>
        <w:t>1.5 Dataset: the EAV (EEG-Audio-Video) Dataset</w:t>
      </w:r>
    </w:p>
    <w:p>
      <w:r>
        <w:t>The EAV dataset (Lee et al., Scientific Data, 2024) is, to the authors’ knowledge, the first publicly available emotion recognition corpus to synchronously combine 30-channel electroencephalography, audio and video in a conversational setting. The corpus was collected from 42 participants, each of whom engaged in a cue-based listening-and-speaking task in front of a video monitor presenting an experienced actor. The session followed a pseudo-random sequence designed to elicit five distinct emotions: Neutral, Sadness, Anger, Happiness and Calmness.</w:t>
      </w:r>
    </w:p>
    <w:p>
      <w:r>
        <w:t>Each participant contributed 200 interactions, yielding 8,400 interactions in total across the cohort. The video stream is captured at 30 frames per second in 20-second clips covering both listening and speaking phases, the audio stream is captured during the speaking phase in 20-second WAV files, and the EEG stream is recorded continuously at 500 Hz across 30 channels for the same 20-second window. Labels are encoded jointly across the three modalities, since all recordings were synchronised at acquisition time, which permits direct trimodal supervised learning without further alignment.</w:t>
      </w:r>
    </w:p>
    <w:p>
      <w:r>
        <w:t>Within the present project, the EAV data have been pre-processed into five-second segments and serialised as per-subject pickle files. The resulting tensor shapes are (N, 80000) for audio at 16 kHz, (N, 25, 56, 56, 3) for video at five frames per second of face-cropped imagery, and (N, 30, 500) for EEG at 100 Hz after band-pass filtering. The per-subject split uses h_idx = 56 in the dataset author’s EAVDataSplit routine, which yields 280 training trials and 120 test trials per subject, stratified per class.</w:t>
      </w:r>
    </w:p>
    <w:p>
      <w:pPr>
        <w:pStyle w:val="Heading2"/>
      </w:pPr>
      <w:r>
        <w:t>1.6 Supplementary Resources</w:t>
      </w:r>
    </w:p>
    <w:p>
      <w:r>
        <w:t>Three additional resources are used in a supplementary capacity. The first is the paper of Lee, Kim and Kim (Bioengineering, 2024), titled “Emotion Recognition Using EEG Signals and Audiovisual Features with Contrastive Learning”, which provides the methodological blueprint for the fusion architecture: a Residual-TCN temporal encoder, three contrastive losses (AMCL, EMCL and SMCL) constituting the MERCL pre-training objective, and six pairwise cross-modal attention modules in the fine-tuning stage. The paper does not release source code, but its architectural specification is sufficiently detailed to be re-implemented.</w:t>
      </w:r>
    </w:p>
    <w:p>
      <w:r>
        <w:t>The second supplementary resource is the multimodal-emotion-recognition repository of Chumachenko et al. (ICPR 2022), retained as a donor of self-attention fusion code and modality-dropout patterns. Its AttentionBlock module and softhard dropout scheme are adopted, with modifications, in the trimodal cross-attention module to be built on Day 4.</w:t>
      </w:r>
    </w:p>
    <w:p>
      <w:r>
        <w:t>The third supplementary resource is the EAV dataset record on Zenodo (DOI: 10.5281/zenodo.10205702), which supplies both raw recordings and pre-extracted features. Should the pickled features later be lost, the Zenodo record permits full re-derivation through the nubcico/EAV preprocessing scripts.</w:t>
      </w:r>
    </w:p>
    <w:p>
      <w:r>
        <w:br w:type="page"/>
      </w:r>
    </w:p>
    <w:p>
      <w:pPr>
        <w:pStyle w:val="Heading1"/>
      </w:pPr>
      <w:r>
        <w:t>2. Day 1 Progress Report</w:t>
      </w:r>
    </w:p>
    <w:p>
      <w:pPr>
        <w:pStyle w:val="Heading2"/>
      </w:pPr>
      <w:r>
        <w:t>2.1 Objectives for Day 1</w:t>
      </w:r>
    </w:p>
    <w:p>
      <w:r>
        <w:t>Day 1 was scoped as a setup and reproduction milestone. The primary objectives were as follows. First, to establish a stable hybrid development workflow that combined a local development machine with cloud-based GPU compute, given that the local hardware (an Apple M1 Air) lacks the CUDA support required by the EAV repository’s PyTorch path. Second, to provision a persistent storage layout for code, data and trained artefacts. Third, to verify that the EAV pickle files were accessible from the chosen compute environment and that they conformed to the shapes expected by the per-modality encoders. Fourth, to run a minimal smoke test of the entire pipeline on at least three subjects across all three modalities, demonstrating that each modality could be trained end-to-end and that classification accuracy could be reported. Day 1 was explicitly not intended to produce final or paper-quality numbers; its purpose was to validate the pipeline.</w:t>
      </w:r>
    </w:p>
    <w:p>
      <w:pPr>
        <w:pStyle w:val="Heading2"/>
      </w:pPr>
      <w:r>
        <w:t>2.2 Workflow Established</w:t>
      </w:r>
    </w:p>
    <w:p>
      <w:r>
        <w:t>The following workflow was adopted and is intended to remain in force throughout the remaining days of the project. Source code is authored locally on the M1 Air using Visual Studio Code and synchronised through a private GitHub repository (shafinmuffinn/thesis_p2). Compute is provided by Google Colab on a free-tier T4 GPU, with the option to upgrade to Colab Pro retained for the more compute-intensive days later in the schedule. Persistent storage is provided by Google Drive, mounted into the Colab runtime at /content/drive/MyDrive/Thesis_EAV/. EAV pickle features and trained model checkpoints reside on Drive; the raw 46 GB dataset is held only transiently when required.</w:t>
      </w:r>
    </w:p>
    <w:p>
      <w:r>
        <w:t>A single path configuration module, paths.py, was introduced at the project root. All filesystem locations are read from environment variables (THESIS_ROOT, EAV_PICKLES, CHECKPOINTS, RESULTS, PRETRAINED), with sensible defaults for the local machine. The Colab session start ritual sets these environment variables to point at the mounted Drive tree, which means the same code runs unchanged in both environments. A .gitignore file ensures that bulk data, checkpoints and Hugging Face caches are never accidentally committed to the repository.</w:t>
      </w:r>
    </w:p>
    <w:p>
      <w:pPr>
        <w:pStyle w:val="Heading2"/>
      </w:pPr>
      <w:r>
        <w:t>2.3 Day-1 Steps Carried Out</w:t>
      </w:r>
    </w:p>
    <w:p>
      <w:pPr>
        <w:pStyle w:val="ListNumber"/>
      </w:pPr>
      <w:r>
        <w:t>Created the central path configuration module paths.py and the accompanying .gitignore, then initialised a private GitHub repository and pushed the initial commit.</w:t>
      </w:r>
    </w:p>
    <w:p>
      <w:pPr>
        <w:pStyle w:val="ListNumber"/>
      </w:pPr>
      <w:r>
        <w:t>Authored a reusable Colab “session start” cell that mounts Google Drive, performs git pull on the working copy of the repository, sets the required environment variables, installs the minimal set of pip dependencies, and asserts that a CUDA device is visible.</w:t>
      </w:r>
    </w:p>
    <w:p>
      <w:pPr>
        <w:pStyle w:val="ListNumber"/>
      </w:pPr>
      <w:r>
        <w:t>Verified the contents of the EAV pickle directory on Drive, confirming the presence and shape of subject-level audio, vision and EEG files for the first three subjects.</w:t>
      </w:r>
    </w:p>
    <w:p>
      <w:pPr>
        <w:pStyle w:val="ListNumber"/>
      </w:pPr>
      <w:r>
        <w:t>Composed a smoke-test driver, referred to internally as Section E, which iterates over three subjects and, for each, fine-tunes the audio and vision Transformer models and trains EEGNet on EEG, logging per-subject accuracy and wall-clock time to a CSV file in Drive.</w:t>
      </w:r>
    </w:p>
    <w:p>
      <w:pPr>
        <w:pStyle w:val="ListNumber"/>
      </w:pPr>
      <w:r>
        <w:t>Resolved a sequence of seven distinct defects in the EAV repository and one defect in the smoke-test driver itself (see Section 2.4), applying each fix both locally and as an in-session hot-patch on Colab.</w:t>
      </w:r>
    </w:p>
    <w:p>
      <w:pPr>
        <w:pStyle w:val="ListNumber"/>
      </w:pPr>
      <w:r>
        <w:t>Executed the smoke test to completion for subjects 1 through 3 across all three modalities and saved the resulting accuracies to results/day1_smoketest.csv.</w:t>
      </w:r>
    </w:p>
    <w:p>
      <w:pPr>
        <w:pStyle w:val="Heading2"/>
      </w:pPr>
      <w:r>
        <w:t>2.4 Challenges Encountered and Their Resolutions</w:t>
      </w:r>
    </w:p>
    <w:p>
      <w:r>
        <w:t>Eight distinct defects were encountered during Day 1. Each is documented below, in the order in which it was diagnosed, together with the resolution applied. With one exception, every fix has been committed to the project repository so that the issue does not recur in subsequent sessions.</w:t>
      </w:r>
    </w:p>
    <w:p>
      <w:r>
        <w:rPr>
          <w:b/>
        </w:rPr>
        <w:t>Challenge 1: Dependency conflict caused by facenet-pytorch.</w:t>
      </w:r>
    </w:p>
    <w:p>
      <w:r>
        <w:t>The initial dependency install command included facenet-pytorch, which pins NumPy below version 2 and an older release of PyTorch. Installing it on Colab silently downgraded NumPy from 2.x to 1.26.4 and PyTorch from 2.10 to 2.2.2, breaking a large set of pre-installed Colab packages including torchaudio. Resolution: facenet-pytorch was removed from the Day 1 install set on the grounds that the smoke test operates on pre-processed pickle files and does not require MTCNN-based face detection. Should it be required on a later day, the recommended installation incantation is pip install --no-deps facenet-pytorch, which avoids the destructive downgrade.</w:t>
      </w:r>
    </w:p>
    <w:p>
      <w:r>
        <w:rPr>
          <w:b/>
        </w:rPr>
        <w:t>Challenge 2: Case-sensitivity bug in the verification helper.</w:t>
      </w:r>
    </w:p>
    <w:p>
      <w:r>
        <w:t>An early helper used Python’s str.capitalize method to translate the modality name ‘eeg’ into the folder name ‘Eeg’, whereas the actual folder on Drive is ‘EEG’ in upper case. The defect was masked for audio and vision, where capitalize happens to produce the correct folder name. Resolution: replaced the implicit string transform with an explicit dictionary mapping {audio: ‘Audio’, vision: ‘Vision’, eeg: ‘EEG’}, applied uniformly across both Section D (verification) and Section E (smoke test).</w:t>
      </w:r>
    </w:p>
    <w:p>
      <w:r>
        <w:rPr>
          <w:b/>
        </w:rPr>
        <w:t>Challenge 3: Broken import statement in EEGNet_tor.py.</w:t>
      </w:r>
    </w:p>
    <w:p>
      <w:r>
        <w:t>The EAV repository’s PyTorch EEGNet module begins with the line from Fusion.VIT_audio.Transformer_audio import Trainer_uni, but no Fusion package exists anywhere in the repository. The import fails at module load time. Resolution: removed the dead import line; Trainer_uni is defined locally within the same file and does not need to be brought in from elsewhere.</w:t>
      </w:r>
    </w:p>
    <w:p>
      <w:r>
        <w:rPr>
          <w:b/>
        </w:rPr>
        <w:t>Challenge 4: Missing TensorDataset and DataLoader imports.</w:t>
      </w:r>
    </w:p>
    <w:p>
      <w:r>
        <w:t>Removing the broken Fusion import in the previous fix had the unintended side effect of also removing the only transitively-imported references to TensorDataset and DataLoader, which the Trainer_uni class relies on. The next attempt to construct a Trainer_uni instance failed with NameError. Resolution: added an explicit from torch.utils.data import DataLoader, TensorDataset statement at the top of EEGNet_tor.py.</w:t>
      </w:r>
    </w:p>
    <w:p>
      <w:r>
        <w:rPr>
          <w:b/>
        </w:rPr>
        <w:t>Challenge 5: Classifier head size mismatch in Transformer_Vision.py.</w:t>
      </w:r>
    </w:p>
    <w:p>
      <w:r>
        <w:t>The vision trainer attempted to repurpose the seven-class facial-emotions ViT for the EAV five-class task by replacing self.model.classifier with a fresh Linear(hidden, 5) and setting self.model.num_labels = 5. This updated the attribute but not self.model.config.num_labels, which the Hugging Face Transformers library consults when computing the internal cross-entropy loss. The model therefore emitted (B, 5) logits but the loss function attempted to reshape them as (B, 7), failing with RuntimeError: shape '[-1, 7]' is invalid for input of size 160. Resolution: replaced the manual head replacement with the documented AutoModelForImageClassification.from_pretrained(model_path, num_labels=5, ignore_mismatched_sizes=True) idiom, which both re-initialises the head and updates the configuration.</w:t>
      </w:r>
    </w:p>
    <w:p>
      <w:r>
        <w:rPr>
          <w:b/>
        </w:rPr>
        <w:t>Challenge 6: RAM exhaustion during eager image preprocessing.</w:t>
      </w:r>
    </w:p>
    <w:p>
      <w:r>
        <w:t>The vision trainer’s preprocess_images method iterated over each of approximately ten thousand frames per subject, ran the Hugging Face image processor on each frame individually, accumulated the resulting tensors in a Python list, and finally invoked torch.stack(list).to(self.device). On Colab Free this allocated in excess of eight gigabytes of CPU memory and silently killed the kernel with no visible error. Resolution: rewrote the method to process images in batches of sixty-four, to keep the resulting tensor on the CPU, and to emit periodic progress messages so that the user can distinguish slow progress from a hang.</w:t>
      </w:r>
    </w:p>
    <w:p>
      <w:r>
        <w:rPr>
          <w:b/>
        </w:rPr>
        <w:t>Challenge 7: Forward-hook return-value bug in EEGNet_tor.py.</w:t>
      </w:r>
    </w:p>
    <w:p>
      <w:r>
        <w:t>The EEGNet module attempts to enforce a max-norm constraint on the depthwise convolution and final dense layer through forward hooks of the form lambda module, inputs, outputs: module.weight.data.renorm_(p=2, dim=0, maxnorm=norm_rate). The renorm_ operation is in-place but returns the modified weight tensor; the lambda implicitly propagates that tensor as its return value. PyTorch’s forward-hook protocol, however, treats any returned tensor as a replacement for the layer’s output, with the result that the depthwise convolution’s output was silently replaced by the weight tensor of shape (64, 1, 30, 1) and the subsequent BatchNorm crashed with the message running_mean should contain 1 elements not 64. Resolution: extracted the hook into a real (non-lambda) function _make_max_norm_hook(norm_rate) whose implicit return is None, and applied it to both layers.</w:t>
      </w:r>
    </w:p>
    <w:p>
      <w:r>
        <w:rPr>
          <w:b/>
        </w:rPr>
        <w:t>Challenge 8: Synchronisation between local edits and the Colab clone.</w:t>
      </w:r>
    </w:p>
    <w:p>
      <w:r>
        <w:t>Several library-code fixes performed locally were not picked up by Colab even after git pull. Two distinct causes were identified. First, the editor on the local machine reverted in-flight edits at least once during the session, with the result that a commit purporting to fix a bug actually committed the unfixed file. Second, the Colab clone had locally-applied hot patches sitting in the working tree, which caused git pull to abort with “Your local changes to the following files would be overwritten by merge”. Resolution: established a discipline of verifying each fix on disk with grep immediately before committing, and a Colab-side discipline of git stash followed by git pull followed by git stash drop, since the in-place patches are functionally equivalent to the upstream fix and therefore safe to discard.</w:t>
      </w:r>
    </w:p>
    <w:p>
      <w:pPr>
        <w:pStyle w:val="Heading2"/>
      </w:pPr>
      <w:r>
        <w:t>2.5 Tools, Libraries and Workflow Decisions Finalised</w:t>
      </w:r>
    </w:p>
    <w:p>
      <w:r>
        <w:t>The following decisions were finalised on Day 1 and are intended to remain stable for the remainder of the project.</w:t>
      </w:r>
    </w:p>
    <w:p>
      <w:pPr>
        <w:pStyle w:val="ListBullet"/>
      </w:pPr>
      <w:r>
        <w:t>Local development environment: Visual Studio Code on an Apple M1 Air, used exclusively for code authoring, code review, and lightweight diagnostic scripts that do not require CUDA.</w:t>
      </w:r>
    </w:p>
    <w:p>
      <w:pPr>
        <w:pStyle w:val="ListBullet"/>
      </w:pPr>
      <w:r>
        <w:t>Cloud compute environment: Google Colab on the free tier, with a Tesla T4 GPU (approximately 16 gigabytes of video memory and 12.7 gigabytes of system memory). Upgrade to Colab Pro is to be reconsidered before Day 2, when full-epoch training begins.</w:t>
      </w:r>
    </w:p>
    <w:p>
      <w:pPr>
        <w:pStyle w:val="ListBullet"/>
      </w:pPr>
      <w:r>
        <w:t>Persistent storage: Google Drive, mounted at /content/drive/MyDrive/Thesis_EAV/, hosting EAV pickles, model checkpoints, Hugging Face caches and result CSVs.</w:t>
      </w:r>
    </w:p>
    <w:p>
      <w:pPr>
        <w:pStyle w:val="ListBullet"/>
      </w:pPr>
      <w:r>
        <w:t>Code synchronisation: a private GitHub repository, accessed from Colab via a fine-grained personal access token stored on Drive. Sessions begin with git pull and end with git push.</w:t>
      </w:r>
    </w:p>
    <w:p>
      <w:pPr>
        <w:pStyle w:val="ListBullet"/>
      </w:pPr>
      <w:r>
        <w:t>Path configuration: a single Python module, paths.py, exposing PROJECT_ROOT, EAV_PICKLES, CHECKPOINTS, RESULTS, LOGS and PRETRAINED. All filesystem locations are read from environment variables that are set in the Colab session-start cell.</w:t>
      </w:r>
    </w:p>
    <w:p>
      <w:pPr>
        <w:pStyle w:val="ListBullet"/>
      </w:pPr>
      <w:r>
        <w:t>Python dependencies on Colab: only the transformers package and (optionally) wandb need to be installed beyond the Colab baseline. The remainder of EAV/requirements.txt is either pre-installed in Colab or not required by the smoke-test path.</w:t>
      </w:r>
    </w:p>
    <w:p>
      <w:pPr>
        <w:pStyle w:val="ListBullet"/>
      </w:pPr>
      <w:r>
        <w:t>Result logging convention: CSVs are written to MyDrive/Thesis_EAV/results/, with one row per (subject, modality) experiment, appended incrementally so that a kernel crash does not lose previously completed work.</w:t>
      </w:r>
    </w:p>
    <w:p>
      <w:r>
        <w:br w:type="page"/>
      </w:r>
    </w:p>
    <w:p>
      <w:pPr>
        <w:pStyle w:val="Heading1"/>
      </w:pPr>
      <w:r>
        <w:t>3. Results Achieved So Far</w:t>
      </w:r>
    </w:p>
    <w:p>
      <w:pPr>
        <w:pStyle w:val="Heading2"/>
      </w:pPr>
      <w:r>
        <w:t>3.1 Day-1 Baseline Smoke-Test Results</w:t>
      </w:r>
    </w:p>
    <w:p>
      <w:r>
        <w:t>Day 1 produced a complete end-to-end run of the per-modality pipeline for three subjects. The configuration used deliberately small training budgets so that the focus was on validating the pipeline rather than maximising classification performance: two frozen-backbone epochs followed by two fine-tuning epochs for the Audio Spectrogram Transformer; one frozen and one fine-tuning epoch for the facial-emotion Vision Transformer; and fifty epochs of training from scratch for EEGNet. The per-subject test accuracies and wall-clock times are reported in Table 1 below.</w:t>
      </w:r>
    </w:p>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Subject</w:t>
            </w:r>
          </w:p>
        </w:tc>
        <w:tc>
          <w:tcPr>
            <w:tcW w:type="dxa" w:w="1234"/>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Audio acc.</w:t>
            </w:r>
          </w:p>
        </w:tc>
        <w:tc>
          <w:tcPr>
            <w:tcW w:type="dxa" w:w="1234"/>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Audio time (s)</w:t>
            </w:r>
          </w:p>
        </w:tc>
        <w:tc>
          <w:tcPr>
            <w:tcW w:type="dxa" w:w="1234"/>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Vision acc.</w:t>
            </w:r>
          </w:p>
        </w:tc>
        <w:tc>
          <w:tcPr>
            <w:tcW w:type="dxa" w:w="1234"/>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Vision time (s)</w:t>
            </w:r>
          </w:p>
        </w:tc>
        <w:tc>
          <w:tcPr>
            <w:tcW w:type="dxa" w:w="1234"/>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EEG acc.</w:t>
            </w:r>
          </w:p>
        </w:tc>
        <w:tc>
          <w:tcPr>
            <w:tcW w:type="dxa" w:w="1234"/>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EEG time (s)</w:t>
            </w:r>
          </w:p>
        </w:tc>
      </w:tr>
      <w:tr>
        <w:tc>
          <w:tcPr>
            <w:tcW w:type="dxa" w:w="1234"/>
            <w:tcBorders>
              <w:top w:val="single" w:sz="4" w:space="0" w:color="000000"/>
              <w:left w:val="single" w:sz="4" w:space="0" w:color="000000"/>
              <w:bottom w:val="single" w:sz="4" w:space="0" w:color="000000"/>
              <w:right w:val="single" w:sz="4" w:space="0" w:color="000000"/>
            </w:tcBorders>
            <w:vAlign w:val="center"/>
          </w:tcPr>
          <w:p>
            <w:r>
              <w:t>01</w:t>
            </w:r>
          </w:p>
        </w:tc>
        <w:tc>
          <w:tcPr>
            <w:tcW w:type="dxa" w:w="1234"/>
            <w:tcBorders>
              <w:top w:val="single" w:sz="4" w:space="0" w:color="000000"/>
              <w:left w:val="single" w:sz="4" w:space="0" w:color="000000"/>
              <w:bottom w:val="single" w:sz="4" w:space="0" w:color="000000"/>
              <w:right w:val="single" w:sz="4" w:space="0" w:color="000000"/>
            </w:tcBorders>
            <w:vAlign w:val="center"/>
          </w:tcPr>
          <w:p>
            <w:r>
              <w:t>49.17%</w:t>
            </w:r>
          </w:p>
        </w:tc>
        <w:tc>
          <w:tcPr>
            <w:tcW w:type="dxa" w:w="1234"/>
            <w:tcBorders>
              <w:top w:val="single" w:sz="4" w:space="0" w:color="000000"/>
              <w:left w:val="single" w:sz="4" w:space="0" w:color="000000"/>
              <w:bottom w:val="single" w:sz="4" w:space="0" w:color="000000"/>
              <w:right w:val="single" w:sz="4" w:space="0" w:color="000000"/>
            </w:tcBorders>
            <w:vAlign w:val="center"/>
          </w:tcPr>
          <w:p>
            <w:r>
              <w:t>281.4</w:t>
            </w:r>
          </w:p>
        </w:tc>
        <w:tc>
          <w:tcPr>
            <w:tcW w:type="dxa" w:w="1234"/>
            <w:tcBorders>
              <w:top w:val="single" w:sz="4" w:space="0" w:color="000000"/>
              <w:left w:val="single" w:sz="4" w:space="0" w:color="000000"/>
              <w:bottom w:val="single" w:sz="4" w:space="0" w:color="000000"/>
              <w:right w:val="single" w:sz="4" w:space="0" w:color="000000"/>
            </w:tcBorders>
            <w:vAlign w:val="center"/>
          </w:tcPr>
          <w:p>
            <w:r>
              <w:t>62.50%</w:t>
            </w:r>
          </w:p>
        </w:tc>
        <w:tc>
          <w:tcPr>
            <w:tcW w:type="dxa" w:w="1234"/>
            <w:tcBorders>
              <w:top w:val="single" w:sz="4" w:space="0" w:color="000000"/>
              <w:left w:val="single" w:sz="4" w:space="0" w:color="000000"/>
              <w:bottom w:val="single" w:sz="4" w:space="0" w:color="000000"/>
              <w:right w:val="single" w:sz="4" w:space="0" w:color="000000"/>
            </w:tcBorders>
            <w:vAlign w:val="center"/>
          </w:tcPr>
          <w:p>
            <w:r>
              <w:t>445.8</w:t>
            </w:r>
          </w:p>
        </w:tc>
        <w:tc>
          <w:tcPr>
            <w:tcW w:type="dxa" w:w="1234"/>
            <w:tcBorders>
              <w:top w:val="single" w:sz="4" w:space="0" w:color="000000"/>
              <w:left w:val="single" w:sz="4" w:space="0" w:color="000000"/>
              <w:bottom w:val="single" w:sz="4" w:space="0" w:color="000000"/>
              <w:right w:val="single" w:sz="4" w:space="0" w:color="000000"/>
            </w:tcBorders>
            <w:vAlign w:val="center"/>
          </w:tcPr>
          <w:p>
            <w:r>
              <w:t>30.83%</w:t>
            </w:r>
          </w:p>
        </w:tc>
        <w:tc>
          <w:tcPr>
            <w:tcW w:type="dxa" w:w="1234"/>
            <w:tcBorders>
              <w:top w:val="single" w:sz="4" w:space="0" w:color="000000"/>
              <w:left w:val="single" w:sz="4" w:space="0" w:color="000000"/>
              <w:bottom w:val="single" w:sz="4" w:space="0" w:color="000000"/>
              <w:right w:val="single" w:sz="4" w:space="0" w:color="000000"/>
            </w:tcBorders>
            <w:vAlign w:val="center"/>
          </w:tcPr>
          <w:p>
            <w:r>
              <w:t>9.4</w:t>
            </w:r>
          </w:p>
        </w:tc>
      </w:tr>
      <w:tr>
        <w:tc>
          <w:tcPr>
            <w:tcW w:type="dxa" w:w="1234"/>
            <w:tcBorders>
              <w:top w:val="single" w:sz="4" w:space="0" w:color="000000"/>
              <w:left w:val="single" w:sz="4" w:space="0" w:color="000000"/>
              <w:bottom w:val="single" w:sz="4" w:space="0" w:color="000000"/>
              <w:right w:val="single" w:sz="4" w:space="0" w:color="000000"/>
            </w:tcBorders>
            <w:vAlign w:val="center"/>
          </w:tcPr>
          <w:p>
            <w:r>
              <w:t>02</w:t>
            </w:r>
          </w:p>
        </w:tc>
        <w:tc>
          <w:tcPr>
            <w:tcW w:type="dxa" w:w="1234"/>
            <w:tcBorders>
              <w:top w:val="single" w:sz="4" w:space="0" w:color="000000"/>
              <w:left w:val="single" w:sz="4" w:space="0" w:color="000000"/>
              <w:bottom w:val="single" w:sz="4" w:space="0" w:color="000000"/>
              <w:right w:val="single" w:sz="4" w:space="0" w:color="000000"/>
            </w:tcBorders>
            <w:vAlign w:val="center"/>
          </w:tcPr>
          <w:p>
            <w:r>
              <w:t>69.17%</w:t>
            </w:r>
          </w:p>
        </w:tc>
        <w:tc>
          <w:tcPr>
            <w:tcW w:type="dxa" w:w="1234"/>
            <w:tcBorders>
              <w:top w:val="single" w:sz="4" w:space="0" w:color="000000"/>
              <w:left w:val="single" w:sz="4" w:space="0" w:color="000000"/>
              <w:bottom w:val="single" w:sz="4" w:space="0" w:color="000000"/>
              <w:right w:val="single" w:sz="4" w:space="0" w:color="000000"/>
            </w:tcBorders>
            <w:vAlign w:val="center"/>
          </w:tcPr>
          <w:p>
            <w:r>
              <w:t>279.9</w:t>
            </w:r>
          </w:p>
        </w:tc>
        <w:tc>
          <w:tcPr>
            <w:tcW w:type="dxa" w:w="1234"/>
            <w:tcBorders>
              <w:top w:val="single" w:sz="4" w:space="0" w:color="000000"/>
              <w:left w:val="single" w:sz="4" w:space="0" w:color="000000"/>
              <w:bottom w:val="single" w:sz="4" w:space="0" w:color="000000"/>
              <w:right w:val="single" w:sz="4" w:space="0" w:color="000000"/>
            </w:tcBorders>
            <w:vAlign w:val="center"/>
          </w:tcPr>
          <w:p>
            <w:r>
              <w:t>69.17%</w:t>
            </w:r>
          </w:p>
        </w:tc>
        <w:tc>
          <w:tcPr>
            <w:tcW w:type="dxa" w:w="1234"/>
            <w:tcBorders>
              <w:top w:val="single" w:sz="4" w:space="0" w:color="000000"/>
              <w:left w:val="single" w:sz="4" w:space="0" w:color="000000"/>
              <w:bottom w:val="single" w:sz="4" w:space="0" w:color="000000"/>
              <w:right w:val="single" w:sz="4" w:space="0" w:color="000000"/>
            </w:tcBorders>
            <w:vAlign w:val="center"/>
          </w:tcPr>
          <w:p>
            <w:r>
              <w:t>445.0</w:t>
            </w:r>
          </w:p>
        </w:tc>
        <w:tc>
          <w:tcPr>
            <w:tcW w:type="dxa" w:w="1234"/>
            <w:tcBorders>
              <w:top w:val="single" w:sz="4" w:space="0" w:color="000000"/>
              <w:left w:val="single" w:sz="4" w:space="0" w:color="000000"/>
              <w:bottom w:val="single" w:sz="4" w:space="0" w:color="000000"/>
              <w:right w:val="single" w:sz="4" w:space="0" w:color="000000"/>
            </w:tcBorders>
            <w:vAlign w:val="center"/>
          </w:tcPr>
          <w:p>
            <w:r>
              <w:t>20.83%</w:t>
            </w:r>
          </w:p>
        </w:tc>
        <w:tc>
          <w:tcPr>
            <w:tcW w:type="dxa" w:w="1234"/>
            <w:tcBorders>
              <w:top w:val="single" w:sz="4" w:space="0" w:color="000000"/>
              <w:left w:val="single" w:sz="4" w:space="0" w:color="000000"/>
              <w:bottom w:val="single" w:sz="4" w:space="0" w:color="000000"/>
              <w:right w:val="single" w:sz="4" w:space="0" w:color="000000"/>
            </w:tcBorders>
            <w:vAlign w:val="center"/>
          </w:tcPr>
          <w:p>
            <w:r>
              <w:t>9.5</w:t>
            </w:r>
          </w:p>
        </w:tc>
      </w:tr>
      <w:tr>
        <w:tc>
          <w:tcPr>
            <w:tcW w:type="dxa" w:w="1234"/>
            <w:tcBorders>
              <w:top w:val="single" w:sz="4" w:space="0" w:color="000000"/>
              <w:left w:val="single" w:sz="4" w:space="0" w:color="000000"/>
              <w:bottom w:val="single" w:sz="4" w:space="0" w:color="000000"/>
              <w:right w:val="single" w:sz="4" w:space="0" w:color="000000"/>
            </w:tcBorders>
            <w:vAlign w:val="center"/>
          </w:tcPr>
          <w:p>
            <w:r>
              <w:t>03</w:t>
            </w:r>
          </w:p>
        </w:tc>
        <w:tc>
          <w:tcPr>
            <w:tcW w:type="dxa" w:w="1234"/>
            <w:tcBorders>
              <w:top w:val="single" w:sz="4" w:space="0" w:color="000000"/>
              <w:left w:val="single" w:sz="4" w:space="0" w:color="000000"/>
              <w:bottom w:val="single" w:sz="4" w:space="0" w:color="000000"/>
              <w:right w:val="single" w:sz="4" w:space="0" w:color="000000"/>
            </w:tcBorders>
            <w:vAlign w:val="center"/>
          </w:tcPr>
          <w:p>
            <w:r>
              <w:t>50.83%</w:t>
            </w:r>
          </w:p>
        </w:tc>
        <w:tc>
          <w:tcPr>
            <w:tcW w:type="dxa" w:w="1234"/>
            <w:tcBorders>
              <w:top w:val="single" w:sz="4" w:space="0" w:color="000000"/>
              <w:left w:val="single" w:sz="4" w:space="0" w:color="000000"/>
              <w:bottom w:val="single" w:sz="4" w:space="0" w:color="000000"/>
              <w:right w:val="single" w:sz="4" w:space="0" w:color="000000"/>
            </w:tcBorders>
            <w:vAlign w:val="center"/>
          </w:tcPr>
          <w:p>
            <w:r>
              <w:t>279.9</w:t>
            </w:r>
          </w:p>
        </w:tc>
        <w:tc>
          <w:tcPr>
            <w:tcW w:type="dxa" w:w="1234"/>
            <w:tcBorders>
              <w:top w:val="single" w:sz="4" w:space="0" w:color="000000"/>
              <w:left w:val="single" w:sz="4" w:space="0" w:color="000000"/>
              <w:bottom w:val="single" w:sz="4" w:space="0" w:color="000000"/>
              <w:right w:val="single" w:sz="4" w:space="0" w:color="000000"/>
            </w:tcBorders>
            <w:vAlign w:val="center"/>
          </w:tcPr>
          <w:p>
            <w:r>
              <w:t>80.00%</w:t>
            </w:r>
          </w:p>
        </w:tc>
        <w:tc>
          <w:tcPr>
            <w:tcW w:type="dxa" w:w="1234"/>
            <w:tcBorders>
              <w:top w:val="single" w:sz="4" w:space="0" w:color="000000"/>
              <w:left w:val="single" w:sz="4" w:space="0" w:color="000000"/>
              <w:bottom w:val="single" w:sz="4" w:space="0" w:color="000000"/>
              <w:right w:val="single" w:sz="4" w:space="0" w:color="000000"/>
            </w:tcBorders>
            <w:vAlign w:val="center"/>
          </w:tcPr>
          <w:p>
            <w:r>
              <w:t>442.6</w:t>
            </w:r>
          </w:p>
        </w:tc>
        <w:tc>
          <w:tcPr>
            <w:tcW w:type="dxa" w:w="1234"/>
            <w:tcBorders>
              <w:top w:val="single" w:sz="4" w:space="0" w:color="000000"/>
              <w:left w:val="single" w:sz="4" w:space="0" w:color="000000"/>
              <w:bottom w:val="single" w:sz="4" w:space="0" w:color="000000"/>
              <w:right w:val="single" w:sz="4" w:space="0" w:color="000000"/>
            </w:tcBorders>
            <w:vAlign w:val="center"/>
          </w:tcPr>
          <w:p>
            <w:r>
              <w:t>21.67%</w:t>
            </w:r>
          </w:p>
        </w:tc>
        <w:tc>
          <w:tcPr>
            <w:tcW w:type="dxa" w:w="1234"/>
            <w:tcBorders>
              <w:top w:val="single" w:sz="4" w:space="0" w:color="000000"/>
              <w:left w:val="single" w:sz="4" w:space="0" w:color="000000"/>
              <w:bottom w:val="single" w:sz="4" w:space="0" w:color="000000"/>
              <w:right w:val="single" w:sz="4" w:space="0" w:color="000000"/>
            </w:tcBorders>
            <w:vAlign w:val="center"/>
          </w:tcPr>
          <w:p>
            <w:r>
              <w:t>9.6</w:t>
            </w:r>
          </w:p>
        </w:tc>
      </w:tr>
      <w:tr>
        <w:tc>
          <w:tcPr>
            <w:tcW w:type="dxa" w:w="1234"/>
            <w:tcBorders>
              <w:top w:val="single" w:sz="4" w:space="0" w:color="000000"/>
              <w:left w:val="single" w:sz="4" w:space="0" w:color="000000"/>
              <w:bottom w:val="single" w:sz="4" w:space="0" w:color="000000"/>
              <w:right w:val="single" w:sz="4" w:space="0" w:color="000000"/>
            </w:tcBorders>
            <w:vAlign w:val="center"/>
          </w:tcPr>
          <w:p>
            <w:r>
              <w:t>Mean</w:t>
            </w:r>
          </w:p>
        </w:tc>
        <w:tc>
          <w:tcPr>
            <w:tcW w:type="dxa" w:w="1234"/>
            <w:tcBorders>
              <w:top w:val="single" w:sz="4" w:space="0" w:color="000000"/>
              <w:left w:val="single" w:sz="4" w:space="0" w:color="000000"/>
              <w:bottom w:val="single" w:sz="4" w:space="0" w:color="000000"/>
              <w:right w:val="single" w:sz="4" w:space="0" w:color="000000"/>
            </w:tcBorders>
            <w:vAlign w:val="center"/>
          </w:tcPr>
          <w:p>
            <w:r>
              <w:t>56.39%</w:t>
            </w:r>
          </w:p>
        </w:tc>
        <w:tc>
          <w:tcPr>
            <w:tcW w:type="dxa" w:w="1234"/>
            <w:tcBorders>
              <w:top w:val="single" w:sz="4" w:space="0" w:color="000000"/>
              <w:left w:val="single" w:sz="4" w:space="0" w:color="000000"/>
              <w:bottom w:val="single" w:sz="4" w:space="0" w:color="000000"/>
              <w:right w:val="single" w:sz="4" w:space="0" w:color="000000"/>
            </w:tcBorders>
            <w:vAlign w:val="center"/>
          </w:tcPr>
          <w:p>
            <w:r>
              <w:t>280.4</w:t>
            </w:r>
          </w:p>
        </w:tc>
        <w:tc>
          <w:tcPr>
            <w:tcW w:type="dxa" w:w="1234"/>
            <w:tcBorders>
              <w:top w:val="single" w:sz="4" w:space="0" w:color="000000"/>
              <w:left w:val="single" w:sz="4" w:space="0" w:color="000000"/>
              <w:bottom w:val="single" w:sz="4" w:space="0" w:color="000000"/>
              <w:right w:val="single" w:sz="4" w:space="0" w:color="000000"/>
            </w:tcBorders>
            <w:vAlign w:val="center"/>
          </w:tcPr>
          <w:p>
            <w:r>
              <w:t>70.56%</w:t>
            </w:r>
          </w:p>
        </w:tc>
        <w:tc>
          <w:tcPr>
            <w:tcW w:type="dxa" w:w="1234"/>
            <w:tcBorders>
              <w:top w:val="single" w:sz="4" w:space="0" w:color="000000"/>
              <w:left w:val="single" w:sz="4" w:space="0" w:color="000000"/>
              <w:bottom w:val="single" w:sz="4" w:space="0" w:color="000000"/>
              <w:right w:val="single" w:sz="4" w:space="0" w:color="000000"/>
            </w:tcBorders>
            <w:vAlign w:val="center"/>
          </w:tcPr>
          <w:p>
            <w:r>
              <w:t>444.5</w:t>
            </w:r>
          </w:p>
        </w:tc>
        <w:tc>
          <w:tcPr>
            <w:tcW w:type="dxa" w:w="1234"/>
            <w:tcBorders>
              <w:top w:val="single" w:sz="4" w:space="0" w:color="000000"/>
              <w:left w:val="single" w:sz="4" w:space="0" w:color="000000"/>
              <w:bottom w:val="single" w:sz="4" w:space="0" w:color="000000"/>
              <w:right w:val="single" w:sz="4" w:space="0" w:color="000000"/>
            </w:tcBorders>
            <w:vAlign w:val="center"/>
          </w:tcPr>
          <w:p>
            <w:r>
              <w:t>24.44%</w:t>
            </w:r>
          </w:p>
        </w:tc>
        <w:tc>
          <w:tcPr>
            <w:tcW w:type="dxa" w:w="1234"/>
            <w:tcBorders>
              <w:top w:val="single" w:sz="4" w:space="0" w:color="000000"/>
              <w:left w:val="single" w:sz="4" w:space="0" w:color="000000"/>
              <w:bottom w:val="single" w:sz="4" w:space="0" w:color="000000"/>
              <w:right w:val="single" w:sz="4" w:space="0" w:color="000000"/>
            </w:tcBorders>
            <w:vAlign w:val="center"/>
          </w:tcPr>
          <w:p>
            <w:r>
              <w:t>9.5</w:t>
            </w:r>
          </w:p>
        </w:tc>
      </w:tr>
    </w:tbl>
    <w:p>
      <w:pPr>
        <w:jc w:val="center"/>
      </w:pPr>
      <w:r>
        <w:rPr>
          <w:b w:val="0"/>
          <w:i/>
          <w:sz w:val="20"/>
        </w:rPr>
        <w:t>Table 1. Per-subject test accuracy and wall-clock training time for each modality on the Day-1 smoke test. Five-class chance level is 20 %.</w:t>
      </w:r>
    </w:p>
    <w:p/>
    <w:p>
      <w:pPr>
        <w:pStyle w:val="Heading2"/>
      </w:pPr>
      <w:r>
        <w:t>3.2 Comparison to the EAV Paper Baselines</w:t>
      </w:r>
    </w:p>
    <w:p>
      <w:r>
        <w:t>Table 2 contrasts the Day-1 mean accuracies with the baselines reported in the EAV README. The EAV paper reports DeepFace as the vision baseline, a small CNN (SCNN) as the audio baseline, and EEGNet as the EEG baseline.</w:t>
      </w:r>
    </w:p>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Modality</w:t>
            </w:r>
          </w:p>
        </w:tc>
        <w:tc>
          <w:tcPr>
            <w:tcW w:type="dxa" w:w="1728"/>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Model used</w:t>
            </w:r>
          </w:p>
        </w:tc>
        <w:tc>
          <w:tcPr>
            <w:tcW w:type="dxa" w:w="1728"/>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Day-1 mean acc.</w:t>
            </w:r>
          </w:p>
        </w:tc>
        <w:tc>
          <w:tcPr>
            <w:tcW w:type="dxa" w:w="1728"/>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EAV baseline acc.</w:t>
            </w:r>
          </w:p>
        </w:tc>
        <w:tc>
          <w:tcPr>
            <w:tcW w:type="dxa" w:w="1728"/>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Δ to baseline</w:t>
            </w:r>
          </w:p>
        </w:tc>
      </w:tr>
      <w:tr>
        <w:tc>
          <w:tcPr>
            <w:tcW w:type="dxa" w:w="1728"/>
            <w:tcBorders>
              <w:top w:val="single" w:sz="4" w:space="0" w:color="000000"/>
              <w:left w:val="single" w:sz="4" w:space="0" w:color="000000"/>
              <w:bottom w:val="single" w:sz="4" w:space="0" w:color="000000"/>
              <w:right w:val="single" w:sz="4" w:space="0" w:color="000000"/>
            </w:tcBorders>
            <w:vAlign w:val="center"/>
          </w:tcPr>
          <w:p>
            <w:r>
              <w:t>Audio</w:t>
            </w:r>
          </w:p>
        </w:tc>
        <w:tc>
          <w:tcPr>
            <w:tcW w:type="dxa" w:w="1728"/>
            <w:tcBorders>
              <w:top w:val="single" w:sz="4" w:space="0" w:color="000000"/>
              <w:left w:val="single" w:sz="4" w:space="0" w:color="000000"/>
              <w:bottom w:val="single" w:sz="4" w:space="0" w:color="000000"/>
              <w:right w:val="single" w:sz="4" w:space="0" w:color="000000"/>
            </w:tcBorders>
            <w:vAlign w:val="center"/>
          </w:tcPr>
          <w:p>
            <w:r>
              <w:t>AST (Hugging Face)</w:t>
            </w:r>
          </w:p>
        </w:tc>
        <w:tc>
          <w:tcPr>
            <w:tcW w:type="dxa" w:w="1728"/>
            <w:tcBorders>
              <w:top w:val="single" w:sz="4" w:space="0" w:color="000000"/>
              <w:left w:val="single" w:sz="4" w:space="0" w:color="000000"/>
              <w:bottom w:val="single" w:sz="4" w:space="0" w:color="000000"/>
              <w:right w:val="single" w:sz="4" w:space="0" w:color="000000"/>
            </w:tcBorders>
            <w:vAlign w:val="center"/>
          </w:tcPr>
          <w:p>
            <w:r>
              <w:t>56.39%</w:t>
            </w:r>
          </w:p>
        </w:tc>
        <w:tc>
          <w:tcPr>
            <w:tcW w:type="dxa" w:w="1728"/>
            <w:tcBorders>
              <w:top w:val="single" w:sz="4" w:space="0" w:color="000000"/>
              <w:left w:val="single" w:sz="4" w:space="0" w:color="000000"/>
              <w:bottom w:val="single" w:sz="4" w:space="0" w:color="000000"/>
              <w:right w:val="single" w:sz="4" w:space="0" w:color="000000"/>
            </w:tcBorders>
            <w:vAlign w:val="center"/>
          </w:tcPr>
          <w:p>
            <w:r>
              <w:t>36.7% (SCNN)</w:t>
            </w:r>
          </w:p>
        </w:tc>
        <w:tc>
          <w:tcPr>
            <w:tcW w:type="dxa" w:w="1728"/>
            <w:tcBorders>
              <w:top w:val="single" w:sz="4" w:space="0" w:color="000000"/>
              <w:left w:val="single" w:sz="4" w:space="0" w:color="000000"/>
              <w:bottom w:val="single" w:sz="4" w:space="0" w:color="000000"/>
              <w:right w:val="single" w:sz="4" w:space="0" w:color="000000"/>
            </w:tcBorders>
            <w:vAlign w:val="center"/>
          </w:tcPr>
          <w:p>
            <w:r>
              <w:t>+19.69 pp</w:t>
            </w:r>
          </w:p>
        </w:tc>
      </w:tr>
      <w:tr>
        <w:tc>
          <w:tcPr>
            <w:tcW w:type="dxa" w:w="1728"/>
            <w:tcBorders>
              <w:top w:val="single" w:sz="4" w:space="0" w:color="000000"/>
              <w:left w:val="single" w:sz="4" w:space="0" w:color="000000"/>
              <w:bottom w:val="single" w:sz="4" w:space="0" w:color="000000"/>
              <w:right w:val="single" w:sz="4" w:space="0" w:color="000000"/>
            </w:tcBorders>
            <w:vAlign w:val="center"/>
          </w:tcPr>
          <w:p>
            <w:r>
              <w:t>Vision</w:t>
            </w:r>
          </w:p>
        </w:tc>
        <w:tc>
          <w:tcPr>
            <w:tcW w:type="dxa" w:w="1728"/>
            <w:tcBorders>
              <w:top w:val="single" w:sz="4" w:space="0" w:color="000000"/>
              <w:left w:val="single" w:sz="4" w:space="0" w:color="000000"/>
              <w:bottom w:val="single" w:sz="4" w:space="0" w:color="000000"/>
              <w:right w:val="single" w:sz="4" w:space="0" w:color="000000"/>
            </w:tcBorders>
            <w:vAlign w:val="center"/>
          </w:tcPr>
          <w:p>
            <w:r>
              <w:t>ViT facial-emotions</w:t>
            </w:r>
          </w:p>
        </w:tc>
        <w:tc>
          <w:tcPr>
            <w:tcW w:type="dxa" w:w="1728"/>
            <w:tcBorders>
              <w:top w:val="single" w:sz="4" w:space="0" w:color="000000"/>
              <w:left w:val="single" w:sz="4" w:space="0" w:color="000000"/>
              <w:bottom w:val="single" w:sz="4" w:space="0" w:color="000000"/>
              <w:right w:val="single" w:sz="4" w:space="0" w:color="000000"/>
            </w:tcBorders>
            <w:vAlign w:val="center"/>
          </w:tcPr>
          <w:p>
            <w:r>
              <w:t>70.56%</w:t>
            </w:r>
          </w:p>
        </w:tc>
        <w:tc>
          <w:tcPr>
            <w:tcW w:type="dxa" w:w="1728"/>
            <w:tcBorders>
              <w:top w:val="single" w:sz="4" w:space="0" w:color="000000"/>
              <w:left w:val="single" w:sz="4" w:space="0" w:color="000000"/>
              <w:bottom w:val="single" w:sz="4" w:space="0" w:color="000000"/>
              <w:right w:val="single" w:sz="4" w:space="0" w:color="000000"/>
            </w:tcBorders>
            <w:vAlign w:val="center"/>
          </w:tcPr>
          <w:p>
            <w:r>
              <w:t>52.8% (DeepFace)</w:t>
            </w:r>
          </w:p>
        </w:tc>
        <w:tc>
          <w:tcPr>
            <w:tcW w:type="dxa" w:w="1728"/>
            <w:tcBorders>
              <w:top w:val="single" w:sz="4" w:space="0" w:color="000000"/>
              <w:left w:val="single" w:sz="4" w:space="0" w:color="000000"/>
              <w:bottom w:val="single" w:sz="4" w:space="0" w:color="000000"/>
              <w:right w:val="single" w:sz="4" w:space="0" w:color="000000"/>
            </w:tcBorders>
            <w:vAlign w:val="center"/>
          </w:tcPr>
          <w:p>
            <w:r>
              <w:t>+17.76 pp</w:t>
            </w:r>
          </w:p>
        </w:tc>
      </w:tr>
      <w:tr>
        <w:tc>
          <w:tcPr>
            <w:tcW w:type="dxa" w:w="1728"/>
            <w:tcBorders>
              <w:top w:val="single" w:sz="4" w:space="0" w:color="000000"/>
              <w:left w:val="single" w:sz="4" w:space="0" w:color="000000"/>
              <w:bottom w:val="single" w:sz="4" w:space="0" w:color="000000"/>
              <w:right w:val="single" w:sz="4" w:space="0" w:color="000000"/>
            </w:tcBorders>
            <w:vAlign w:val="center"/>
          </w:tcPr>
          <w:p>
            <w:r>
              <w:t>EEG</w:t>
            </w:r>
          </w:p>
        </w:tc>
        <w:tc>
          <w:tcPr>
            <w:tcW w:type="dxa" w:w="1728"/>
            <w:tcBorders>
              <w:top w:val="single" w:sz="4" w:space="0" w:color="000000"/>
              <w:left w:val="single" w:sz="4" w:space="0" w:color="000000"/>
              <w:bottom w:val="single" w:sz="4" w:space="0" w:color="000000"/>
              <w:right w:val="single" w:sz="4" w:space="0" w:color="000000"/>
            </w:tcBorders>
            <w:vAlign w:val="center"/>
          </w:tcPr>
          <w:p>
            <w:r>
              <w:t>EEGNet (PyTorch)</w:t>
            </w:r>
          </w:p>
        </w:tc>
        <w:tc>
          <w:tcPr>
            <w:tcW w:type="dxa" w:w="1728"/>
            <w:tcBorders>
              <w:top w:val="single" w:sz="4" w:space="0" w:color="000000"/>
              <w:left w:val="single" w:sz="4" w:space="0" w:color="000000"/>
              <w:bottom w:val="single" w:sz="4" w:space="0" w:color="000000"/>
              <w:right w:val="single" w:sz="4" w:space="0" w:color="000000"/>
            </w:tcBorders>
            <w:vAlign w:val="center"/>
          </w:tcPr>
          <w:p>
            <w:r>
              <w:t>24.44%</w:t>
            </w:r>
          </w:p>
        </w:tc>
        <w:tc>
          <w:tcPr>
            <w:tcW w:type="dxa" w:w="1728"/>
            <w:tcBorders>
              <w:top w:val="single" w:sz="4" w:space="0" w:color="000000"/>
              <w:left w:val="single" w:sz="4" w:space="0" w:color="000000"/>
              <w:bottom w:val="single" w:sz="4" w:space="0" w:color="000000"/>
              <w:right w:val="single" w:sz="4" w:space="0" w:color="000000"/>
            </w:tcBorders>
            <w:vAlign w:val="center"/>
          </w:tcPr>
          <w:p>
            <w:r>
              <w:t>36.7% (EEGNet)</w:t>
            </w:r>
          </w:p>
        </w:tc>
        <w:tc>
          <w:tcPr>
            <w:tcW w:type="dxa" w:w="1728"/>
            <w:tcBorders>
              <w:top w:val="single" w:sz="4" w:space="0" w:color="000000"/>
              <w:left w:val="single" w:sz="4" w:space="0" w:color="000000"/>
              <w:bottom w:val="single" w:sz="4" w:space="0" w:color="000000"/>
              <w:right w:val="single" w:sz="4" w:space="0" w:color="000000"/>
            </w:tcBorders>
            <w:vAlign w:val="center"/>
          </w:tcPr>
          <w:p>
            <w:r>
              <w:t>-12.26 pp</w:t>
            </w:r>
          </w:p>
        </w:tc>
      </w:tr>
    </w:tbl>
    <w:p>
      <w:pPr>
        <w:jc w:val="center"/>
      </w:pPr>
      <w:r>
        <w:rPr>
          <w:b w:val="0"/>
          <w:i/>
          <w:sz w:val="20"/>
        </w:rPr>
        <w:t>Table 2. Comparison of Day-1 smoke-test means against the EAV paper’s published baseline accuracies. Δ is in percentage points.</w:t>
      </w:r>
    </w:p>
    <w:p/>
    <w:p>
      <w:pPr>
        <w:pStyle w:val="Heading2"/>
      </w:pPr>
      <w:r>
        <w:t>3.3 Interpretation of Day-1 Results</w:t>
      </w:r>
    </w:p>
    <w:p>
      <w:r>
        <w:t>Three observations emerge from these numbers. First, the audio path already attains a mean accuracy of 56.4 %, which is approximately 20 percentage points above the EAV paper’s SCNN baseline, despite the smoke test running for only four epochs in total. This is consistent with the strong transfer that the AudioSet-pretrained Audio Spectrogram Transformer provides; even minor fine-tuning is sufficient to reach a sensible operating point. The audio path is therefore expected to improve further on Day 2 when the full ten-plus-fifteen epoch schedule is applied.</w:t>
      </w:r>
    </w:p>
    <w:p>
      <w:r>
        <w:t>Second, the video path attains a mean of 70.6 %, which is approximately 18 percentage points above the EAV paper’s DeepFace baseline. This number must be interpreted with care. The Vision Transformer checkpoint used (dima806/facial_emotions_image_detection) is itself pre-fine-tuned on a facial-emotion dataset, so the backbone is already specialised to the task before EAV is seen. The smoke test therefore largely measures how quickly a fresh five-class head can be aligned with a strong pre-existing representation. A direct comparison with DeepFace, which is also a pre-trained facial-emotion system, remains meaningful, but it should not be claimed that the present pipeline outperforms DeepFace by a large margin on the EAV task in any rigorous sense without further evaluation. Subject 3 in particular reached an accuracy of 80 %, which warrants a per-emotion confusion matrix analysis on Day 7 to rule out an imbalanced confusion pattern.</w:t>
      </w:r>
    </w:p>
    <w:p>
      <w:r>
        <w:t>Third, the EEG path attains a mean of 24.4 %, which is approximately 12 percentage points below the EAV paper’s EEGNet baseline and barely above the five-class chance level of 20 %. With 120 test trials per subject the 95 % binomial confidence interval around chance is approximately 13 % to 28 %, so the accuracies obtained for subjects 2 and 3 are statistically indistinguishable from random guessing. Three causes are likely. First, the EEGNet implementation in nubcico/EAV ends its forward pass with a softmax layer, while the trainer applies a CrossEntropyLoss which itself expects raw logits and applies a log-softmax internally. The composition is numerically degenerate and is the most plausible single cause of failed training. Second, the smoke-test training budget of fifty epochs is well below the three-hundred-and-fifty epochs at which EAV’s own pipeline reports results. Third, within-subject training with only 280 trials is intrinsically a low-data regime for EEG. The first cause will be remedied on Day 2 by removing the trailing softmax, which is expected to recover a substantial fraction of the gap.</w:t>
      </w:r>
    </w:p>
    <w:p>
      <w:pPr>
        <w:pStyle w:val="Heading2"/>
      </w:pPr>
      <w:r>
        <w:t>3.4 Status of These Results</w:t>
      </w:r>
    </w:p>
    <w:p>
      <w:r>
        <w:t>It is important to emphasise that the figures reported in Tables 1 and 2 are baseline reproduction numbers obtained under deliberately constrained settings. They are not the final results of the thesis, and they are not yet directly comparable to the per-subject means reported in either the EAV dataset paper or in Lee, Kim and Kim (2024). They serve a single, explicit purpose: to verify that the pipeline from raw pickle through to per-modality accuracy operates correctly on every modality. With that verification complete, the remaining nine days of the project will focus on full-epoch training, fusion-architecture development, and rigorous evaluation.</w:t>
      </w:r>
    </w:p>
    <w:p>
      <w:r>
        <w:br w:type="page"/>
      </w:r>
    </w:p>
    <w:p>
      <w:pPr>
        <w:pStyle w:val="Heading1"/>
      </w:pPr>
      <w:r>
        <w:t>4. Ten-Day Research Plan</w:t>
      </w:r>
    </w:p>
    <w:p>
      <w:pPr>
        <w:pStyle w:val="Heading2"/>
      </w:pPr>
      <w:r>
        <w:t>4.1 Project Timeline at a Glance</w:t>
      </w:r>
    </w:p>
    <w:p>
      <w:r>
        <w:t>The remaining work is organised around a ten-day schedule. Days 1 to 5 establish the baseline trimodal system and constitute the critical path; days 6 and 8 are designated stretch goals that strengthen the contribution if time permits but can be dropped without compromising the thesis; days 7, 9 and 10 are reserved for analysis, writing and polish. Table 3 summarises the plan; the subsequent subsections elaborate on each day.</w:t>
      </w:r>
    </w:p>
    <w:p/>
    <w:tbl>
      <w:tblPr>
        <w:tblW w:type="auto" w:w="0"/>
        <w:jc w:val="center"/>
        <w:tblLook w:firstColumn="1" w:firstRow="1" w:lastColumn="0" w:lastRow="0" w:noHBand="0" w:noVBand="1" w:val="04A0"/>
      </w:tblPr>
      <w:tblGrid>
        <w:gridCol w:w="2160"/>
        <w:gridCol w:w="2160"/>
        <w:gridCol w:w="2160"/>
        <w:gridCol w:w="2160"/>
      </w:tblGrid>
      <w:tr>
        <w:tc>
          <w:tcPr>
            <w:tcW w:type="dxa" w:w="2160"/>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Day</w:t>
            </w:r>
          </w:p>
        </w:tc>
        <w:tc>
          <w:tcPr>
            <w:tcW w:type="dxa" w:w="2160"/>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Goal</w:t>
            </w:r>
          </w:p>
        </w:tc>
        <w:tc>
          <w:tcPr>
            <w:tcW w:type="dxa" w:w="2160"/>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Key Tasks</w:t>
            </w:r>
          </w:p>
        </w:tc>
        <w:tc>
          <w:tcPr>
            <w:tcW w:type="dxa" w:w="2160"/>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Expected Output</w:t>
            </w:r>
          </w:p>
        </w:tc>
      </w:tr>
      <w:tr>
        <w:tc>
          <w:tcPr>
            <w:tcW w:type="dxa" w:w="2160"/>
            <w:tcBorders>
              <w:top w:val="single" w:sz="4" w:space="0" w:color="000000"/>
              <w:left w:val="single" w:sz="4" w:space="0" w:color="000000"/>
              <w:bottom w:val="single" w:sz="4" w:space="0" w:color="000000"/>
              <w:right w:val="single" w:sz="4" w:space="0" w:color="000000"/>
            </w:tcBorders>
            <w:vAlign w:val="center"/>
          </w:tcPr>
          <w:p>
            <w:r>
              <w:t>1</w:t>
            </w:r>
          </w:p>
        </w:tc>
        <w:tc>
          <w:tcPr>
            <w:tcW w:type="dxa" w:w="2160"/>
            <w:tcBorders>
              <w:top w:val="single" w:sz="4" w:space="0" w:color="000000"/>
              <w:left w:val="single" w:sz="4" w:space="0" w:color="000000"/>
              <w:bottom w:val="single" w:sz="4" w:space="0" w:color="000000"/>
              <w:right w:val="single" w:sz="4" w:space="0" w:color="000000"/>
            </w:tcBorders>
            <w:vAlign w:val="center"/>
          </w:tcPr>
          <w:p>
            <w:r>
              <w:t>Setup and reproduction</w:t>
            </w:r>
          </w:p>
        </w:tc>
        <w:tc>
          <w:tcPr>
            <w:tcW w:type="dxa" w:w="2160"/>
            <w:tcBorders>
              <w:top w:val="single" w:sz="4" w:space="0" w:color="000000"/>
              <w:left w:val="single" w:sz="4" w:space="0" w:color="000000"/>
              <w:bottom w:val="single" w:sz="4" w:space="0" w:color="000000"/>
              <w:right w:val="single" w:sz="4" w:space="0" w:color="000000"/>
            </w:tcBorders>
            <w:vAlign w:val="center"/>
          </w:tcPr>
          <w:p>
            <w:r>
              <w:t>Establish workflow; verify EAV pickles loadable; run a three-subject smoke test for all three modalities; fix issues discovered along the way.</w:t>
            </w:r>
          </w:p>
        </w:tc>
        <w:tc>
          <w:tcPr>
            <w:tcW w:type="dxa" w:w="2160"/>
            <w:tcBorders>
              <w:top w:val="single" w:sz="4" w:space="0" w:color="000000"/>
              <w:left w:val="single" w:sz="4" w:space="0" w:color="000000"/>
              <w:bottom w:val="single" w:sz="4" w:space="0" w:color="000000"/>
              <w:right w:val="single" w:sz="4" w:space="0" w:color="000000"/>
            </w:tcBorders>
            <w:vAlign w:val="center"/>
          </w:tcPr>
          <w:p>
            <w:r>
              <w:t>results/day1_smoketest.csv; this report.</w:t>
            </w:r>
          </w:p>
        </w:tc>
      </w:tr>
      <w:tr>
        <w:tc>
          <w:tcPr>
            <w:tcW w:type="dxa" w:w="2160"/>
            <w:tcBorders>
              <w:top w:val="single" w:sz="4" w:space="0" w:color="000000"/>
              <w:left w:val="single" w:sz="4" w:space="0" w:color="000000"/>
              <w:bottom w:val="single" w:sz="4" w:space="0" w:color="000000"/>
              <w:right w:val="single" w:sz="4" w:space="0" w:color="000000"/>
            </w:tcBorders>
            <w:vAlign w:val="center"/>
          </w:tcPr>
          <w:p>
            <w:r>
              <w:t>2</w:t>
            </w:r>
          </w:p>
        </w:tc>
        <w:tc>
          <w:tcPr>
            <w:tcW w:type="dxa" w:w="2160"/>
            <w:tcBorders>
              <w:top w:val="single" w:sz="4" w:space="0" w:color="000000"/>
              <w:left w:val="single" w:sz="4" w:space="0" w:color="000000"/>
              <w:bottom w:val="single" w:sz="4" w:space="0" w:color="000000"/>
              <w:right w:val="single" w:sz="4" w:space="0" w:color="000000"/>
            </w:tcBorders>
            <w:vAlign w:val="center"/>
          </w:tcPr>
          <w:p>
            <w:r>
              <w:t>Full-budget unimodal baselines</w:t>
            </w:r>
          </w:p>
        </w:tc>
        <w:tc>
          <w:tcPr>
            <w:tcW w:type="dxa" w:w="2160"/>
            <w:tcBorders>
              <w:top w:val="single" w:sz="4" w:space="0" w:color="000000"/>
              <w:left w:val="single" w:sz="4" w:space="0" w:color="000000"/>
              <w:bottom w:val="single" w:sz="4" w:space="0" w:color="000000"/>
              <w:right w:val="single" w:sz="4" w:space="0" w:color="000000"/>
            </w:tcBorders>
            <w:vAlign w:val="center"/>
          </w:tcPr>
          <w:p>
            <w:r>
              <w:t>Run AST, ViT and EEGNet at the paper-faithful epoch counts on all 42 subjects; remove the EEGNet softmax-then-CrossEntropyLoss defect; log per-subject accuracies and test logits.</w:t>
            </w:r>
          </w:p>
        </w:tc>
        <w:tc>
          <w:tcPr>
            <w:tcW w:type="dxa" w:w="2160"/>
            <w:tcBorders>
              <w:top w:val="single" w:sz="4" w:space="0" w:color="000000"/>
              <w:left w:val="single" w:sz="4" w:space="0" w:color="000000"/>
              <w:bottom w:val="single" w:sz="4" w:space="0" w:color="000000"/>
              <w:right w:val="single" w:sz="4" w:space="0" w:color="000000"/>
            </w:tcBorders>
            <w:vAlign w:val="center"/>
          </w:tcPr>
          <w:p>
            <w:r>
              <w:t>Per-subject results CSV; per-subject logit tensors; mean ± std table.</w:t>
            </w:r>
          </w:p>
        </w:tc>
      </w:tr>
      <w:tr>
        <w:tc>
          <w:tcPr>
            <w:tcW w:type="dxa" w:w="2160"/>
            <w:tcBorders>
              <w:top w:val="single" w:sz="4" w:space="0" w:color="000000"/>
              <w:left w:val="single" w:sz="4" w:space="0" w:color="000000"/>
              <w:bottom w:val="single" w:sz="4" w:space="0" w:color="000000"/>
              <w:right w:val="single" w:sz="4" w:space="0" w:color="000000"/>
            </w:tcBorders>
            <w:vAlign w:val="center"/>
          </w:tcPr>
          <w:p>
            <w:r>
              <w:t>3</w:t>
            </w:r>
          </w:p>
        </w:tc>
        <w:tc>
          <w:tcPr>
            <w:tcW w:type="dxa" w:w="2160"/>
            <w:tcBorders>
              <w:top w:val="single" w:sz="4" w:space="0" w:color="000000"/>
              <w:left w:val="single" w:sz="4" w:space="0" w:color="000000"/>
              <w:bottom w:val="single" w:sz="4" w:space="0" w:color="000000"/>
              <w:right w:val="single" w:sz="4" w:space="0" w:color="000000"/>
            </w:tcBorders>
            <w:vAlign w:val="center"/>
          </w:tcPr>
          <w:p>
            <w:r>
              <w:t>Naïve late-fusion baseline</w:t>
            </w:r>
          </w:p>
        </w:tc>
        <w:tc>
          <w:tcPr>
            <w:tcW w:type="dxa" w:w="2160"/>
            <w:tcBorders>
              <w:top w:val="single" w:sz="4" w:space="0" w:color="000000"/>
              <w:left w:val="single" w:sz="4" w:space="0" w:color="000000"/>
              <w:bottom w:val="single" w:sz="4" w:space="0" w:color="000000"/>
              <w:right w:val="single" w:sz="4" w:space="0" w:color="000000"/>
            </w:tcBorders>
            <w:vAlign w:val="center"/>
          </w:tcPr>
          <w:p>
            <w:r>
              <w:t>Combine the per-modality softmax outputs from Day 2 by simple averaging and by validation-tuned weighted averaging; report the resulting fusion accuracy.</w:t>
            </w:r>
          </w:p>
        </w:tc>
        <w:tc>
          <w:tcPr>
            <w:tcW w:type="dxa" w:w="2160"/>
            <w:tcBorders>
              <w:top w:val="single" w:sz="4" w:space="0" w:color="000000"/>
              <w:left w:val="single" w:sz="4" w:space="0" w:color="000000"/>
              <w:bottom w:val="single" w:sz="4" w:space="0" w:color="000000"/>
              <w:right w:val="single" w:sz="4" w:space="0" w:color="000000"/>
            </w:tcBorders>
            <w:vAlign w:val="center"/>
          </w:tcPr>
          <w:p>
            <w:r>
              <w:t>Late-fusion CSV with per-subject and mean accuracies for both schemes.</w:t>
            </w:r>
          </w:p>
        </w:tc>
      </w:tr>
      <w:tr>
        <w:tc>
          <w:tcPr>
            <w:tcW w:type="dxa" w:w="2160"/>
            <w:tcBorders>
              <w:top w:val="single" w:sz="4" w:space="0" w:color="000000"/>
              <w:left w:val="single" w:sz="4" w:space="0" w:color="000000"/>
              <w:bottom w:val="single" w:sz="4" w:space="0" w:color="000000"/>
              <w:right w:val="single" w:sz="4" w:space="0" w:color="000000"/>
            </w:tcBorders>
            <w:vAlign w:val="center"/>
          </w:tcPr>
          <w:p>
            <w:r>
              <w:t>4</w:t>
            </w:r>
          </w:p>
        </w:tc>
        <w:tc>
          <w:tcPr>
            <w:tcW w:type="dxa" w:w="2160"/>
            <w:tcBorders>
              <w:top w:val="single" w:sz="4" w:space="0" w:color="000000"/>
              <w:left w:val="single" w:sz="4" w:space="0" w:color="000000"/>
              <w:bottom w:val="single" w:sz="4" w:space="0" w:color="000000"/>
              <w:right w:val="single" w:sz="4" w:space="0" w:color="000000"/>
            </w:tcBorders>
            <w:vAlign w:val="center"/>
          </w:tcPr>
          <w:p>
            <w:r>
              <w:t>Trimodal cross-attention fusion module</w:t>
            </w:r>
          </w:p>
        </w:tc>
        <w:tc>
          <w:tcPr>
            <w:tcW w:type="dxa" w:w="2160"/>
            <w:tcBorders>
              <w:top w:val="single" w:sz="4" w:space="0" w:color="000000"/>
              <w:left w:val="single" w:sz="4" w:space="0" w:color="000000"/>
              <w:bottom w:val="single" w:sz="4" w:space="0" w:color="000000"/>
              <w:right w:val="single" w:sz="4" w:space="0" w:color="000000"/>
            </w:tcBorders>
            <w:vAlign w:val="center"/>
          </w:tcPr>
          <w:p>
            <w:r>
              <w:t>Port the AttentionBlock from the Chumachenko ICPR 2022 repository and extend it to a six-way pairwise cross-modal attention scheme across audio, video and EEG; concatenate and pass through an MLP head.</w:t>
            </w:r>
          </w:p>
        </w:tc>
        <w:tc>
          <w:tcPr>
            <w:tcW w:type="dxa" w:w="2160"/>
            <w:tcBorders>
              <w:top w:val="single" w:sz="4" w:space="0" w:color="000000"/>
              <w:left w:val="single" w:sz="4" w:space="0" w:color="000000"/>
              <w:bottom w:val="single" w:sz="4" w:space="0" w:color="000000"/>
              <w:right w:val="single" w:sz="4" w:space="0" w:color="000000"/>
            </w:tcBorders>
            <w:vAlign w:val="center"/>
          </w:tcPr>
          <w:p>
            <w:r>
              <w:t>fusion module source code; first end-to-end forward and backward passes verified on a synthetic batch.</w:t>
            </w:r>
          </w:p>
        </w:tc>
      </w:tr>
      <w:tr>
        <w:tc>
          <w:tcPr>
            <w:tcW w:type="dxa" w:w="2160"/>
            <w:tcBorders>
              <w:top w:val="single" w:sz="4" w:space="0" w:color="000000"/>
              <w:left w:val="single" w:sz="4" w:space="0" w:color="000000"/>
              <w:bottom w:val="single" w:sz="4" w:space="0" w:color="000000"/>
              <w:right w:val="single" w:sz="4" w:space="0" w:color="000000"/>
            </w:tcBorders>
            <w:vAlign w:val="center"/>
          </w:tcPr>
          <w:p>
            <w:r>
              <w:t>5</w:t>
            </w:r>
          </w:p>
        </w:tc>
        <w:tc>
          <w:tcPr>
            <w:tcW w:type="dxa" w:w="2160"/>
            <w:tcBorders>
              <w:top w:val="single" w:sz="4" w:space="0" w:color="000000"/>
              <w:left w:val="single" w:sz="4" w:space="0" w:color="000000"/>
              <w:bottom w:val="single" w:sz="4" w:space="0" w:color="000000"/>
              <w:right w:val="single" w:sz="4" w:space="0" w:color="000000"/>
            </w:tcBorders>
            <w:vAlign w:val="center"/>
          </w:tcPr>
          <w:p>
            <w:r>
              <w:t>Train and evaluate cross-attention fusion</w:t>
            </w:r>
          </w:p>
        </w:tc>
        <w:tc>
          <w:tcPr>
            <w:tcW w:type="dxa" w:w="2160"/>
            <w:tcBorders>
              <w:top w:val="single" w:sz="4" w:space="0" w:color="000000"/>
              <w:left w:val="single" w:sz="4" w:space="0" w:color="000000"/>
              <w:bottom w:val="single" w:sz="4" w:space="0" w:color="000000"/>
              <w:right w:val="single" w:sz="4" w:space="0" w:color="000000"/>
            </w:tcBorders>
            <w:vAlign w:val="center"/>
          </w:tcPr>
          <w:p>
            <w:r>
              <w:t>Jointly fine-tune the three encoders and the fusion module on EAV; compare against the naïve late-fusion baseline from Day 3.</w:t>
            </w:r>
          </w:p>
        </w:tc>
        <w:tc>
          <w:tcPr>
            <w:tcW w:type="dxa" w:w="2160"/>
            <w:tcBorders>
              <w:top w:val="single" w:sz="4" w:space="0" w:color="000000"/>
              <w:left w:val="single" w:sz="4" w:space="0" w:color="000000"/>
              <w:bottom w:val="single" w:sz="4" w:space="0" w:color="000000"/>
              <w:right w:val="single" w:sz="4" w:space="0" w:color="000000"/>
            </w:tcBorders>
            <w:vAlign w:val="center"/>
          </w:tcPr>
          <w:p>
            <w:r>
              <w:t>Cross-attention fusion CSV; comparison table against late fusion.</w:t>
            </w:r>
          </w:p>
        </w:tc>
      </w:tr>
      <w:tr>
        <w:tc>
          <w:tcPr>
            <w:tcW w:type="dxa" w:w="2160"/>
            <w:tcBorders>
              <w:top w:val="single" w:sz="4" w:space="0" w:color="000000"/>
              <w:left w:val="single" w:sz="4" w:space="0" w:color="000000"/>
              <w:bottom w:val="single" w:sz="4" w:space="0" w:color="000000"/>
              <w:right w:val="single" w:sz="4" w:space="0" w:color="000000"/>
            </w:tcBorders>
            <w:vAlign w:val="center"/>
          </w:tcPr>
          <w:p>
            <w:r>
              <w:t>6</w:t>
            </w:r>
          </w:p>
        </w:tc>
        <w:tc>
          <w:tcPr>
            <w:tcW w:type="dxa" w:w="2160"/>
            <w:tcBorders>
              <w:top w:val="single" w:sz="4" w:space="0" w:color="000000"/>
              <w:left w:val="single" w:sz="4" w:space="0" w:color="000000"/>
              <w:bottom w:val="single" w:sz="4" w:space="0" w:color="000000"/>
              <w:right w:val="single" w:sz="4" w:space="0" w:color="000000"/>
            </w:tcBorders>
            <w:vAlign w:val="center"/>
          </w:tcPr>
          <w:p>
            <w:r>
              <w:t>Stretch: MERCL contrastive pre-training</w:t>
            </w:r>
          </w:p>
        </w:tc>
        <w:tc>
          <w:tcPr>
            <w:tcW w:type="dxa" w:w="2160"/>
            <w:tcBorders>
              <w:top w:val="single" w:sz="4" w:space="0" w:color="000000"/>
              <w:left w:val="single" w:sz="4" w:space="0" w:color="000000"/>
              <w:bottom w:val="single" w:sz="4" w:space="0" w:color="000000"/>
              <w:right w:val="single" w:sz="4" w:space="0" w:color="000000"/>
            </w:tcBorders>
            <w:vAlign w:val="center"/>
          </w:tcPr>
          <w:p>
            <w:r>
              <w:t>Implement the AMCL, EMCL and SMCL losses; pre-train the encoders for five to ten epochs; then fine-tune the cross-attention fusion as on Day 5.</w:t>
            </w:r>
          </w:p>
        </w:tc>
        <w:tc>
          <w:tcPr>
            <w:tcW w:type="dxa" w:w="2160"/>
            <w:tcBorders>
              <w:top w:val="single" w:sz="4" w:space="0" w:color="000000"/>
              <w:left w:val="single" w:sz="4" w:space="0" w:color="000000"/>
              <w:bottom w:val="single" w:sz="4" w:space="0" w:color="000000"/>
              <w:right w:val="single" w:sz="4" w:space="0" w:color="000000"/>
            </w:tcBorders>
            <w:vAlign w:val="center"/>
          </w:tcPr>
          <w:p>
            <w:r>
              <w:t>MERCL-pretrained encoder checkpoints; results CSV; ablation row.</w:t>
            </w:r>
          </w:p>
        </w:tc>
      </w:tr>
      <w:tr>
        <w:tc>
          <w:tcPr>
            <w:tcW w:type="dxa" w:w="2160"/>
            <w:tcBorders>
              <w:top w:val="single" w:sz="4" w:space="0" w:color="000000"/>
              <w:left w:val="single" w:sz="4" w:space="0" w:color="000000"/>
              <w:bottom w:val="single" w:sz="4" w:space="0" w:color="000000"/>
              <w:right w:val="single" w:sz="4" w:space="0" w:color="000000"/>
            </w:tcBorders>
            <w:vAlign w:val="center"/>
          </w:tcPr>
          <w:p>
            <w:r>
              <w:t>7</w:t>
            </w:r>
          </w:p>
        </w:tc>
        <w:tc>
          <w:tcPr>
            <w:tcW w:type="dxa" w:w="2160"/>
            <w:tcBorders>
              <w:top w:val="single" w:sz="4" w:space="0" w:color="000000"/>
              <w:left w:val="single" w:sz="4" w:space="0" w:color="000000"/>
              <w:bottom w:val="single" w:sz="4" w:space="0" w:color="000000"/>
              <w:right w:val="single" w:sz="4" w:space="0" w:color="000000"/>
            </w:tcBorders>
            <w:vAlign w:val="center"/>
          </w:tcPr>
          <w:p>
            <w:r>
              <w:t>Robustness and per-class analysis</w:t>
            </w:r>
          </w:p>
        </w:tc>
        <w:tc>
          <w:tcPr>
            <w:tcW w:type="dxa" w:w="2160"/>
            <w:tcBorders>
              <w:top w:val="single" w:sz="4" w:space="0" w:color="000000"/>
              <w:left w:val="single" w:sz="4" w:space="0" w:color="000000"/>
              <w:bottom w:val="single" w:sz="4" w:space="0" w:color="000000"/>
              <w:right w:val="single" w:sz="4" w:space="0" w:color="000000"/>
            </w:tcBorders>
            <w:vAlign w:val="center"/>
          </w:tcPr>
          <w:p>
            <w:r>
              <w:t>Apply the softhard modality-dropout scheme during training; report performance under each individual modality removal at inference time; produce per-emotion F1 and confusion matrices.</w:t>
            </w:r>
          </w:p>
        </w:tc>
        <w:tc>
          <w:tcPr>
            <w:tcW w:type="dxa" w:w="2160"/>
            <w:tcBorders>
              <w:top w:val="single" w:sz="4" w:space="0" w:color="000000"/>
              <w:left w:val="single" w:sz="4" w:space="0" w:color="000000"/>
              <w:bottom w:val="single" w:sz="4" w:space="0" w:color="000000"/>
              <w:right w:val="single" w:sz="4" w:space="0" w:color="000000"/>
            </w:tcBorders>
            <w:vAlign w:val="center"/>
          </w:tcPr>
          <w:p>
            <w:r>
              <w:t>Robustness CSV; per-modality degradation table; confusion-matrix figures for the best model.</w:t>
            </w:r>
          </w:p>
        </w:tc>
      </w:tr>
      <w:tr>
        <w:tc>
          <w:tcPr>
            <w:tcW w:type="dxa" w:w="2160"/>
            <w:tcBorders>
              <w:top w:val="single" w:sz="4" w:space="0" w:color="000000"/>
              <w:left w:val="single" w:sz="4" w:space="0" w:color="000000"/>
              <w:bottom w:val="single" w:sz="4" w:space="0" w:color="000000"/>
              <w:right w:val="single" w:sz="4" w:space="0" w:color="000000"/>
            </w:tcBorders>
            <w:vAlign w:val="center"/>
          </w:tcPr>
          <w:p>
            <w:r>
              <w:t>8</w:t>
            </w:r>
          </w:p>
        </w:tc>
        <w:tc>
          <w:tcPr>
            <w:tcW w:type="dxa" w:w="2160"/>
            <w:tcBorders>
              <w:top w:val="single" w:sz="4" w:space="0" w:color="000000"/>
              <w:left w:val="single" w:sz="4" w:space="0" w:color="000000"/>
              <w:bottom w:val="single" w:sz="4" w:space="0" w:color="000000"/>
              <w:right w:val="single" w:sz="4" w:space="0" w:color="000000"/>
            </w:tcBorders>
            <w:vAlign w:val="center"/>
          </w:tcPr>
          <w:p>
            <w:r>
              <w:t>Stretch: leave-one-subject-out evaluation</w:t>
            </w:r>
          </w:p>
        </w:tc>
        <w:tc>
          <w:tcPr>
            <w:tcW w:type="dxa" w:w="2160"/>
            <w:tcBorders>
              <w:top w:val="single" w:sz="4" w:space="0" w:color="000000"/>
              <w:left w:val="single" w:sz="4" w:space="0" w:color="000000"/>
              <w:bottom w:val="single" w:sz="4" w:space="0" w:color="000000"/>
              <w:right w:val="single" w:sz="4" w:space="0" w:color="000000"/>
            </w:tcBorders>
            <w:vAlign w:val="center"/>
          </w:tcPr>
          <w:p>
            <w:r>
              <w:t>Re-evaluate the best model from Day 5 (or Day 6 if completed) under a leave-one-subject-out cross-validation protocol, in order to report subject-independent accuracy as required for a credible thesis.</w:t>
            </w:r>
          </w:p>
        </w:tc>
        <w:tc>
          <w:tcPr>
            <w:tcW w:type="dxa" w:w="2160"/>
            <w:tcBorders>
              <w:top w:val="single" w:sz="4" w:space="0" w:color="000000"/>
              <w:left w:val="single" w:sz="4" w:space="0" w:color="000000"/>
              <w:bottom w:val="single" w:sz="4" w:space="0" w:color="000000"/>
              <w:right w:val="single" w:sz="4" w:space="0" w:color="000000"/>
            </w:tcBorders>
            <w:vAlign w:val="center"/>
          </w:tcPr>
          <w:p>
            <w:r>
              <w:t>LOSO CSV; subject-independent mean ± std numbers.</w:t>
            </w:r>
          </w:p>
        </w:tc>
      </w:tr>
      <w:tr>
        <w:tc>
          <w:tcPr>
            <w:tcW w:type="dxa" w:w="2160"/>
            <w:tcBorders>
              <w:top w:val="single" w:sz="4" w:space="0" w:color="000000"/>
              <w:left w:val="single" w:sz="4" w:space="0" w:color="000000"/>
              <w:bottom w:val="single" w:sz="4" w:space="0" w:color="000000"/>
              <w:right w:val="single" w:sz="4" w:space="0" w:color="000000"/>
            </w:tcBorders>
            <w:vAlign w:val="center"/>
          </w:tcPr>
          <w:p>
            <w:r>
              <w:t>9</w:t>
            </w:r>
          </w:p>
        </w:tc>
        <w:tc>
          <w:tcPr>
            <w:tcW w:type="dxa" w:w="2160"/>
            <w:tcBorders>
              <w:top w:val="single" w:sz="4" w:space="0" w:color="000000"/>
              <w:left w:val="single" w:sz="4" w:space="0" w:color="000000"/>
              <w:bottom w:val="single" w:sz="4" w:space="0" w:color="000000"/>
              <w:right w:val="single" w:sz="4" w:space="0" w:color="000000"/>
            </w:tcBorders>
            <w:vAlign w:val="center"/>
          </w:tcPr>
          <w:p>
            <w:r>
              <w:t>Writing: methods and results</w:t>
            </w:r>
          </w:p>
        </w:tc>
        <w:tc>
          <w:tcPr>
            <w:tcW w:type="dxa" w:w="2160"/>
            <w:tcBorders>
              <w:top w:val="single" w:sz="4" w:space="0" w:color="000000"/>
              <w:left w:val="single" w:sz="4" w:space="0" w:color="000000"/>
              <w:bottom w:val="single" w:sz="4" w:space="0" w:color="000000"/>
              <w:right w:val="single" w:sz="4" w:space="0" w:color="000000"/>
            </w:tcBorders>
            <w:vAlign w:val="center"/>
          </w:tcPr>
          <w:p>
            <w:r>
              <w:t>Draft the Methods and Experiments chapters of the thesis; produce the architecture diagram; finalise the result tables.</w:t>
            </w:r>
          </w:p>
        </w:tc>
        <w:tc>
          <w:tcPr>
            <w:tcW w:type="dxa" w:w="2160"/>
            <w:tcBorders>
              <w:top w:val="single" w:sz="4" w:space="0" w:color="000000"/>
              <w:left w:val="single" w:sz="4" w:space="0" w:color="000000"/>
              <w:bottom w:val="single" w:sz="4" w:space="0" w:color="000000"/>
              <w:right w:val="single" w:sz="4" w:space="0" w:color="000000"/>
            </w:tcBorders>
            <w:vAlign w:val="center"/>
          </w:tcPr>
          <w:p>
            <w:r>
              <w:t>Methods chapter draft; results chapter draft; architecture figure.</w:t>
            </w:r>
          </w:p>
        </w:tc>
      </w:tr>
      <w:tr>
        <w:tc>
          <w:tcPr>
            <w:tcW w:type="dxa" w:w="2160"/>
            <w:tcBorders>
              <w:top w:val="single" w:sz="4" w:space="0" w:color="000000"/>
              <w:left w:val="single" w:sz="4" w:space="0" w:color="000000"/>
              <w:bottom w:val="single" w:sz="4" w:space="0" w:color="000000"/>
              <w:right w:val="single" w:sz="4" w:space="0" w:color="000000"/>
            </w:tcBorders>
            <w:vAlign w:val="center"/>
          </w:tcPr>
          <w:p>
            <w:r>
              <w:t>10</w:t>
            </w:r>
          </w:p>
        </w:tc>
        <w:tc>
          <w:tcPr>
            <w:tcW w:type="dxa" w:w="2160"/>
            <w:tcBorders>
              <w:top w:val="single" w:sz="4" w:space="0" w:color="000000"/>
              <w:left w:val="single" w:sz="4" w:space="0" w:color="000000"/>
              <w:bottom w:val="single" w:sz="4" w:space="0" w:color="000000"/>
              <w:right w:val="single" w:sz="4" w:space="0" w:color="000000"/>
            </w:tcBorders>
            <w:vAlign w:val="center"/>
          </w:tcPr>
          <w:p>
            <w:r>
              <w:t>Polish and defence preparation</w:t>
            </w:r>
          </w:p>
        </w:tc>
        <w:tc>
          <w:tcPr>
            <w:tcW w:type="dxa" w:w="2160"/>
            <w:tcBorders>
              <w:top w:val="single" w:sz="4" w:space="0" w:color="000000"/>
              <w:left w:val="single" w:sz="4" w:space="0" w:color="000000"/>
              <w:bottom w:val="single" w:sz="4" w:space="0" w:color="000000"/>
              <w:right w:val="single" w:sz="4" w:space="0" w:color="000000"/>
            </w:tcBorders>
            <w:vAlign w:val="center"/>
          </w:tcPr>
          <w:p>
            <w:r>
              <w:t>Write the limitations and future-work discussion; build the slide deck for the defence; final read-through of the thesis draft.</w:t>
            </w:r>
          </w:p>
        </w:tc>
        <w:tc>
          <w:tcPr>
            <w:tcW w:type="dxa" w:w="2160"/>
            <w:tcBorders>
              <w:top w:val="single" w:sz="4" w:space="0" w:color="000000"/>
              <w:left w:val="single" w:sz="4" w:space="0" w:color="000000"/>
              <w:bottom w:val="single" w:sz="4" w:space="0" w:color="000000"/>
              <w:right w:val="single" w:sz="4" w:space="0" w:color="000000"/>
            </w:tcBorders>
            <w:vAlign w:val="center"/>
          </w:tcPr>
          <w:p>
            <w:r>
              <w:t>Final report PDF (or DOCX); defence slides; reproducibility checklist.</w:t>
            </w:r>
          </w:p>
        </w:tc>
      </w:tr>
    </w:tbl>
    <w:p>
      <w:pPr>
        <w:jc w:val="center"/>
      </w:pPr>
      <w:r>
        <w:rPr>
          <w:b w:val="0"/>
          <w:i/>
          <w:sz w:val="20"/>
        </w:rPr>
        <w:t>Table 3. The ten-day research plan, summarised. Days marked “stretch” (Day 6 and Day 8) are conditional on prior progress.</w:t>
      </w:r>
    </w:p>
    <w:p/>
    <w:p>
      <w:pPr>
        <w:pStyle w:val="Heading2"/>
      </w:pPr>
      <w:r>
        <w:t>4.2 Day-by-Day Elaboration</w:t>
      </w:r>
    </w:p>
    <w:p>
      <w:pPr>
        <w:pStyle w:val="Heading3"/>
      </w:pPr>
      <w:r>
        <w:t>Day 1 — Setup and reproduction</w:t>
      </w:r>
    </w:p>
    <w:p>
      <w:r>
        <w:t>Day 1 (this report) is the foundation on which every subsequent day depends. Without a working environment, a verifiable workflow, and known-good per-modality smoke results, the schedule cannot proceed. By the end of Day 1, every defect on the pipeline is documented and fixed, and the cost-of-error for each subsequent experiment is therefore minimised. This is a critical day with no buffer; its objectives have been met.</w:t>
      </w:r>
    </w:p>
    <w:p>
      <w:pPr>
        <w:pStyle w:val="Heading3"/>
      </w:pPr>
      <w:r>
        <w:t>Day 2 — Full-budget unimodal baselines</w:t>
      </w:r>
    </w:p>
    <w:p>
      <w:r>
        <w:t>Day 2 runs the three modality-specific encoders at the epoch counts recommended in the EAV repository and the source paper. These numbers establish the upper bound that any single modality can reach on EAV, against which fusion gains will be measured later. Day 2 also fixes the EEGNet softmax-then-CrossEntropyLoss defect uncovered on Day 1, which is expected to substantially improve the EEG numbers. Day 2 is critical; it feeds the entire fusion chain.</w:t>
      </w:r>
    </w:p>
    <w:p>
      <w:pPr>
        <w:pStyle w:val="Heading3"/>
      </w:pPr>
      <w:r>
        <w:t>Day 3 — Naïve late-fusion baseline</w:t>
      </w:r>
    </w:p>
    <w:p>
      <w:r>
        <w:t>Day 3 produces the simplest possible fusion baseline: the per-modality softmax probabilities from Day 2 are averaged on a per-trial basis, and a validation-tuned weighted variant is also computed. This baseline is essential context for evaluating the more sophisticated cross-attention fusion: any cross-attention improvement that fails to beat naïve averaging is not a real improvement. Day 3 depends entirely on Day 2.</w:t>
      </w:r>
    </w:p>
    <w:p>
      <w:pPr>
        <w:pStyle w:val="Heading3"/>
      </w:pPr>
      <w:r>
        <w:t>Day 4 — Cross-attention fusion module</w:t>
      </w:r>
    </w:p>
    <w:p>
      <w:r>
        <w:t>Day 4 ports the AttentionBlock and Attention classes from the Chumachenko ICPR 2022 repository and extends them from the original audio–video pairwise scheme to a six-way trimodal scheme that computes attention across all three ordered pairs of modalities. The output is concatenated and fed through a small classifier head. This day produces no numbers, only working code; the first end-to-end forward and backward pass on a synthetic batch is the success criterion. Day 4 is critical; everything from Day 5 onwards depends on a functioning fusion module.</w:t>
      </w:r>
    </w:p>
    <w:p>
      <w:pPr>
        <w:pStyle w:val="Heading3"/>
      </w:pPr>
      <w:r>
        <w:t>Day 5 — Train and evaluate cross-attention fusion</w:t>
      </w:r>
    </w:p>
    <w:p>
      <w:r>
        <w:t>Day 5 trains the trimodal fusion module end-to-end against EAV. The result, the central empirical contribution of the thesis, is a fusion accuracy that is to be contrasted both with the per-modality ceilings from Day 2 and with the naïve late-fusion baseline from Day 3. If Day 5 succeeds in beating Day 3, the thesis has a clean headline result even if the stretch days are not completed.</w:t>
      </w:r>
    </w:p>
    <w:p>
      <w:pPr>
        <w:pStyle w:val="Heading3"/>
      </w:pPr>
      <w:r>
        <w:t>Day 6 — Stretch: MERCL contrastive pre-training</w:t>
      </w:r>
    </w:p>
    <w:p>
      <w:r>
        <w:t>Day 6 implements the three contrastive losses (AMCL, EMCL, SMCL) described by Lee et al. (2024) and uses them to pre-train the encoders for a small number of epochs before re-running the Day-5 fine-tuning recipe. The expectation, based on the source paper’s ablation, is a further four-point gain on top of cross-attention. If Day 5 finishes late or fusion training proves brittle, Day 6 is the first item to be cut.</w:t>
      </w:r>
    </w:p>
    <w:p>
      <w:pPr>
        <w:pStyle w:val="Heading3"/>
      </w:pPr>
      <w:r>
        <w:t>Day 7 — Robustness and per-class analysis</w:t>
      </w:r>
    </w:p>
    <w:p>
      <w:r>
        <w:t>Day 7 evaluates the best fusion model under two distinct lenses. First, modality-dropout robustness is studied by zeroing each modality at inference time and measuring the resulting accuracy drop, which characterises whether any single modality dominates the decision. Second, per-emotion confusion matrices are produced so that, for example, a model that is excellent at Happiness but guesses on Anger can be identified as such. Day 7 also serves as a buffer day; if earlier work has run over, robustness analysis can be deferred to a smaller scope without sacrificing the core claim.</w:t>
      </w:r>
    </w:p>
    <w:p>
      <w:pPr>
        <w:pStyle w:val="Heading3"/>
      </w:pPr>
      <w:r>
        <w:t>Day 8 — Stretch: leave-one-subject-out evaluation</w:t>
      </w:r>
    </w:p>
    <w:p>
      <w:r>
        <w:t>Day 8 re-evaluates the best system under a leave-one-subject-out (LOSO) cross-validation protocol, which is the standard for claiming subject-independent generalisation in affective computing. LOSO is computationally expensive (it multiplies the cost of training by the number of held-out subjects), and is therefore treated as a stretch goal; if it is not completed, the absence of LOSO numbers is acknowledged as a limitation in the written discussion.</w:t>
      </w:r>
    </w:p>
    <w:p>
      <w:pPr>
        <w:pStyle w:val="Heading3"/>
      </w:pPr>
      <w:r>
        <w:t>Day 9 — Writing: methods and results</w:t>
      </w:r>
    </w:p>
    <w:p>
      <w:r>
        <w:t>Day 9 is the principal writing day. The methods chapter is drafted with reference to the implementation in the repository, the architecture diagram is produced, and the results tables are finalised from the CSVs produced on earlier days. This day depends on Days 2 through 7 having produced concrete outputs.</w:t>
      </w:r>
    </w:p>
    <w:p>
      <w:pPr>
        <w:pStyle w:val="Heading3"/>
      </w:pPr>
      <w:r>
        <w:t>Day 10 — Polish and defence preparation</w:t>
      </w:r>
    </w:p>
    <w:p>
      <w:r>
        <w:t>Day 10 produces the limitations and future-work sections, builds the defence slide deck, and performs a final pass over the thesis draft. Day 10 is treated as polish-only; new experiments are not started on this day except in response to clearly trivial issues discovered during the read-through.</w:t>
      </w:r>
    </w:p>
    <w:p>
      <w:pPr>
        <w:pStyle w:val="Heading2"/>
      </w:pPr>
      <w:r>
        <w:t>4.3 Critical Path and Dependency Structure</w:t>
      </w:r>
    </w:p>
    <w:p>
      <w:r>
        <w:t>Five of the ten days lie on the critical path: Day 1 (without which nothing else runs), Day 2 (which feeds the fusion chain), Day 4 (the fusion module itself), Day 5 (the headline result), and Day 9 (writing, without which no thesis exists). Day 3’s late-fusion baseline is also strictly required because it provides the comparison point against which the cross-attention contribution is claimed; however, it is much shorter than the surrounding days and is therefore not the bottleneck.</w:t>
      </w:r>
    </w:p>
    <w:p>
      <w:r>
        <w:t>Days 6 and 8 are explicit stretch goals: the MERCL pre-training stage and the leave-one-subject-out evaluation are both highly desirable but neither is strictly necessary for a defensible thesis. Should the schedule slip, they are the first items to be cut, in that order. Day 7 (robustness and per-class analysis) is somewhat elastic in scope: at the minimum, modality-dropout robustness must be reported, since it is the natural answer to the most likely defence question (“what happens when a modality is missing?”). The fuller per-emotion confusion-matrix analysis is desirable but can be shortened if required.</w:t>
      </w:r>
    </w:p>
    <w:p>
      <w:r>
        <w:t>Day 10 must not be compressed. Defence preparation and a final limitations pass routinely uncover small but consequential issues, and the schedule deliberately leaves the last day clear of new experimental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