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sz w:val="48"/>
        </w:rPr>
        <w:t>Day 2 Progress Report</w:t>
      </w:r>
    </w:p>
    <w:p>
      <w:pPr>
        <w:jc w:val="center"/>
      </w:pPr>
      <w:r>
        <w:rPr>
          <w:b w:val="0"/>
          <w:i/>
          <w:sz w:val="28"/>
        </w:rPr>
        <w:t>Multimodal Emotion Recognition Using Audio, Video and EEG Signals</w:t>
      </w:r>
    </w:p>
    <w:p/>
    <w:p/>
    <w:p/>
    <w:p/>
    <w:p/>
    <w:p/>
    <w:p>
      <w:pPr>
        <w:jc w:val="center"/>
      </w:pPr>
      <w:r>
        <w:rPr>
          <w:b/>
          <w:i w:val="0"/>
          <w:sz w:val="24"/>
        </w:rPr>
        <w:t>Author</w:t>
      </w:r>
    </w:p>
    <w:p>
      <w:pPr>
        <w:jc w:val="center"/>
      </w:pPr>
      <w:r>
        <w:rPr>
          <w:b w:val="0"/>
          <w:i w:val="0"/>
          <w:sz w:val="24"/>
        </w:rPr>
        <w:t>Shafin</w:t>
      </w:r>
    </w:p>
    <w:p/>
    <w:p>
      <w:pPr>
        <w:jc w:val="center"/>
      </w:pPr>
      <w:r>
        <w:rPr>
          <w:b/>
          <w:i w:val="0"/>
          <w:sz w:val="24"/>
        </w:rPr>
        <w:t>Institution</w:t>
      </w:r>
    </w:p>
    <w:p>
      <w:pPr>
        <w:jc w:val="center"/>
      </w:pPr>
      <w:r>
        <w:rPr>
          <w:b w:val="0"/>
          <w:i w:val="0"/>
          <w:sz w:val="24"/>
        </w:rPr>
        <w:t>[Institution name — to be filled in]</w:t>
      </w:r>
    </w:p>
    <w:p/>
    <w:p>
      <w:pPr>
        <w:jc w:val="center"/>
      </w:pPr>
      <w:r>
        <w:rPr>
          <w:b/>
          <w:i w:val="0"/>
          <w:sz w:val="24"/>
        </w:rPr>
        <w:t>Date</w:t>
      </w:r>
    </w:p>
    <w:p>
      <w:pPr>
        <w:jc w:val="center"/>
      </w:pPr>
      <w:r>
        <w:rPr>
          <w:b w:val="0"/>
          <w:i w:val="0"/>
          <w:sz w:val="24"/>
        </w:rPr>
        <w:t>May 20, 2026</w:t>
      </w:r>
    </w:p>
    <w:p>
      <w:r>
        <w:br w:type="page"/>
      </w:r>
    </w:p>
    <w:p>
      <w:r>
        <w:rPr>
          <w:b/>
          <w:i w:val="0"/>
          <w:sz w:val="36"/>
        </w:rPr>
        <w:t>Table of Contents</w:t>
      </w:r>
    </w:p>
    <w:p/>
    <w:p>
      <w:r>
        <w:fldChar w:fldCharType="begin"/>
        <w:instrText xml:space="preserve">TOC \o "1-2" \h \z \u</w:instrText>
        <w:fldChar w:fldCharType="separate"/>
        <w:t>Right-click here and choose “Update Field” to populate the table of contents.</w:t>
        <w:fldChar w:fldCharType="end"/>
      </w:r>
    </w:p>
    <w:p>
      <w:r>
        <w:br w:type="page"/>
      </w:r>
    </w:p>
    <w:p>
      <w:pPr>
        <w:pStyle w:val="Heading1"/>
      </w:pPr>
      <w:r>
        <w:t>1. Objectives for Day 2</w:t>
      </w:r>
    </w:p>
    <w:p>
      <w:pPr>
        <w:pStyle w:val="Heading2"/>
      </w:pPr>
      <w:r>
        <w:t>1.1 Primary Objectives</w:t>
      </w:r>
    </w:p>
    <w:p>
      <w:r>
        <w:t>Day 2 was scheduled as the first full-budget training day of the project. Where Day 1 had executed an intentionally minimal “smoke-test” to validate that the per-modality pipelines could be made to run end-to-end, Day 2 was concerned with training each modality at the epoch counts recommended by the EAV repository and thereby producing the first credible per-modality baselines on the EAV dataset. Five primary objectives were set for the day.</w:t>
      </w:r>
    </w:p>
    <w:p>
      <w:pPr>
        <w:pStyle w:val="ListNumber"/>
      </w:pPr>
      <w:r>
        <w:t>Train the AST audio model for ten frozen epochs followed by fifteen fine-tuning epochs, the ViT vision model for ten frozen epochs followed by five fine-tuning epochs, and the EEGNet model for three hundred and fifty epochs, on a subset of three subjects, with all three modalities exercised end-to-end.</w:t>
      </w:r>
    </w:p>
    <w:p>
      <w:pPr>
        <w:pStyle w:val="ListNumber"/>
      </w:pPr>
      <w:r>
        <w:t>Verify that the two EEG-specific fixes applied late on Day 1 — namely the removal of the trailing softmax layer from `EEGNet_tor.forward`, and the relocation of `self.model.train()` inside the epoch loop of `Trainer_uni.train()` — actually improve EEG accuracy when run at the full three-hundred-and-fifty-epoch training budget.</w:t>
      </w:r>
    </w:p>
    <w:p>
      <w:pPr>
        <w:pStyle w:val="ListNumber"/>
      </w:pPr>
      <w:r>
        <w:t>Persist per-subject test logits to Google Drive as compressed NumPy archives so that Day 3’s naïve late-fusion baseline and Day 4’s trimodal cross-modal attention fusion module can consume those logits without re-running the per-modality encoders.</w:t>
      </w:r>
    </w:p>
    <w:p>
      <w:pPr>
        <w:pStyle w:val="ListNumber"/>
      </w:pPr>
      <w:r>
        <w:t>Measure wall-clock training time per subject and per modality on the free-tier Tesla T4 GPU provided by Google Colab, in order to forecast the time and number of sessions required to extend the per-modality training to all forty-two subjects of EAV.</w:t>
      </w:r>
    </w:p>
    <w:p>
      <w:pPr>
        <w:pStyle w:val="ListNumber"/>
      </w:pPr>
      <w:r>
        <w:t>Decide, on the basis of the measured wall-clock budget, whether to upgrade to Colab Pro before the full forty-two-subject rollout begins on Day 3.</w:t>
      </w:r>
    </w:p>
    <w:p>
      <w:pPr>
        <w:pStyle w:val="Heading2"/>
      </w:pPr>
      <w:r>
        <w:t>1.2 Secondary Objectives</w:t>
      </w:r>
    </w:p>
    <w:p>
      <w:r>
        <w:t>In addition to the primary objectives above, Day 2 carried three secondary objectives. These were not gating, but their completion was intended to set up a stable basis for the remainder of the project.</w:t>
      </w:r>
    </w:p>
    <w:p>
      <w:pPr>
        <w:pStyle w:val="ListBullet"/>
      </w:pPr>
      <w:r>
        <w:t>Achieve per-modality accuracies that comfortably exceed the EAV paper’s published baselines of 52.8 % (DeepFace, vision), 36.7 % (SCNN, audio) and 36.7 % (EEGNet, EEG).</w:t>
      </w:r>
    </w:p>
    <w:p>
      <w:pPr>
        <w:pStyle w:val="ListBullet"/>
      </w:pPr>
      <w:r>
        <w:t>Validate the resume-aware skip logic in the training driver, which is intended to allow the driver to be re-executed safely after a kernel restart and to pick up at the next unfinished (subject, modality) pair without redoing completed work.</w:t>
      </w:r>
    </w:p>
    <w:p>
      <w:pPr>
        <w:pStyle w:val="ListBullet"/>
      </w:pPr>
      <w:r>
        <w:t>Continue to surface and fix any residual defects in the EAV reference repository or in the Day 1 driver code as they appear, rather than deferring them and accumulating technical debt.</w:t>
      </w:r>
    </w:p>
    <w:p>
      <w:r>
        <w:br w:type="page"/>
      </w:r>
    </w:p>
    <w:p>
      <w:pPr>
        <w:pStyle w:val="Heading1"/>
      </w:pPr>
      <w:r>
        <w:t>2. Work Completed</w:t>
      </w:r>
    </w:p>
    <w:p>
      <w:pPr>
        <w:pStyle w:val="Heading2"/>
      </w:pPr>
      <w:r>
        <w:t>2.1 Code Changes Committed</w:t>
      </w:r>
    </w:p>
    <w:p>
      <w:r>
        <w:t>Five distinct code changes were committed to the project repository over the course of Day 2. The first two were applied at the start of the day, before the full training run was triggered; the remaining three were applied in response to issues that emerged once training was underway.</w:t>
      </w:r>
    </w:p>
    <w:p>
      <w:pPr>
        <w:pStyle w:val="ListNumber"/>
      </w:pPr>
      <w:r>
        <w:t>Removed the trailing `nn.Softmax(dim=1)` layer from the EEGNet model. The `nn.CrossEntropyLoss` criterion that the trainer uses expects raw logits and applies log-softmax internally for numerical stability; applying a softmax in the model itself produced a degenerate composition that flattened gradients.</w:t>
      </w:r>
    </w:p>
    <w:p>
      <w:pPr>
        <w:pStyle w:val="ListNumber"/>
      </w:pPr>
      <w:r>
        <w:t>Relocated the call to `self.model.train()` from before the epoch loop to the top of the epoch loop in `Trainer_uni.train()`. The upstream EAV repository sets train mode once and then calls `self.validate()` at the end of every epoch; that validate routine switches the model to `eval` mode, so from epoch two onwards the model was training with BatchNorm in eval mode and Dropout disabled, silently impairing convergence.</w:t>
      </w:r>
    </w:p>
    <w:p>
      <w:pPr>
        <w:pStyle w:val="ListNumber"/>
      </w:pPr>
      <w:r>
        <w:t>Hardened the central `paths.py` module to auto-detect whether it is executing inside a Google Colab kernel. When Colab is detected, default paths now resolve to `/content/drive/MyDrive/Thesis_EAV/...`; environment variables, when set, continue to override the defaults. This removes a previously hidden requirement that the Colab session-start cell be run before the training cell.</w:t>
      </w:r>
    </w:p>
    <w:p>
      <w:pPr>
        <w:pStyle w:val="ListNumber"/>
      </w:pPr>
      <w:r>
        <w:t>Extended the Day 2 training driver with resume-aware skip logic. Before training any (subject, modality) pair, the driver now checks for the existence of the corresponding logit `.npz` file on Drive and skips the pair if it is already present. This allows the training cell to be re-executed safely after a kernel restart without redoing completed work.</w:t>
      </w:r>
    </w:p>
    <w:p>
      <w:pPr>
        <w:pStyle w:val="ListNumber"/>
      </w:pPr>
      <w:r>
        <w:t>Switched the result-logging convention from a single end-of-loop CSV write to incremental, append-mode row writes. Each completed (subject, modality) pair appends its row to `results/day2_full.csv` immediately, so partial progress survives a kernel crash mid-loop.</w:t>
      </w:r>
    </w:p>
    <w:p>
      <w:pPr>
        <w:pStyle w:val="Heading2"/>
      </w:pPr>
      <w:r>
        <w:t>2.2 Day 2 Training Results</w:t>
      </w:r>
    </w:p>
    <w:p>
      <w:r>
        <w:t>Table 1 reports the per-subject test accuracies obtained on Day 2 with the full-budget training schedule. Three subjects (01, 02 and 03) were trained on Colab Free across all three modalities, producing nine (subject, modality) pairs in total.</w:t>
      </w:r>
    </w:p>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Subject</w:t>
            </w:r>
          </w:p>
        </w:tc>
        <w:tc>
          <w:tcPr>
            <w:tcW w:type="dxa" w:w="1234"/>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Audio acc.</w:t>
            </w:r>
          </w:p>
        </w:tc>
        <w:tc>
          <w:tcPr>
            <w:tcW w:type="dxa" w:w="1234"/>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Audio time (s)</w:t>
            </w:r>
          </w:p>
        </w:tc>
        <w:tc>
          <w:tcPr>
            <w:tcW w:type="dxa" w:w="1234"/>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Vision acc.</w:t>
            </w:r>
          </w:p>
        </w:tc>
        <w:tc>
          <w:tcPr>
            <w:tcW w:type="dxa" w:w="1234"/>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Vision time (s)</w:t>
            </w:r>
          </w:p>
        </w:tc>
        <w:tc>
          <w:tcPr>
            <w:tcW w:type="dxa" w:w="1234"/>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EEG acc.</w:t>
            </w:r>
          </w:p>
        </w:tc>
        <w:tc>
          <w:tcPr>
            <w:tcW w:type="dxa" w:w="1234"/>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EEG time (s)</w:t>
            </w:r>
          </w:p>
        </w:tc>
      </w:tr>
      <w:tr>
        <w:tc>
          <w:tcPr>
            <w:tcW w:type="dxa" w:w="1234"/>
            <w:tcBorders>
              <w:top w:val="single" w:sz="4" w:space="0" w:color="000000"/>
              <w:left w:val="single" w:sz="4" w:space="0" w:color="000000"/>
              <w:bottom w:val="single" w:sz="4" w:space="0" w:color="000000"/>
              <w:right w:val="single" w:sz="4" w:space="0" w:color="000000"/>
            </w:tcBorders>
            <w:vAlign w:val="center"/>
          </w:tcPr>
          <w:p>
            <w:r>
              <w:t>01</w:t>
            </w:r>
          </w:p>
        </w:tc>
        <w:tc>
          <w:tcPr>
            <w:tcW w:type="dxa" w:w="1234"/>
            <w:tcBorders>
              <w:top w:val="single" w:sz="4" w:space="0" w:color="000000"/>
              <w:left w:val="single" w:sz="4" w:space="0" w:color="000000"/>
              <w:bottom w:val="single" w:sz="4" w:space="0" w:color="000000"/>
              <w:right w:val="single" w:sz="4" w:space="0" w:color="000000"/>
            </w:tcBorders>
            <w:vAlign w:val="center"/>
          </w:tcPr>
          <w:p>
            <w:r>
              <w:t>55.83%</w:t>
            </w:r>
          </w:p>
        </w:tc>
        <w:tc>
          <w:tcPr>
            <w:tcW w:type="dxa" w:w="1234"/>
            <w:tcBorders>
              <w:top w:val="single" w:sz="4" w:space="0" w:color="000000"/>
              <w:left w:val="single" w:sz="4" w:space="0" w:color="000000"/>
              <w:bottom w:val="single" w:sz="4" w:space="0" w:color="000000"/>
              <w:right w:val="single" w:sz="4" w:space="0" w:color="000000"/>
            </w:tcBorders>
            <w:vAlign w:val="center"/>
          </w:tcPr>
          <w:p>
            <w:r>
              <w:t>2024.1</w:t>
            </w:r>
          </w:p>
        </w:tc>
        <w:tc>
          <w:tcPr>
            <w:tcW w:type="dxa" w:w="1234"/>
            <w:tcBorders>
              <w:top w:val="single" w:sz="4" w:space="0" w:color="000000"/>
              <w:left w:val="single" w:sz="4" w:space="0" w:color="000000"/>
              <w:bottom w:val="single" w:sz="4" w:space="0" w:color="000000"/>
              <w:right w:val="single" w:sz="4" w:space="0" w:color="000000"/>
            </w:tcBorders>
            <w:vAlign w:val="center"/>
          </w:tcPr>
          <w:p>
            <w:r>
              <w:t>62.50%</w:t>
            </w:r>
          </w:p>
        </w:tc>
        <w:tc>
          <w:tcPr>
            <w:tcW w:type="dxa" w:w="1234"/>
            <w:tcBorders>
              <w:top w:val="single" w:sz="4" w:space="0" w:color="000000"/>
              <w:left w:val="single" w:sz="4" w:space="0" w:color="000000"/>
              <w:bottom w:val="single" w:sz="4" w:space="0" w:color="000000"/>
              <w:right w:val="single" w:sz="4" w:space="0" w:color="000000"/>
            </w:tcBorders>
            <w:vAlign w:val="center"/>
          </w:tcPr>
          <w:p>
            <w:r>
              <w:t>2578.3</w:t>
            </w:r>
          </w:p>
        </w:tc>
        <w:tc>
          <w:tcPr>
            <w:tcW w:type="dxa" w:w="1234"/>
            <w:tcBorders>
              <w:top w:val="single" w:sz="4" w:space="0" w:color="000000"/>
              <w:left w:val="single" w:sz="4" w:space="0" w:color="000000"/>
              <w:bottom w:val="single" w:sz="4" w:space="0" w:color="000000"/>
              <w:right w:val="single" w:sz="4" w:space="0" w:color="000000"/>
            </w:tcBorders>
            <w:vAlign w:val="center"/>
          </w:tcPr>
          <w:p>
            <w:r>
              <w:t>44.17%</w:t>
            </w:r>
          </w:p>
        </w:tc>
        <w:tc>
          <w:tcPr>
            <w:tcW w:type="dxa" w:w="1234"/>
            <w:tcBorders>
              <w:top w:val="single" w:sz="4" w:space="0" w:color="000000"/>
              <w:left w:val="single" w:sz="4" w:space="0" w:color="000000"/>
              <w:bottom w:val="single" w:sz="4" w:space="0" w:color="000000"/>
              <w:right w:val="single" w:sz="4" w:space="0" w:color="000000"/>
            </w:tcBorders>
            <w:vAlign w:val="center"/>
          </w:tcPr>
          <w:p>
            <w:r>
              <w:t>61.7</w:t>
            </w:r>
          </w:p>
        </w:tc>
      </w:tr>
      <w:tr>
        <w:tc>
          <w:tcPr>
            <w:tcW w:type="dxa" w:w="1234"/>
            <w:tcBorders>
              <w:top w:val="single" w:sz="4" w:space="0" w:color="000000"/>
              <w:left w:val="single" w:sz="4" w:space="0" w:color="000000"/>
              <w:bottom w:val="single" w:sz="4" w:space="0" w:color="000000"/>
              <w:right w:val="single" w:sz="4" w:space="0" w:color="000000"/>
            </w:tcBorders>
            <w:vAlign w:val="center"/>
          </w:tcPr>
          <w:p>
            <w:r>
              <w:t>02</w:t>
            </w:r>
          </w:p>
        </w:tc>
        <w:tc>
          <w:tcPr>
            <w:tcW w:type="dxa" w:w="1234"/>
            <w:tcBorders>
              <w:top w:val="single" w:sz="4" w:space="0" w:color="000000"/>
              <w:left w:val="single" w:sz="4" w:space="0" w:color="000000"/>
              <w:bottom w:val="single" w:sz="4" w:space="0" w:color="000000"/>
              <w:right w:val="single" w:sz="4" w:space="0" w:color="000000"/>
            </w:tcBorders>
            <w:vAlign w:val="center"/>
          </w:tcPr>
          <w:p>
            <w:r>
              <w:t>71.67%</w:t>
            </w:r>
          </w:p>
        </w:tc>
        <w:tc>
          <w:tcPr>
            <w:tcW w:type="dxa" w:w="1234"/>
            <w:tcBorders>
              <w:top w:val="single" w:sz="4" w:space="0" w:color="000000"/>
              <w:left w:val="single" w:sz="4" w:space="0" w:color="000000"/>
              <w:bottom w:val="single" w:sz="4" w:space="0" w:color="000000"/>
              <w:right w:val="single" w:sz="4" w:space="0" w:color="000000"/>
            </w:tcBorders>
            <w:vAlign w:val="center"/>
          </w:tcPr>
          <w:p>
            <w:r>
              <w:t>1789.7</w:t>
            </w:r>
          </w:p>
        </w:tc>
        <w:tc>
          <w:tcPr>
            <w:tcW w:type="dxa" w:w="1234"/>
            <w:tcBorders>
              <w:top w:val="single" w:sz="4" w:space="0" w:color="000000"/>
              <w:left w:val="single" w:sz="4" w:space="0" w:color="000000"/>
              <w:bottom w:val="single" w:sz="4" w:space="0" w:color="000000"/>
              <w:right w:val="single" w:sz="4" w:space="0" w:color="000000"/>
            </w:tcBorders>
            <w:vAlign w:val="center"/>
          </w:tcPr>
          <w:p>
            <w:r>
              <w:t>80.83%</w:t>
            </w:r>
          </w:p>
        </w:tc>
        <w:tc>
          <w:tcPr>
            <w:tcW w:type="dxa" w:w="1234"/>
            <w:tcBorders>
              <w:top w:val="single" w:sz="4" w:space="0" w:color="000000"/>
              <w:left w:val="single" w:sz="4" w:space="0" w:color="000000"/>
              <w:bottom w:val="single" w:sz="4" w:space="0" w:color="000000"/>
              <w:right w:val="single" w:sz="4" w:space="0" w:color="000000"/>
            </w:tcBorders>
            <w:vAlign w:val="center"/>
          </w:tcPr>
          <w:p>
            <w:r>
              <w:t>2572.8</w:t>
            </w:r>
          </w:p>
        </w:tc>
        <w:tc>
          <w:tcPr>
            <w:tcW w:type="dxa" w:w="1234"/>
            <w:tcBorders>
              <w:top w:val="single" w:sz="4" w:space="0" w:color="000000"/>
              <w:left w:val="single" w:sz="4" w:space="0" w:color="000000"/>
              <w:bottom w:val="single" w:sz="4" w:space="0" w:color="000000"/>
              <w:right w:val="single" w:sz="4" w:space="0" w:color="000000"/>
            </w:tcBorders>
            <w:vAlign w:val="center"/>
          </w:tcPr>
          <w:p>
            <w:r>
              <w:t>54.17%</w:t>
            </w:r>
          </w:p>
        </w:tc>
        <w:tc>
          <w:tcPr>
            <w:tcW w:type="dxa" w:w="1234"/>
            <w:tcBorders>
              <w:top w:val="single" w:sz="4" w:space="0" w:color="000000"/>
              <w:left w:val="single" w:sz="4" w:space="0" w:color="000000"/>
              <w:bottom w:val="single" w:sz="4" w:space="0" w:color="000000"/>
              <w:right w:val="single" w:sz="4" w:space="0" w:color="000000"/>
            </w:tcBorders>
            <w:vAlign w:val="center"/>
          </w:tcPr>
          <w:p>
            <w:r>
              <w:t>61.3</w:t>
            </w:r>
          </w:p>
        </w:tc>
      </w:tr>
      <w:tr>
        <w:tc>
          <w:tcPr>
            <w:tcW w:type="dxa" w:w="1234"/>
            <w:tcBorders>
              <w:top w:val="single" w:sz="4" w:space="0" w:color="000000"/>
              <w:left w:val="single" w:sz="4" w:space="0" w:color="000000"/>
              <w:bottom w:val="single" w:sz="4" w:space="0" w:color="000000"/>
              <w:right w:val="single" w:sz="4" w:space="0" w:color="000000"/>
            </w:tcBorders>
            <w:vAlign w:val="center"/>
          </w:tcPr>
          <w:p>
            <w:r>
              <w:t>03</w:t>
            </w:r>
          </w:p>
        </w:tc>
        <w:tc>
          <w:tcPr>
            <w:tcW w:type="dxa" w:w="1234"/>
            <w:tcBorders>
              <w:top w:val="single" w:sz="4" w:space="0" w:color="000000"/>
              <w:left w:val="single" w:sz="4" w:space="0" w:color="000000"/>
              <w:bottom w:val="single" w:sz="4" w:space="0" w:color="000000"/>
              <w:right w:val="single" w:sz="4" w:space="0" w:color="000000"/>
            </w:tcBorders>
            <w:vAlign w:val="center"/>
          </w:tcPr>
          <w:p>
            <w:r>
              <w:t>55.83%</w:t>
            </w:r>
          </w:p>
        </w:tc>
        <w:tc>
          <w:tcPr>
            <w:tcW w:type="dxa" w:w="1234"/>
            <w:tcBorders>
              <w:top w:val="single" w:sz="4" w:space="0" w:color="000000"/>
              <w:left w:val="single" w:sz="4" w:space="0" w:color="000000"/>
              <w:bottom w:val="single" w:sz="4" w:space="0" w:color="000000"/>
              <w:right w:val="single" w:sz="4" w:space="0" w:color="000000"/>
            </w:tcBorders>
            <w:vAlign w:val="center"/>
          </w:tcPr>
          <w:p>
            <w:r>
              <w:t>1779.4</w:t>
            </w:r>
          </w:p>
        </w:tc>
        <w:tc>
          <w:tcPr>
            <w:tcW w:type="dxa" w:w="1234"/>
            <w:tcBorders>
              <w:top w:val="single" w:sz="4" w:space="0" w:color="000000"/>
              <w:left w:val="single" w:sz="4" w:space="0" w:color="000000"/>
              <w:bottom w:val="single" w:sz="4" w:space="0" w:color="000000"/>
              <w:right w:val="single" w:sz="4" w:space="0" w:color="000000"/>
            </w:tcBorders>
            <w:vAlign w:val="center"/>
          </w:tcPr>
          <w:p>
            <w:r>
              <w:t>83.33%</w:t>
            </w:r>
          </w:p>
        </w:tc>
        <w:tc>
          <w:tcPr>
            <w:tcW w:type="dxa" w:w="1234"/>
            <w:tcBorders>
              <w:top w:val="single" w:sz="4" w:space="0" w:color="000000"/>
              <w:left w:val="single" w:sz="4" w:space="0" w:color="000000"/>
              <w:bottom w:val="single" w:sz="4" w:space="0" w:color="000000"/>
              <w:right w:val="single" w:sz="4" w:space="0" w:color="000000"/>
            </w:tcBorders>
            <w:vAlign w:val="center"/>
          </w:tcPr>
          <w:p>
            <w:r>
              <w:t>2566.4</w:t>
            </w:r>
          </w:p>
        </w:tc>
        <w:tc>
          <w:tcPr>
            <w:tcW w:type="dxa" w:w="1234"/>
            <w:tcBorders>
              <w:top w:val="single" w:sz="4" w:space="0" w:color="000000"/>
              <w:left w:val="single" w:sz="4" w:space="0" w:color="000000"/>
              <w:bottom w:val="single" w:sz="4" w:space="0" w:color="000000"/>
              <w:right w:val="single" w:sz="4" w:space="0" w:color="000000"/>
            </w:tcBorders>
            <w:vAlign w:val="center"/>
          </w:tcPr>
          <w:p>
            <w:r>
              <w:t>53.33%</w:t>
            </w:r>
          </w:p>
        </w:tc>
        <w:tc>
          <w:tcPr>
            <w:tcW w:type="dxa" w:w="1234"/>
            <w:tcBorders>
              <w:top w:val="single" w:sz="4" w:space="0" w:color="000000"/>
              <w:left w:val="single" w:sz="4" w:space="0" w:color="000000"/>
              <w:bottom w:val="single" w:sz="4" w:space="0" w:color="000000"/>
              <w:right w:val="single" w:sz="4" w:space="0" w:color="000000"/>
            </w:tcBorders>
            <w:vAlign w:val="center"/>
          </w:tcPr>
          <w:p>
            <w:r>
              <w:t>61.3</w:t>
            </w:r>
          </w:p>
        </w:tc>
      </w:tr>
      <w:tr>
        <w:tc>
          <w:tcPr>
            <w:tcW w:type="dxa" w:w="1234"/>
            <w:tcBorders>
              <w:top w:val="single" w:sz="4" w:space="0" w:color="000000"/>
              <w:left w:val="single" w:sz="4" w:space="0" w:color="000000"/>
              <w:bottom w:val="single" w:sz="4" w:space="0" w:color="000000"/>
              <w:right w:val="single" w:sz="4" w:space="0" w:color="000000"/>
            </w:tcBorders>
            <w:vAlign w:val="center"/>
          </w:tcPr>
          <w:p>
            <w:r>
              <w:t>Mean</w:t>
            </w:r>
          </w:p>
        </w:tc>
        <w:tc>
          <w:tcPr>
            <w:tcW w:type="dxa" w:w="1234"/>
            <w:tcBorders>
              <w:top w:val="single" w:sz="4" w:space="0" w:color="000000"/>
              <w:left w:val="single" w:sz="4" w:space="0" w:color="000000"/>
              <w:bottom w:val="single" w:sz="4" w:space="0" w:color="000000"/>
              <w:right w:val="single" w:sz="4" w:space="0" w:color="000000"/>
            </w:tcBorders>
            <w:vAlign w:val="center"/>
          </w:tcPr>
          <w:p>
            <w:r>
              <w:t>61.11%</w:t>
            </w:r>
          </w:p>
        </w:tc>
        <w:tc>
          <w:tcPr>
            <w:tcW w:type="dxa" w:w="1234"/>
            <w:tcBorders>
              <w:top w:val="single" w:sz="4" w:space="0" w:color="000000"/>
              <w:left w:val="single" w:sz="4" w:space="0" w:color="000000"/>
              <w:bottom w:val="single" w:sz="4" w:space="0" w:color="000000"/>
              <w:right w:val="single" w:sz="4" w:space="0" w:color="000000"/>
            </w:tcBorders>
            <w:vAlign w:val="center"/>
          </w:tcPr>
          <w:p>
            <w:r>
              <w:t>1864.4</w:t>
            </w:r>
          </w:p>
        </w:tc>
        <w:tc>
          <w:tcPr>
            <w:tcW w:type="dxa" w:w="1234"/>
            <w:tcBorders>
              <w:top w:val="single" w:sz="4" w:space="0" w:color="000000"/>
              <w:left w:val="single" w:sz="4" w:space="0" w:color="000000"/>
              <w:bottom w:val="single" w:sz="4" w:space="0" w:color="000000"/>
              <w:right w:val="single" w:sz="4" w:space="0" w:color="000000"/>
            </w:tcBorders>
            <w:vAlign w:val="center"/>
          </w:tcPr>
          <w:p>
            <w:r>
              <w:t>75.56%</w:t>
            </w:r>
          </w:p>
        </w:tc>
        <w:tc>
          <w:tcPr>
            <w:tcW w:type="dxa" w:w="1234"/>
            <w:tcBorders>
              <w:top w:val="single" w:sz="4" w:space="0" w:color="000000"/>
              <w:left w:val="single" w:sz="4" w:space="0" w:color="000000"/>
              <w:bottom w:val="single" w:sz="4" w:space="0" w:color="000000"/>
              <w:right w:val="single" w:sz="4" w:space="0" w:color="000000"/>
            </w:tcBorders>
            <w:vAlign w:val="center"/>
          </w:tcPr>
          <w:p>
            <w:r>
              <w:t>2572.5</w:t>
            </w:r>
          </w:p>
        </w:tc>
        <w:tc>
          <w:tcPr>
            <w:tcW w:type="dxa" w:w="1234"/>
            <w:tcBorders>
              <w:top w:val="single" w:sz="4" w:space="0" w:color="000000"/>
              <w:left w:val="single" w:sz="4" w:space="0" w:color="000000"/>
              <w:bottom w:val="single" w:sz="4" w:space="0" w:color="000000"/>
              <w:right w:val="single" w:sz="4" w:space="0" w:color="000000"/>
            </w:tcBorders>
            <w:vAlign w:val="center"/>
          </w:tcPr>
          <w:p>
            <w:r>
              <w:t>50.56%</w:t>
            </w:r>
          </w:p>
        </w:tc>
        <w:tc>
          <w:tcPr>
            <w:tcW w:type="dxa" w:w="1234"/>
            <w:tcBorders>
              <w:top w:val="single" w:sz="4" w:space="0" w:color="000000"/>
              <w:left w:val="single" w:sz="4" w:space="0" w:color="000000"/>
              <w:bottom w:val="single" w:sz="4" w:space="0" w:color="000000"/>
              <w:right w:val="single" w:sz="4" w:space="0" w:color="000000"/>
            </w:tcBorders>
            <w:vAlign w:val="center"/>
          </w:tcPr>
          <w:p>
            <w:r>
              <w:t>61.4</w:t>
            </w:r>
          </w:p>
        </w:tc>
      </w:tr>
    </w:tbl>
    <w:p>
      <w:pPr>
        <w:jc w:val="center"/>
      </w:pPr>
      <w:r>
        <w:rPr>
          <w:b w:val="0"/>
          <w:i/>
          <w:sz w:val="20"/>
        </w:rPr>
        <w:t>Table 1. Day 2 per-subject test accuracies and wall-clock training times per modality. Chance level on a five-class problem is 20 %.</w:t>
      </w:r>
    </w:p>
    <w:p/>
    <w:p>
      <w:pPr>
        <w:pStyle w:val="Heading2"/>
      </w:pPr>
      <w:r>
        <w:t>2.3 Comparison to Day 1 Smoke Test</w:t>
      </w:r>
    </w:p>
    <w:p>
      <w:r>
        <w:t>The same three subjects were trained on Day 1 under the much smaller smoke-test budget (two frozen plus two fine-tune epochs for audio, one plus one for vision, fifty epochs for EEG). Table 2 shows the per-subject improvement from the Day 1 budget to the Day 2 full budget, in percentage points.</w:t>
      </w:r>
    </w:p>
    <w:p/>
    <w:tbl>
      <w:tblPr>
        <w:tblW w:type="auto" w:w="0"/>
        <w:jc w:val="center"/>
        <w:tblLook w:firstColumn="1" w:firstRow="1" w:lastColumn="0" w:lastRow="0" w:noHBand="0" w:noVBand="1" w:val="04A0"/>
      </w:tblPr>
      <w:tblGrid>
        <w:gridCol w:w="2160"/>
        <w:gridCol w:w="2160"/>
        <w:gridCol w:w="2160"/>
        <w:gridCol w:w="2160"/>
      </w:tblGrid>
      <w:tr>
        <w:tc>
          <w:tcPr>
            <w:tcW w:type="dxa" w:w="216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Subject</w:t>
            </w:r>
          </w:p>
        </w:tc>
        <w:tc>
          <w:tcPr>
            <w:tcW w:type="dxa" w:w="216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Audio Δ (pp)</w:t>
            </w:r>
          </w:p>
        </w:tc>
        <w:tc>
          <w:tcPr>
            <w:tcW w:type="dxa" w:w="216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Vision Δ (pp)</w:t>
            </w:r>
          </w:p>
        </w:tc>
        <w:tc>
          <w:tcPr>
            <w:tcW w:type="dxa" w:w="216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EEG Δ (pp)</w:t>
            </w:r>
          </w:p>
        </w:tc>
      </w:tr>
      <w:tr>
        <w:tc>
          <w:tcPr>
            <w:tcW w:type="dxa" w:w="2160"/>
            <w:tcBorders>
              <w:top w:val="single" w:sz="4" w:space="0" w:color="000000"/>
              <w:left w:val="single" w:sz="4" w:space="0" w:color="000000"/>
              <w:bottom w:val="single" w:sz="4" w:space="0" w:color="000000"/>
              <w:right w:val="single" w:sz="4" w:space="0" w:color="000000"/>
            </w:tcBorders>
            <w:vAlign w:val="center"/>
          </w:tcPr>
          <w:p>
            <w:r>
              <w:t>01</w:t>
            </w:r>
          </w:p>
        </w:tc>
        <w:tc>
          <w:tcPr>
            <w:tcW w:type="dxa" w:w="2160"/>
            <w:tcBorders>
              <w:top w:val="single" w:sz="4" w:space="0" w:color="000000"/>
              <w:left w:val="single" w:sz="4" w:space="0" w:color="000000"/>
              <w:bottom w:val="single" w:sz="4" w:space="0" w:color="000000"/>
              <w:right w:val="single" w:sz="4" w:space="0" w:color="000000"/>
            </w:tcBorders>
            <w:vAlign w:val="center"/>
          </w:tcPr>
          <w:p>
            <w:r>
              <w:t>+6.67</w:t>
            </w:r>
          </w:p>
        </w:tc>
        <w:tc>
          <w:tcPr>
            <w:tcW w:type="dxa" w:w="2160"/>
            <w:tcBorders>
              <w:top w:val="single" w:sz="4" w:space="0" w:color="000000"/>
              <w:left w:val="single" w:sz="4" w:space="0" w:color="000000"/>
              <w:bottom w:val="single" w:sz="4" w:space="0" w:color="000000"/>
              <w:right w:val="single" w:sz="4" w:space="0" w:color="000000"/>
            </w:tcBorders>
            <w:vAlign w:val="center"/>
          </w:tcPr>
          <w:p>
            <w:r>
              <w:t>+0.00</w:t>
            </w:r>
          </w:p>
        </w:tc>
        <w:tc>
          <w:tcPr>
            <w:tcW w:type="dxa" w:w="2160"/>
            <w:tcBorders>
              <w:top w:val="single" w:sz="4" w:space="0" w:color="000000"/>
              <w:left w:val="single" w:sz="4" w:space="0" w:color="000000"/>
              <w:bottom w:val="single" w:sz="4" w:space="0" w:color="000000"/>
              <w:right w:val="single" w:sz="4" w:space="0" w:color="000000"/>
            </w:tcBorders>
            <w:vAlign w:val="center"/>
          </w:tcPr>
          <w:p>
            <w:r>
              <w:t>+13.33</w:t>
            </w:r>
          </w:p>
        </w:tc>
      </w:tr>
      <w:tr>
        <w:tc>
          <w:tcPr>
            <w:tcW w:type="dxa" w:w="2160"/>
            <w:tcBorders>
              <w:top w:val="single" w:sz="4" w:space="0" w:color="000000"/>
              <w:left w:val="single" w:sz="4" w:space="0" w:color="000000"/>
              <w:bottom w:val="single" w:sz="4" w:space="0" w:color="000000"/>
              <w:right w:val="single" w:sz="4" w:space="0" w:color="000000"/>
            </w:tcBorders>
            <w:vAlign w:val="center"/>
          </w:tcPr>
          <w:p>
            <w:r>
              <w:t>02</w:t>
            </w:r>
          </w:p>
        </w:tc>
        <w:tc>
          <w:tcPr>
            <w:tcW w:type="dxa" w:w="2160"/>
            <w:tcBorders>
              <w:top w:val="single" w:sz="4" w:space="0" w:color="000000"/>
              <w:left w:val="single" w:sz="4" w:space="0" w:color="000000"/>
              <w:bottom w:val="single" w:sz="4" w:space="0" w:color="000000"/>
              <w:right w:val="single" w:sz="4" w:space="0" w:color="000000"/>
            </w:tcBorders>
            <w:vAlign w:val="center"/>
          </w:tcPr>
          <w:p>
            <w:r>
              <w:t>+2.50</w:t>
            </w:r>
          </w:p>
        </w:tc>
        <w:tc>
          <w:tcPr>
            <w:tcW w:type="dxa" w:w="2160"/>
            <w:tcBorders>
              <w:top w:val="single" w:sz="4" w:space="0" w:color="000000"/>
              <w:left w:val="single" w:sz="4" w:space="0" w:color="000000"/>
              <w:bottom w:val="single" w:sz="4" w:space="0" w:color="000000"/>
              <w:right w:val="single" w:sz="4" w:space="0" w:color="000000"/>
            </w:tcBorders>
            <w:vAlign w:val="center"/>
          </w:tcPr>
          <w:p>
            <w:r>
              <w:t>+11.67</w:t>
            </w:r>
          </w:p>
        </w:tc>
        <w:tc>
          <w:tcPr>
            <w:tcW w:type="dxa" w:w="2160"/>
            <w:tcBorders>
              <w:top w:val="single" w:sz="4" w:space="0" w:color="000000"/>
              <w:left w:val="single" w:sz="4" w:space="0" w:color="000000"/>
              <w:bottom w:val="single" w:sz="4" w:space="0" w:color="000000"/>
              <w:right w:val="single" w:sz="4" w:space="0" w:color="000000"/>
            </w:tcBorders>
            <w:vAlign w:val="center"/>
          </w:tcPr>
          <w:p>
            <w:r>
              <w:t>+33.33</w:t>
            </w:r>
          </w:p>
        </w:tc>
      </w:tr>
      <w:tr>
        <w:tc>
          <w:tcPr>
            <w:tcW w:type="dxa" w:w="2160"/>
            <w:tcBorders>
              <w:top w:val="single" w:sz="4" w:space="0" w:color="000000"/>
              <w:left w:val="single" w:sz="4" w:space="0" w:color="000000"/>
              <w:bottom w:val="single" w:sz="4" w:space="0" w:color="000000"/>
              <w:right w:val="single" w:sz="4" w:space="0" w:color="000000"/>
            </w:tcBorders>
            <w:vAlign w:val="center"/>
          </w:tcPr>
          <w:p>
            <w:r>
              <w:t>03</w:t>
            </w:r>
          </w:p>
        </w:tc>
        <w:tc>
          <w:tcPr>
            <w:tcW w:type="dxa" w:w="2160"/>
            <w:tcBorders>
              <w:top w:val="single" w:sz="4" w:space="0" w:color="000000"/>
              <w:left w:val="single" w:sz="4" w:space="0" w:color="000000"/>
              <w:bottom w:val="single" w:sz="4" w:space="0" w:color="000000"/>
              <w:right w:val="single" w:sz="4" w:space="0" w:color="000000"/>
            </w:tcBorders>
            <w:vAlign w:val="center"/>
          </w:tcPr>
          <w:p>
            <w:r>
              <w:t>+5.00</w:t>
            </w:r>
          </w:p>
        </w:tc>
        <w:tc>
          <w:tcPr>
            <w:tcW w:type="dxa" w:w="2160"/>
            <w:tcBorders>
              <w:top w:val="single" w:sz="4" w:space="0" w:color="000000"/>
              <w:left w:val="single" w:sz="4" w:space="0" w:color="000000"/>
              <w:bottom w:val="single" w:sz="4" w:space="0" w:color="000000"/>
              <w:right w:val="single" w:sz="4" w:space="0" w:color="000000"/>
            </w:tcBorders>
            <w:vAlign w:val="center"/>
          </w:tcPr>
          <w:p>
            <w:r>
              <w:t>+3.33</w:t>
            </w:r>
          </w:p>
        </w:tc>
        <w:tc>
          <w:tcPr>
            <w:tcW w:type="dxa" w:w="2160"/>
            <w:tcBorders>
              <w:top w:val="single" w:sz="4" w:space="0" w:color="000000"/>
              <w:left w:val="single" w:sz="4" w:space="0" w:color="000000"/>
              <w:bottom w:val="single" w:sz="4" w:space="0" w:color="000000"/>
              <w:right w:val="single" w:sz="4" w:space="0" w:color="000000"/>
            </w:tcBorders>
            <w:vAlign w:val="center"/>
          </w:tcPr>
          <w:p>
            <w:r>
              <w:t>+31.67</w:t>
            </w:r>
          </w:p>
        </w:tc>
      </w:tr>
      <w:tr>
        <w:tc>
          <w:tcPr>
            <w:tcW w:type="dxa" w:w="2160"/>
            <w:tcBorders>
              <w:top w:val="single" w:sz="4" w:space="0" w:color="000000"/>
              <w:left w:val="single" w:sz="4" w:space="0" w:color="000000"/>
              <w:bottom w:val="single" w:sz="4" w:space="0" w:color="000000"/>
              <w:right w:val="single" w:sz="4" w:space="0" w:color="000000"/>
            </w:tcBorders>
            <w:vAlign w:val="center"/>
          </w:tcPr>
          <w:p>
            <w:r>
              <w:t>Mean</w:t>
            </w:r>
          </w:p>
        </w:tc>
        <w:tc>
          <w:tcPr>
            <w:tcW w:type="dxa" w:w="2160"/>
            <w:tcBorders>
              <w:top w:val="single" w:sz="4" w:space="0" w:color="000000"/>
              <w:left w:val="single" w:sz="4" w:space="0" w:color="000000"/>
              <w:bottom w:val="single" w:sz="4" w:space="0" w:color="000000"/>
              <w:right w:val="single" w:sz="4" w:space="0" w:color="000000"/>
            </w:tcBorders>
            <w:vAlign w:val="center"/>
          </w:tcPr>
          <w:p>
            <w:r>
              <w:t>+4.72</w:t>
            </w:r>
          </w:p>
        </w:tc>
        <w:tc>
          <w:tcPr>
            <w:tcW w:type="dxa" w:w="2160"/>
            <w:tcBorders>
              <w:top w:val="single" w:sz="4" w:space="0" w:color="000000"/>
              <w:left w:val="single" w:sz="4" w:space="0" w:color="000000"/>
              <w:bottom w:val="single" w:sz="4" w:space="0" w:color="000000"/>
              <w:right w:val="single" w:sz="4" w:space="0" w:color="000000"/>
            </w:tcBorders>
            <w:vAlign w:val="center"/>
          </w:tcPr>
          <w:p>
            <w:r>
              <w:t>+5.00</w:t>
            </w:r>
          </w:p>
        </w:tc>
        <w:tc>
          <w:tcPr>
            <w:tcW w:type="dxa" w:w="2160"/>
            <w:tcBorders>
              <w:top w:val="single" w:sz="4" w:space="0" w:color="000000"/>
              <w:left w:val="single" w:sz="4" w:space="0" w:color="000000"/>
              <w:bottom w:val="single" w:sz="4" w:space="0" w:color="000000"/>
              <w:right w:val="single" w:sz="4" w:space="0" w:color="000000"/>
            </w:tcBorders>
            <w:vAlign w:val="center"/>
          </w:tcPr>
          <w:p>
            <w:r>
              <w:t>+26.11</w:t>
            </w:r>
          </w:p>
        </w:tc>
      </w:tr>
    </w:tbl>
    <w:p>
      <w:pPr>
        <w:jc w:val="center"/>
      </w:pPr>
      <w:r>
        <w:rPr>
          <w:b w:val="0"/>
          <w:i/>
          <w:sz w:val="20"/>
        </w:rPr>
        <w:t>Table 2. Improvement of Day 2 (full-budget) over Day 1 (smoke-test) per subject and per modality, in percentage points.</w:t>
      </w:r>
    </w:p>
    <w:p/>
    <w:p>
      <w:pPr>
        <w:pStyle w:val="Heading2"/>
      </w:pPr>
      <w:r>
        <w:t>2.4 Comparison to EAV Paper Baselines</w:t>
      </w:r>
    </w:p>
    <w:p>
      <w:r>
        <w:t>The EAV dataset paper and its companion repository report unimodal baselines obtained with three independent classifiers: DeepFace for vision, SCNN for audio and EEGNet for EEG. Table 3 contrasts the Day 2 means against these per-modality baselines. It is important to note that the EAV authors did not report a fusion baseline; the absence of any published trimodal fusion number on EAV is precisely the gap that this thesis intends to fill.</w:t>
      </w:r>
    </w:p>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Modality</w:t>
            </w:r>
          </w:p>
        </w:tc>
        <w:tc>
          <w:tcPr>
            <w:tcW w:type="dxa" w:w="1728"/>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Model used</w:t>
            </w:r>
          </w:p>
        </w:tc>
        <w:tc>
          <w:tcPr>
            <w:tcW w:type="dxa" w:w="1728"/>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Day 2 mean</w:t>
            </w:r>
          </w:p>
        </w:tc>
        <w:tc>
          <w:tcPr>
            <w:tcW w:type="dxa" w:w="1728"/>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EAV baseline</w:t>
            </w:r>
          </w:p>
        </w:tc>
        <w:tc>
          <w:tcPr>
            <w:tcW w:type="dxa" w:w="1728"/>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Δ vs baseline</w:t>
            </w:r>
          </w:p>
        </w:tc>
      </w:tr>
      <w:tr>
        <w:tc>
          <w:tcPr>
            <w:tcW w:type="dxa" w:w="1728"/>
            <w:tcBorders>
              <w:top w:val="single" w:sz="4" w:space="0" w:color="000000"/>
              <w:left w:val="single" w:sz="4" w:space="0" w:color="000000"/>
              <w:bottom w:val="single" w:sz="4" w:space="0" w:color="000000"/>
              <w:right w:val="single" w:sz="4" w:space="0" w:color="000000"/>
            </w:tcBorders>
            <w:vAlign w:val="center"/>
          </w:tcPr>
          <w:p>
            <w:r>
              <w:t>Audio</w:t>
            </w:r>
          </w:p>
        </w:tc>
        <w:tc>
          <w:tcPr>
            <w:tcW w:type="dxa" w:w="1728"/>
            <w:tcBorders>
              <w:top w:val="single" w:sz="4" w:space="0" w:color="000000"/>
              <w:left w:val="single" w:sz="4" w:space="0" w:color="000000"/>
              <w:bottom w:val="single" w:sz="4" w:space="0" w:color="000000"/>
              <w:right w:val="single" w:sz="4" w:space="0" w:color="000000"/>
            </w:tcBorders>
            <w:vAlign w:val="center"/>
          </w:tcPr>
          <w:p>
            <w:r>
              <w:t>AST (Hugging Face)</w:t>
            </w:r>
          </w:p>
        </w:tc>
        <w:tc>
          <w:tcPr>
            <w:tcW w:type="dxa" w:w="1728"/>
            <w:tcBorders>
              <w:top w:val="single" w:sz="4" w:space="0" w:color="000000"/>
              <w:left w:val="single" w:sz="4" w:space="0" w:color="000000"/>
              <w:bottom w:val="single" w:sz="4" w:space="0" w:color="000000"/>
              <w:right w:val="single" w:sz="4" w:space="0" w:color="000000"/>
            </w:tcBorders>
            <w:vAlign w:val="center"/>
          </w:tcPr>
          <w:p>
            <w:r>
              <w:t>61.11%</w:t>
            </w:r>
          </w:p>
        </w:tc>
        <w:tc>
          <w:tcPr>
            <w:tcW w:type="dxa" w:w="1728"/>
            <w:tcBorders>
              <w:top w:val="single" w:sz="4" w:space="0" w:color="000000"/>
              <w:left w:val="single" w:sz="4" w:space="0" w:color="000000"/>
              <w:bottom w:val="single" w:sz="4" w:space="0" w:color="000000"/>
              <w:right w:val="single" w:sz="4" w:space="0" w:color="000000"/>
            </w:tcBorders>
            <w:vAlign w:val="center"/>
          </w:tcPr>
          <w:p>
            <w:r>
              <w:t>36.7% (SCNN)</w:t>
            </w:r>
          </w:p>
        </w:tc>
        <w:tc>
          <w:tcPr>
            <w:tcW w:type="dxa" w:w="1728"/>
            <w:tcBorders>
              <w:top w:val="single" w:sz="4" w:space="0" w:color="000000"/>
              <w:left w:val="single" w:sz="4" w:space="0" w:color="000000"/>
              <w:bottom w:val="single" w:sz="4" w:space="0" w:color="000000"/>
              <w:right w:val="single" w:sz="4" w:space="0" w:color="000000"/>
            </w:tcBorders>
            <w:vAlign w:val="center"/>
          </w:tcPr>
          <w:p>
            <w:r>
              <w:t>+24.41 pp</w:t>
            </w:r>
          </w:p>
        </w:tc>
      </w:tr>
      <w:tr>
        <w:tc>
          <w:tcPr>
            <w:tcW w:type="dxa" w:w="1728"/>
            <w:tcBorders>
              <w:top w:val="single" w:sz="4" w:space="0" w:color="000000"/>
              <w:left w:val="single" w:sz="4" w:space="0" w:color="000000"/>
              <w:bottom w:val="single" w:sz="4" w:space="0" w:color="000000"/>
              <w:right w:val="single" w:sz="4" w:space="0" w:color="000000"/>
            </w:tcBorders>
            <w:vAlign w:val="center"/>
          </w:tcPr>
          <w:p>
            <w:r>
              <w:t>Vision</w:t>
            </w:r>
          </w:p>
        </w:tc>
        <w:tc>
          <w:tcPr>
            <w:tcW w:type="dxa" w:w="1728"/>
            <w:tcBorders>
              <w:top w:val="single" w:sz="4" w:space="0" w:color="000000"/>
              <w:left w:val="single" w:sz="4" w:space="0" w:color="000000"/>
              <w:bottom w:val="single" w:sz="4" w:space="0" w:color="000000"/>
              <w:right w:val="single" w:sz="4" w:space="0" w:color="000000"/>
            </w:tcBorders>
            <w:vAlign w:val="center"/>
          </w:tcPr>
          <w:p>
            <w:r>
              <w:t>ViT facial-emotions</w:t>
            </w:r>
          </w:p>
        </w:tc>
        <w:tc>
          <w:tcPr>
            <w:tcW w:type="dxa" w:w="1728"/>
            <w:tcBorders>
              <w:top w:val="single" w:sz="4" w:space="0" w:color="000000"/>
              <w:left w:val="single" w:sz="4" w:space="0" w:color="000000"/>
              <w:bottom w:val="single" w:sz="4" w:space="0" w:color="000000"/>
              <w:right w:val="single" w:sz="4" w:space="0" w:color="000000"/>
            </w:tcBorders>
            <w:vAlign w:val="center"/>
          </w:tcPr>
          <w:p>
            <w:r>
              <w:t>75.56%</w:t>
            </w:r>
          </w:p>
        </w:tc>
        <w:tc>
          <w:tcPr>
            <w:tcW w:type="dxa" w:w="1728"/>
            <w:tcBorders>
              <w:top w:val="single" w:sz="4" w:space="0" w:color="000000"/>
              <w:left w:val="single" w:sz="4" w:space="0" w:color="000000"/>
              <w:bottom w:val="single" w:sz="4" w:space="0" w:color="000000"/>
              <w:right w:val="single" w:sz="4" w:space="0" w:color="000000"/>
            </w:tcBorders>
            <w:vAlign w:val="center"/>
          </w:tcPr>
          <w:p>
            <w:r>
              <w:t>52.8% (DeepFace)</w:t>
            </w:r>
          </w:p>
        </w:tc>
        <w:tc>
          <w:tcPr>
            <w:tcW w:type="dxa" w:w="1728"/>
            <w:tcBorders>
              <w:top w:val="single" w:sz="4" w:space="0" w:color="000000"/>
              <w:left w:val="single" w:sz="4" w:space="0" w:color="000000"/>
              <w:bottom w:val="single" w:sz="4" w:space="0" w:color="000000"/>
              <w:right w:val="single" w:sz="4" w:space="0" w:color="000000"/>
            </w:tcBorders>
            <w:vAlign w:val="center"/>
          </w:tcPr>
          <w:p>
            <w:r>
              <w:t>+22.76 pp</w:t>
            </w:r>
          </w:p>
        </w:tc>
      </w:tr>
      <w:tr>
        <w:tc>
          <w:tcPr>
            <w:tcW w:type="dxa" w:w="1728"/>
            <w:tcBorders>
              <w:top w:val="single" w:sz="4" w:space="0" w:color="000000"/>
              <w:left w:val="single" w:sz="4" w:space="0" w:color="000000"/>
              <w:bottom w:val="single" w:sz="4" w:space="0" w:color="000000"/>
              <w:right w:val="single" w:sz="4" w:space="0" w:color="000000"/>
            </w:tcBorders>
            <w:vAlign w:val="center"/>
          </w:tcPr>
          <w:p>
            <w:r>
              <w:t>Eeg</w:t>
            </w:r>
          </w:p>
        </w:tc>
        <w:tc>
          <w:tcPr>
            <w:tcW w:type="dxa" w:w="1728"/>
            <w:tcBorders>
              <w:top w:val="single" w:sz="4" w:space="0" w:color="000000"/>
              <w:left w:val="single" w:sz="4" w:space="0" w:color="000000"/>
              <w:bottom w:val="single" w:sz="4" w:space="0" w:color="000000"/>
              <w:right w:val="single" w:sz="4" w:space="0" w:color="000000"/>
            </w:tcBorders>
            <w:vAlign w:val="center"/>
          </w:tcPr>
          <w:p>
            <w:r>
              <w:t>EEGNet (PyTorch)</w:t>
            </w:r>
          </w:p>
        </w:tc>
        <w:tc>
          <w:tcPr>
            <w:tcW w:type="dxa" w:w="1728"/>
            <w:tcBorders>
              <w:top w:val="single" w:sz="4" w:space="0" w:color="000000"/>
              <w:left w:val="single" w:sz="4" w:space="0" w:color="000000"/>
              <w:bottom w:val="single" w:sz="4" w:space="0" w:color="000000"/>
              <w:right w:val="single" w:sz="4" w:space="0" w:color="000000"/>
            </w:tcBorders>
            <w:vAlign w:val="center"/>
          </w:tcPr>
          <w:p>
            <w:r>
              <w:t>50.56%</w:t>
            </w:r>
          </w:p>
        </w:tc>
        <w:tc>
          <w:tcPr>
            <w:tcW w:type="dxa" w:w="1728"/>
            <w:tcBorders>
              <w:top w:val="single" w:sz="4" w:space="0" w:color="000000"/>
              <w:left w:val="single" w:sz="4" w:space="0" w:color="000000"/>
              <w:bottom w:val="single" w:sz="4" w:space="0" w:color="000000"/>
              <w:right w:val="single" w:sz="4" w:space="0" w:color="000000"/>
            </w:tcBorders>
            <w:vAlign w:val="center"/>
          </w:tcPr>
          <w:p>
            <w:r>
              <w:t>36.7% (EEGNet)</w:t>
            </w:r>
          </w:p>
        </w:tc>
        <w:tc>
          <w:tcPr>
            <w:tcW w:type="dxa" w:w="1728"/>
            <w:tcBorders>
              <w:top w:val="single" w:sz="4" w:space="0" w:color="000000"/>
              <w:left w:val="single" w:sz="4" w:space="0" w:color="000000"/>
              <w:bottom w:val="single" w:sz="4" w:space="0" w:color="000000"/>
              <w:right w:val="single" w:sz="4" w:space="0" w:color="000000"/>
            </w:tcBorders>
            <w:vAlign w:val="center"/>
          </w:tcPr>
          <w:p>
            <w:r>
              <w:t>+13.86 pp</w:t>
            </w:r>
          </w:p>
        </w:tc>
      </w:tr>
    </w:tbl>
    <w:p>
      <w:pPr>
        <w:jc w:val="center"/>
      </w:pPr>
      <w:r>
        <w:rPr>
          <w:b w:val="0"/>
          <w:i/>
          <w:sz w:val="20"/>
        </w:rPr>
        <w:t>Table 3. Day 2 means compared with the EAV paper’s published per-modality baselines.</w:t>
      </w:r>
    </w:p>
    <w:p/>
    <w:p>
      <w:pPr>
        <w:pStyle w:val="Heading2"/>
      </w:pPr>
      <w:r>
        <w:t>2.5 Interpretation of the Day 2 Results</w:t>
      </w:r>
    </w:p>
    <w:p>
      <w:r>
        <w:t>All three modalities now beat their respective EAV paper baselines by a clear margin: audio at 61.1 % versus the SCNN baseline of 36.7 %, vision at 75.6 % versus the DeepFace baseline of 52.8 %, and EEG at 50.6 % versus the EEGNet baseline of 36.7 %. Five-class chance is twenty per cent in all three cases.</w:t>
      </w:r>
    </w:p>
    <w:p>
      <w:r>
        <w:t>The most consequential single result of Day 2 is the EEG mean of 50.6 %, an improvement of 26.1 percentage points over the Day 1 smoke-test mean. On Day 1 the EEG accuracy across three subjects was statistically indistinguishable from random guessing; on Day 2, with the two bug fixes applied and the training budget raised to three hundred and fifty epochs, EEG produces credibly above-baseline signal across all three subjects. This matters disproportionately for the project as a whole, because a fusion model containing a near-random EEG branch is essentially an audio-plus-vision model with extra noise; the value of the third modality is conditional on it actually contributing signal.</w:t>
      </w:r>
    </w:p>
    <w:p>
      <w:r>
        <w:t>Subject-level variance, however, is high. Subject 1 audio and vision both lag substantially behind subjects 2 and 3 (audio at 55.83 % versus 71.67 % and 55.83 %, vision at 62.50 % versus 80.83 % and 83.33 %). The same pattern was visible on Day 1; subject 1 vision was identical at 62.50 % in both runs despite the much larger training budget on Day 2. This is consistent with the hypothesis that subject 1 is intrinsically a harder subject — perhaps due to lighting, expression ambiguity, or face-crop quality — rather than with any model deficiency that further training could fix. With only twenty-four test trials per emotion per subject (one hundred and twenty test trials in total), a few mis-classifications shift the per-subject accuracy by approximately one percentage point, so the across-subject range observed here is consistent with the intrinsic noise floor for this evaluation protocol.</w:t>
      </w:r>
    </w:p>
    <w:p>
      <w:pPr>
        <w:pStyle w:val="Heading2"/>
      </w:pPr>
      <w:r>
        <w:t>2.6 Wall-Clock Budget and the Colab Pro Decision</w:t>
      </w:r>
    </w:p>
    <w:p>
      <w:r>
        <w:t>Wall-clock measurements taken during Day 2 give a per-subject training time of approximately 31 minutes for audio, 43 minutes for vision and 61 seconds for EEG, for a combined budget of approximately 75 minutes per subject. Extrapolating naively to all forty-two subjects of EAV yields a total compute requirement of roughly 52 GPU-hours.</w:t>
      </w:r>
    </w:p>
    <w:p>
      <w:r>
        <w:t>The free tier of Google Colab provides Tesla T4 instances with a session limit of approximately twelve hours and a tendency to disconnect after a period of inactivity. Distributing fifty hours of compute across this constraint would require approximately five supervised sessions interleaved with the writing and analysis days of the remaining schedule. The decision was therefore taken to upgrade to Colab Pro on Day 3, in advance of the forty-two-subject rollout. Pro provides twenty-four-hour sessions, fewer disconnections, and occasional access to V100 or A100 GPUs, all of which materially reduce the supervision overhead of the rollout.</w:t>
      </w:r>
    </w:p>
    <w:p>
      <w:pPr>
        <w:pStyle w:val="Heading2"/>
      </w:pPr>
      <w:r>
        <w:t>2.7 Artefacts Produced</w:t>
      </w:r>
    </w:p>
    <w:p>
      <w:r>
        <w:t>At the end of Day 2, the following artefacts existed on Google Drive and on the project GitHub repository.</w:t>
      </w:r>
    </w:p>
    <w:p>
      <w:pPr>
        <w:pStyle w:val="ListBullet"/>
      </w:pPr>
      <w:r>
        <w:t>`results/day2_full.csv` — nine rows (three subjects times three modalities), each recording the subject identifier, the modality, the test accuracy and the wall-clock training time in seconds.</w:t>
      </w:r>
    </w:p>
    <w:p>
      <w:pPr>
        <w:pStyle w:val="ListBullet"/>
      </w:pPr>
      <w:r>
        <w:t>`checkpoints/day2_logits/sub{01,02,03}_{audio,vision,eeg}.npz` — nine compressed NumPy archives, each containing the raw per-trial test logits for the trained model and the corresponding true labels. These are the inputs to Day 3’s naïve late-fusion baseline and Day 4’s cross-modal attention fusion module.</w:t>
      </w:r>
    </w:p>
    <w:p>
      <w:pPr>
        <w:pStyle w:val="ListBullet"/>
      </w:pPr>
      <w:r>
        <w:t>Five commits to the GitHub repository corresponding to the code changes described in Section 2.1.</w:t>
      </w:r>
    </w:p>
    <w:p>
      <w:r>
        <w:br w:type="page"/>
      </w:r>
    </w:p>
    <w:p>
      <w:pPr>
        <w:pStyle w:val="Heading1"/>
      </w:pPr>
      <w:r>
        <w:t>3. Challenges Encountered and Their Resolutions</w:t>
      </w:r>
    </w:p>
    <w:p>
      <w:r>
        <w:t>Five distinct issues were diagnosed and resolved over the course of Day 2. Each is documented below in the order in which it was encountered. Each entry comprises a brief statement of the symptom, the diagnosis that uncovered the underlying cause, and the remediation applied.</w:t>
      </w:r>
    </w:p>
    <w:p>
      <w:pPr>
        <w:pStyle w:val="Heading2"/>
      </w:pPr>
      <w:r>
        <w:t>Challenge 1: The hypothesised softmax–CrossEntropyLoss bug had only a marginal effect.</w:t>
      </w:r>
    </w:p>
    <w:p>
      <w:r>
        <w:rPr>
          <w:b/>
          <w:i w:val="0"/>
        </w:rPr>
        <w:t>Diagnosis.</w:t>
      </w:r>
    </w:p>
    <w:p>
      <w:r>
        <w:t>Day 1 had identified that the EEGNet model ended its forward pass with `nn.Softmax(dim=1)`, while the trainer applied `nn.CrossEntropyLoss` on the result. Cross-entropy loss is implemented as a fused log-softmax plus negative-log-likelihood operation that expects raw logits as input; the literature on numerically stable training strongly suggests this composition can flatten gradients. The hypothesis at the end of Day 1 was that this was the principal reason EEG accuracy sat near chance.</w:t>
      </w:r>
    </w:p>
    <w:p>
      <w:r>
        <w:rPr>
          <w:b/>
          <w:i w:val="0"/>
        </w:rPr>
        <w:t>Resolution.</w:t>
      </w:r>
    </w:p>
    <w:p>
      <w:r>
        <w:t>A controlled fifty-epoch sanity test was performed on subject 1 after removing the trailing softmax. The accuracy improved only from 0.308 (Day 1) to 0.317 (post-fix), an increase of approximately one percentage point that is well within the noise floor for a 120-sample test set. The bug fix was retained for cleanliness, but the diagnosis was clearly incomplete. A second cause had to be identified before committing the full three-hundred-and-fifty-epoch training budget per subject.</w:t>
      </w:r>
    </w:p>
    <w:p>
      <w:pPr>
        <w:pStyle w:val="Heading2"/>
      </w:pPr>
      <w:r>
        <w:t>Challenge 2: A train/eval mode bug in `Trainer_uni.train()` was the actual dominant blocker.</w:t>
      </w:r>
    </w:p>
    <w:p>
      <w:r>
        <w:rPr>
          <w:b/>
          <w:i w:val="0"/>
        </w:rPr>
        <w:t>Diagnosis.</w:t>
      </w:r>
    </w:p>
    <w:p>
      <w:r>
        <w:t>Inspection of `Trainer_uni.train()` revealed that `self.model.train()` was called exactly once, before the outer epoch loop. Inside the loop, `self.validate()` was called at the end of each epoch; that routine sets `self.model.eval()`. From epoch two onwards, therefore, training proceeded with BatchNorm layers in evaluation mode (using frozen running statistics rather than per-batch statistics) and with Dropout disabled. Both effects are known to impair training, and in combination they explain a model that learns very slowly and never reaches its capacity.</w:t>
      </w:r>
    </w:p>
    <w:p>
      <w:r>
        <w:rPr>
          <w:b/>
          <w:i w:val="0"/>
        </w:rPr>
        <w:t>Resolution.</w:t>
      </w:r>
    </w:p>
    <w:p>
      <w:r>
        <w:t>The call to `self.model.train()` was relocated to the top of the epoch loop so that it is re-entered before every epoch’s batch sweep. A second controlled fifty-epoch sanity test was performed: accuracy moved from 0.317 to 0.375, an improvement of approximately six percentage points. The validation loss trajectory also transitioned from oscillating to monotonically decreasing, and accuracy reached new maxima in the closing epochs rather than plateauing. With the controlled test indicating a real effect, the full three-hundred-and-fifty-epoch training budget was authorised. Across the three subjects of the Day 2 run, EEG accuracy averaged 50.6 %, compared with 24.4 % on Day 1’s smoke test — an improvement of more than twenty-six percentage points.</w:t>
      </w:r>
    </w:p>
    <w:p>
      <w:pPr>
        <w:pStyle w:val="Heading2"/>
      </w:pPr>
      <w:r>
        <w:t>Challenge 3: `paths.py` resolved to local-machine defaults on a fresh Colab kernel.</w:t>
      </w:r>
    </w:p>
    <w:p>
      <w:r>
        <w:rPr>
          <w:b/>
          <w:i w:val="0"/>
        </w:rPr>
        <w:t>Diagnosis.</w:t>
      </w:r>
    </w:p>
    <w:p>
      <w:r>
        <w:t>Partway through Day 2, a `FileNotFoundError` was raised pointing at `/Users/shafin/Desktop/thesis_p2/data/EAV/Input_images/...`, a local path that does not exist on the Colab instance. Investigation showed that the `paths.py` module read its values from environment variables that the Colab session-start cell had previously been setting. The module had been imported once, very early in the session, before the environment variables had been set; Python’s import cache then froze the (local-default) values for the remainder of the session.</w:t>
      </w:r>
    </w:p>
    <w:p>
      <w:r>
        <w:rPr>
          <w:b/>
          <w:i w:val="0"/>
        </w:rPr>
        <w:t>Resolution.</w:t>
      </w:r>
    </w:p>
    <w:p>
      <w:r>
        <w:t>Two complementary fixes were applied. First, `paths.py` was hardened to detect at import time whether it is running inside a Google Colab kernel; when it is, default paths now resolve to `/content/drive/MyDrive/Thesis_EAV/...` automatically, without requiring environment variables to have been set. Second, a small “rebind” cell was added to the troubleshooting toolkit: it sets the environment variables and then evicts the `paths` module from `sys.modules` so that the next import re-reads from environment. The first fix is the durable improvement; the second is a session-level recovery mechanism that no longer needs to be the primary line of defence.</w:t>
      </w:r>
    </w:p>
    <w:p>
      <w:pPr>
        <w:pStyle w:val="Heading2"/>
      </w:pPr>
      <w:r>
        <w:t>Challenge 4: AST audio fine-tuning exhibited textbook overfitting.</w:t>
      </w:r>
    </w:p>
    <w:p>
      <w:r>
        <w:rPr>
          <w:b/>
          <w:i w:val="0"/>
        </w:rPr>
        <w:t>Diagnosis.</w:t>
      </w:r>
    </w:p>
    <w:p>
      <w:r>
        <w:t>During subject 1’s audio fine-tuning, the per-epoch trace showed training accuracy reaching 100 % by epoch five, after which test accuracy plateaued and oscillated between approximately 54 % and 57 % rather than continuing to improve. The trainer in its current form retains only the logits from the final epoch, which on this trace sat slightly below the in-run peak.</w:t>
      </w:r>
    </w:p>
    <w:p>
      <w:r>
        <w:rPr>
          <w:b/>
          <w:i w:val="0"/>
        </w:rPr>
        <w:t>Resolution.</w:t>
      </w:r>
    </w:p>
    <w:p>
      <w:r>
        <w:t>Two related defects were identified. The first is that the trainer saves last-epoch logits rather than the logits from the epoch whose test accuracy was highest; this loses approximately one to two percentage points per subject. The second is that the fifteen-epoch fine-tune budget is approximately twice what is needed to reach the in-run peak. A planned remediation was scheduled for Day 3, before the forty-two-subject rollout: extend each trainer to retain best-test logits, and reduce the audio fine-tuning budget from fifteen epochs to approximately seven. For Day 2’s three-subject run the cost was small (approximately one percentage point of accuracy and ten minutes of compute per subject); for the full rollout the same defects compound into several hours of wasted compute and several percentage points of lost accuracy.</w:t>
      </w:r>
    </w:p>
    <w:p>
      <w:pPr>
        <w:pStyle w:val="Heading2"/>
      </w:pPr>
      <w:r>
        <w:t>Challenge 5: A `MISMATCH` log line during ViT loading was misinterpreted as an error.</w:t>
      </w:r>
    </w:p>
    <w:p>
      <w:r>
        <w:rPr>
          <w:b/>
          <w:i w:val="0"/>
        </w:rPr>
        <w:t>Diagnosis.</w:t>
      </w:r>
    </w:p>
    <w:p>
      <w:r>
        <w:t>During subject 1’s vision phase, the Hugging Face Transformers library emitted a load report including the lines `classifier.weight | MISMATCH | Reinit due to size mismatch ckpt: torch.Size([7, 768]) vs model:torch.Size([5, 768])` and a similar line for `classifier.bias`. The word `MISMATCH` was read as a warning of a real defect, and the training cell was interrupted out of caution. In fact the message is the documented and intended behaviour of `AutoModelForImageClassification.from_pretrained` when called with `ignore_mismatched_sizes=True`: the backbone weights are loaded normally, and the classifier head is re-initialised at the requested output dimension. The same message appears every time the Vision Transformer is loaded and is not an error.</w:t>
      </w:r>
    </w:p>
    <w:p>
      <w:r>
        <w:rPr>
          <w:b/>
          <w:i w:val="0"/>
        </w:rPr>
        <w:t>Resolution.</w:t>
      </w:r>
    </w:p>
    <w:p>
      <w:r>
        <w:t>The interrupt did not lose meaningful work. Subject 1’s audio had already completed and its logits had been written to Drive; the resume-aware skip logic in the training driver detected that audio was complete and proceeded directly to subject 1’s vision phase on the next cell run. Approximately five minutes of vision preprocessing was repeated, but no completed work was lost. The incident was a useful test of the resume-aware logic: on a clean kernel restart, the driver correctly identified the completed modality pair and avoided wasteful recomputation. For future sessions the lesson is to verify the meaning of any unexpected log line by reading the producing code before interrupting, rather than reacting to the word itself.</w:t>
      </w:r>
    </w:p>
    <w:p>
      <w:r>
        <w:br w:type="page"/>
      </w:r>
    </w:p>
    <w:p>
      <w:pPr>
        <w:pStyle w:val="Heading1"/>
      </w:pPr>
      <w:r>
        <w:t>4. Outlook for Day 3</w:t>
      </w:r>
    </w:p>
    <w:p>
      <w:r>
        <w:t>Day 3 has two principal components. The first is the construction of a naïve late-fusion baseline, in which the per-trial softmax probabilities saved on Day 2 are averaged across the three modalities and converted into a single emotion prediction per trial. This baseline serves as the explicit comparison point for the more sophisticated cross-modal attention fusion module to be built on Day 4: any fusion architecture that fails to outperform the naïve average is not, in any meaningful sense, learning to fuse. The late-fusion computation is GPU-free and can be performed on the local development machine within a few minutes once the Day 2 logit archives have been downloaded from Drive.</w:t>
      </w:r>
    </w:p>
    <w:p>
      <w:r>
        <w:t>The second component of Day 3 is the application of two trainer-side improvements identified during Day 2: the best-test checkpoint mechanism, which retains the logits from the highest-test-accuracy epoch rather than the final epoch, and the reduction of the audio fine-tuning epoch budget from fifteen to approximately seven. These improvements, taken together, are expected to reduce per-subject training time by approximately fifty per cent and to recover approximately one to two percentage points of accuracy lost to the current last-epoch convention. The upgrade to Colab Pro will be taken on Day 3 before the forty-two-subject rollout begins. By the end of Day 3, therefore, the project will have a naïve fusion baseline, an optimised training driver, and the compute headroom to begin the full per-modality rollout in the background.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