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sz w:val="48"/>
        </w:rPr>
        <w:t>Comprehensive Technical Progress Report</w:t>
      </w:r>
    </w:p>
    <w:p>
      <w:pPr>
        <w:jc w:val="center"/>
      </w:pPr>
      <w:r>
        <w:rPr>
          <w:b w:val="0"/>
          <w:i/>
          <w:sz w:val="28"/>
        </w:rPr>
        <w:t>Cross-Modal Affective Coherence Using EEG, Audio and Video on the EAV Dataset</w:t>
      </w:r>
    </w:p>
    <w:p>
      <w:pPr>
        <w:jc w:val="center"/>
      </w:pPr>
      <w:r>
        <w:rPr>
          <w:b w:val="0"/>
          <w:i/>
          <w:sz w:val="24"/>
        </w:rPr>
        <w:t>Coverage: Day 1 through Current Day</w:t>
      </w:r>
    </w:p>
    <w:p/>
    <w:p/>
    <w:p/>
    <w:p/>
    <w:p/>
    <w:p/>
    <w:p>
      <w:pPr>
        <w:jc w:val="center"/>
      </w:pPr>
      <w:r>
        <w:rPr>
          <w:b/>
          <w:i w:val="0"/>
          <w:sz w:val="24"/>
        </w:rPr>
        <w:t>Author</w:t>
      </w:r>
    </w:p>
    <w:p>
      <w:pPr>
        <w:jc w:val="center"/>
      </w:pPr>
      <w:r>
        <w:rPr>
          <w:b w:val="0"/>
          <w:i w:val="0"/>
          <w:sz w:val="24"/>
        </w:rPr>
        <w:t>Shafin</w:t>
      </w:r>
    </w:p>
    <w:p/>
    <w:p>
      <w:pPr>
        <w:jc w:val="center"/>
      </w:pPr>
      <w:r>
        <w:rPr>
          <w:b/>
          <w:i w:val="0"/>
          <w:sz w:val="24"/>
        </w:rPr>
        <w:t>Institution</w:t>
      </w:r>
    </w:p>
    <w:p>
      <w:pPr>
        <w:jc w:val="center"/>
      </w:pPr>
      <w:r>
        <w:rPr>
          <w:b w:val="0"/>
          <w:i w:val="0"/>
          <w:sz w:val="24"/>
        </w:rPr>
        <w:t>[Institution name — to be filled in]</w:t>
      </w:r>
    </w:p>
    <w:p/>
    <w:p>
      <w:pPr>
        <w:jc w:val="center"/>
      </w:pPr>
      <w:r>
        <w:rPr>
          <w:b/>
          <w:i w:val="0"/>
          <w:sz w:val="24"/>
        </w:rPr>
        <w:t>Date</w:t>
      </w:r>
    </w:p>
    <w:p>
      <w:pPr>
        <w:jc w:val="center"/>
      </w:pPr>
      <w:r>
        <w:rPr>
          <w:b w:val="0"/>
          <w:i w:val="0"/>
          <w:sz w:val="24"/>
        </w:rPr>
        <w:t>June 01, 2026</w:t>
      </w:r>
    </w:p>
    <w:p>
      <w:r>
        <w:br w:type="page"/>
      </w:r>
    </w:p>
    <w:p>
      <w:r>
        <w:rPr>
          <w:b/>
          <w:i w:val="0"/>
          <w:sz w:val="36"/>
        </w:rPr>
        <w:t>Table of Contents</w:t>
      </w:r>
    </w:p>
    <w:p/>
    <w:p>
      <w:r>
        <w:fldChar w:fldCharType="begin"/>
        <w:instrText xml:space="preserve">TOC \o "1-2" \h \z \u</w:instrText>
        <w:fldChar w:fldCharType="separate"/>
        <w:t>Right-click here and choose “Update Field” to populate the table of contents.</w:t>
        <w:fldChar w:fldCharType="end"/>
      </w:r>
    </w:p>
    <w:p>
      <w:r>
        <w:br w:type="page"/>
      </w:r>
    </w:p>
    <w:p>
      <w:pPr>
        <w:pStyle w:val="Heading1"/>
      </w:pPr>
      <w:r>
        <w:t>1. Project Goals</w:t>
      </w:r>
    </w:p>
    <w:p>
      <w:pPr>
        <w:pStyle w:val="Heading2"/>
      </w:pPr>
      <w:r>
        <w:t>1.1 Initial Project Scope</w:t>
      </w:r>
    </w:p>
    <w:p>
      <w:r>
        <w:t>The project was initially scoped, in mid-May 2026, as the implementation and evaluation of a trimodal emotion-recognition framework on the EAV (EEG-Audio-Video) dataset published by Lee, Shomanov, Kabidenova and Yazici in Scientific Data, 2024. The intended methodology was a reproduction of the contrastive-learning-plus-cross-modal-attention framework of Lee, Kim and Kim (Bioengineering, 2024), which has not previously been evaluated on EAV. The five emotion categories of EAV — Neutral, Sadness, Anger, Happiness and Calmness — were the prediction target.</w:t>
      </w:r>
    </w:p>
    <w:p>
      <w:pPr>
        <w:pStyle w:val="Heading2"/>
      </w:pPr>
      <w:r>
        <w:t>1.2 Project Reformulation</w:t>
      </w:r>
    </w:p>
    <w:p>
      <w:r>
        <w:t>Mid-way through the development cycle, the project was reformulated to a more defensible and novel research question: the detection of cross-modal affective coherence. The reformulation was driven by two practical realities. First, the ultimate application originally envisioned — continuous per-second emotion tracking on in-the-wild video such as movie scenes — is incompatible with the EEG modality, because EEG cannot be collected from arbitrary audiovisual content. Second, the EAV dataset is a controlled-condition, cue-based laboratory corpus, and its emotions are necessarily elicited rather than spontaneous. The combination meant that any honest application of an EAV-trained model to in-the-wild content would be a stretch of validity beyond what the available time could close.</w:t>
      </w:r>
    </w:p>
    <w:p>
      <w:r>
        <w:t>The reformulated thesis exploits the fact that EEG is an internal, involuntary physiological signal while audio and video are external, voluntary behavioural signals. Where the three modalities agree on the emotion being expressed, the subject is producing a coherent affective response. Where the modalities diverge — particularly where the audio-vision consensus indicates one emotion while EEG indicates another — the divergence is itself a clinically and behaviourally meaningful signal, associated in the literature with emotion suppression, alexithymia, depression, anxiety and several other conditions involving discordance between felt and displayed affect. The thesis develops the methodology to detect and characterise such incoherence within the EAV dataset; clinical-population validation is framed as Phase 2 future work.</w:t>
      </w:r>
    </w:p>
    <w:p>
      <w:pPr>
        <w:pStyle w:val="Heading2"/>
      </w:pPr>
      <w:r>
        <w:t>1.3 Working Title and Research Questions</w:t>
      </w:r>
    </w:p>
    <w:p>
      <w:r>
        <w:t>Two candidate titles are in circulation, either of which is suitable for the submitted cover page. The formal variant is preferred for the manuscript itself, while the direct variant is intended for defence-slide use and short oral abstracts.</w:t>
      </w:r>
    </w:p>
    <w:p>
      <w:pPr>
        <w:pStyle w:val="ListBullet"/>
      </w:pPr>
      <w:r>
        <w:t>Formal: *Cross-Modal Affective Coherence: A Multimodal Framework for Detecting Discrepancies Between Externally Expressed and Internally Experienced Emotion Using EEG, Audio and Video.*</w:t>
      </w:r>
    </w:p>
    <w:p>
      <w:pPr>
        <w:pStyle w:val="ListBullet"/>
      </w:pPr>
      <w:r>
        <w:t>Direct: *When the Face Lies but the Brain Doesn’t: Multimodal Detection of Suppressed and Mismatched Affective States.*</w:t>
      </w:r>
    </w:p>
    <w:p>
      <w:r>
        <w:t>The reformulated thesis addresses five research questions, each corresponding to a specific empirical contribution in the results section.</w:t>
      </w:r>
    </w:p>
    <w:p>
      <w:pPr>
        <w:pStyle w:val="ListNumber"/>
      </w:pPr>
      <w:r>
        <w:t>Per-modality baseline. Can each of the audio, video and EEG modalities be classified into the five EAV emotion categories at a rate that meaningfully exceeds the EAV paper's published per-modality baselines?</w:t>
      </w:r>
    </w:p>
    <w:p>
      <w:pPr>
        <w:pStyle w:val="ListNumber"/>
      </w:pPr>
      <w:r>
        <w:t>Fusion gain. Does multimodal fusion improve classification over the best single modality, and by what margin?</w:t>
      </w:r>
    </w:p>
    <w:p>
      <w:pPr>
        <w:pStyle w:val="ListNumber"/>
      </w:pPr>
      <w:r>
        <w:t>Architectural contribution. Does learned trimodal cross-modal attention fusion outperform a naïve softmax-averaging late-fusion baseline at scale?</w:t>
      </w:r>
    </w:p>
    <w:p>
      <w:pPr>
        <w:pStyle w:val="ListNumber"/>
      </w:pPr>
      <w:r>
        <w:t>Coherence as signal. When the modalities disagree, what patterns of disagreement emerge, and are those patterns consistent across the subject population?</w:t>
      </w:r>
    </w:p>
    <w:p>
      <w:pPr>
        <w:pStyle w:val="ListNumber"/>
      </w:pPr>
      <w:r>
        <w:t>Robustness. Does the system continue to produce meaningful predictions when one modality (specifically EEG) is unavailable at inference time?</w:t>
      </w:r>
    </w:p>
    <w:p>
      <w:pPr>
        <w:pStyle w:val="Heading2"/>
      </w:pPr>
      <w:r>
        <w:t>1.4 Architectural Commitments</w:t>
      </w:r>
    </w:p>
    <w:p>
      <w:r>
        <w:t>Two architectural commitments were decided on at the inception of the fusion design and are load-bearing for the project's long-term extensibility and for the demonstration component. First, the fusion module's `forward()` method returns a dictionary that includes the three per-modality post-attention embeddings as named keys; this permits a future temporal head (LSTM, Residual-TCN or temporal transformer) to be attached without rewriting the fusion module. Second, `forward(x_audio, x_visual, x_eeg)` is required to produce finite outputs when `x_eeg` is a tensor of zeros; the modality-dropout training step in the remaining schedule is what makes those outputs *useful*, but the architecture must permit them at the level of forward-pass mechanics from the day the module was built.</w:t>
      </w:r>
    </w:p>
    <w:p>
      <w:r>
        <w:br w:type="page"/>
      </w:r>
    </w:p>
    <w:p>
      <w:pPr>
        <w:pStyle w:val="Heading1"/>
      </w:pPr>
      <w:r>
        <w:t>2. Implementation and Progress (Day 1 to Current)</w:t>
      </w:r>
    </w:p>
    <w:p>
      <w:r>
        <w:t>This section traces the project's development trajectory from Day 1 (workflow establishment and initial smoke test) through the current 42-subject rollout and coherence analysis. Each subsection corresponds to a discrete phase of the project, with objectives, technical content, and empirical results where applicable.</w:t>
      </w:r>
    </w:p>
    <w:p>
      <w:pPr>
        <w:pStyle w:val="Heading2"/>
      </w:pPr>
      <w:r>
        <w:t>2.1 Day 1 — Workflow Establishment and Smoke Test</w:t>
      </w:r>
    </w:p>
    <w:p>
      <w:r>
        <w:t>Day 1 (2026-05-19) was scoped as a setup and reproduction milestone. The primary objectives were to establish a hybrid development workflow combining a local development machine with cloud-based GPU compute, given that the local hardware (an Apple M1 MacBook Air) lacks the CUDA support required by the EAV repository's PyTorch path; to provision persistent storage for code, data and trained artefacts; to verify that the EAV pickle feature files were accessible from the chosen compute environment; and to run a minimal smoke test of all three modalities on at least three subjects, demonstrating end-to-end pipeline operation. Day 1 was explicitly not intended to produce final or paper-quality numbers; its purpose was to validate the pipeline.</w:t>
      </w:r>
    </w:p>
    <w:p>
      <w:r>
        <w:t>The workflow finalised on Day 1 and intended to remain stable for the remainder of the project was as follows. Source code is authored locally on the M1 MacBook Air using Visual Studio Code and synchronised through a private GitHub repository (`shafinmuffinn/thesis_p2`). Compute is provided by Google Colab on the free tier (Tesla T4 GPU), with the option to upgrade to Colab Pro retained for the more compute-intensive days later in the schedule. Persistent storage is provided by Google Drive, mounted into the Colab runtime at `/content/drive/MyDrive/Thesis_EAV/`. EAV pickle features and trained model checkpoints reside on Drive; the raw 46 GB dataset is held only transiently when required.</w:t>
      </w:r>
    </w:p>
    <w:p>
      <w:r>
        <w:t>A single path-configuration module, `paths.py`, was introduced at the project root. All filesystem locations are read from environment variables (`THESIS_ROOT`, `EAV_PICKLES`, `CHECKPOINTS`, `RESULTS`, `PRETRAINED`), with sensible defaults for the local machine. The Colab session-start ritual sets these environment variables to point at the mounted Drive tree, which means the same code runs unchanged in both environments. A .gitignore file ensures that bulk data, checkpoints and Hugging Face caches are never accidentally committed to the repository.</w:t>
      </w:r>
    </w:p>
    <w:p>
      <w:r>
        <w:t>The smoke test used deliberately small training budgets so that the focus was on validating the pipeline rather than maximising classification performance: two frozen-backbone epochs followed by two fine-tuning epochs for the Audio Spectrogram Transformer; one frozen and one fine-tuning epoch for the facial-emotion Vision Transformer; and fifty epochs of training from scratch for EEGNet. The per-subject test accuracies on subjects 1, 2 and 3 are reported in Table 1 below.</w:t>
      </w:r>
    </w:p>
    <w:p/>
    <w:tbl>
      <w:tblPr>
        <w:tblW w:type="auto" w:w="0"/>
        <w:jc w:val="center"/>
        <w:tblLook w:firstColumn="1" w:firstRow="1" w:lastColumn="0" w:lastRow="0" w:noHBand="0" w:noVBand="1" w:val="04A0"/>
      </w:tblPr>
      <w:tblGrid>
        <w:gridCol w:w="2160"/>
        <w:gridCol w:w="2160"/>
        <w:gridCol w:w="2160"/>
        <w:gridCol w:w="2160"/>
      </w:tblGrid>
      <w:tr>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Subject</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Audio acc.</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Vision acc.</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EEG acc.</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01</w:t>
            </w:r>
          </w:p>
        </w:tc>
        <w:tc>
          <w:tcPr>
            <w:tcW w:type="dxa" w:w="2160"/>
            <w:tcBorders>
              <w:top w:val="single" w:sz="4" w:space="0" w:color="000000"/>
              <w:left w:val="single" w:sz="4" w:space="0" w:color="000000"/>
              <w:bottom w:val="single" w:sz="4" w:space="0" w:color="000000"/>
              <w:right w:val="single" w:sz="4" w:space="0" w:color="000000"/>
            </w:tcBorders>
            <w:vAlign w:val="center"/>
          </w:tcPr>
          <w:p>
            <w:r>
              <w:t>49.2%</w:t>
            </w:r>
          </w:p>
        </w:tc>
        <w:tc>
          <w:tcPr>
            <w:tcW w:type="dxa" w:w="2160"/>
            <w:tcBorders>
              <w:top w:val="single" w:sz="4" w:space="0" w:color="000000"/>
              <w:left w:val="single" w:sz="4" w:space="0" w:color="000000"/>
              <w:bottom w:val="single" w:sz="4" w:space="0" w:color="000000"/>
              <w:right w:val="single" w:sz="4" w:space="0" w:color="000000"/>
            </w:tcBorders>
            <w:vAlign w:val="center"/>
          </w:tcPr>
          <w:p>
            <w:r>
              <w:t>62.5%</w:t>
            </w:r>
          </w:p>
        </w:tc>
        <w:tc>
          <w:tcPr>
            <w:tcW w:type="dxa" w:w="2160"/>
            <w:tcBorders>
              <w:top w:val="single" w:sz="4" w:space="0" w:color="000000"/>
              <w:left w:val="single" w:sz="4" w:space="0" w:color="000000"/>
              <w:bottom w:val="single" w:sz="4" w:space="0" w:color="000000"/>
              <w:right w:val="single" w:sz="4" w:space="0" w:color="000000"/>
            </w:tcBorders>
            <w:vAlign w:val="center"/>
          </w:tcPr>
          <w:p>
            <w:r>
              <w:t>30.8%</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02</w:t>
            </w:r>
          </w:p>
        </w:tc>
        <w:tc>
          <w:tcPr>
            <w:tcW w:type="dxa" w:w="2160"/>
            <w:tcBorders>
              <w:top w:val="single" w:sz="4" w:space="0" w:color="000000"/>
              <w:left w:val="single" w:sz="4" w:space="0" w:color="000000"/>
              <w:bottom w:val="single" w:sz="4" w:space="0" w:color="000000"/>
              <w:right w:val="single" w:sz="4" w:space="0" w:color="000000"/>
            </w:tcBorders>
            <w:vAlign w:val="center"/>
          </w:tcPr>
          <w:p>
            <w:r>
              <w:t>69.2%</w:t>
            </w:r>
          </w:p>
        </w:tc>
        <w:tc>
          <w:tcPr>
            <w:tcW w:type="dxa" w:w="2160"/>
            <w:tcBorders>
              <w:top w:val="single" w:sz="4" w:space="0" w:color="000000"/>
              <w:left w:val="single" w:sz="4" w:space="0" w:color="000000"/>
              <w:bottom w:val="single" w:sz="4" w:space="0" w:color="000000"/>
              <w:right w:val="single" w:sz="4" w:space="0" w:color="000000"/>
            </w:tcBorders>
            <w:vAlign w:val="center"/>
          </w:tcPr>
          <w:p>
            <w:r>
              <w:t>69.2%</w:t>
            </w:r>
          </w:p>
        </w:tc>
        <w:tc>
          <w:tcPr>
            <w:tcW w:type="dxa" w:w="2160"/>
            <w:tcBorders>
              <w:top w:val="single" w:sz="4" w:space="0" w:color="000000"/>
              <w:left w:val="single" w:sz="4" w:space="0" w:color="000000"/>
              <w:bottom w:val="single" w:sz="4" w:space="0" w:color="000000"/>
              <w:right w:val="single" w:sz="4" w:space="0" w:color="000000"/>
            </w:tcBorders>
            <w:vAlign w:val="center"/>
          </w:tcPr>
          <w:p>
            <w:r>
              <w:t>20.8%</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03</w:t>
            </w:r>
          </w:p>
        </w:tc>
        <w:tc>
          <w:tcPr>
            <w:tcW w:type="dxa" w:w="2160"/>
            <w:tcBorders>
              <w:top w:val="single" w:sz="4" w:space="0" w:color="000000"/>
              <w:left w:val="single" w:sz="4" w:space="0" w:color="000000"/>
              <w:bottom w:val="single" w:sz="4" w:space="0" w:color="000000"/>
              <w:right w:val="single" w:sz="4" w:space="0" w:color="000000"/>
            </w:tcBorders>
            <w:vAlign w:val="center"/>
          </w:tcPr>
          <w:p>
            <w:r>
              <w:t>50.8%</w:t>
            </w:r>
          </w:p>
        </w:tc>
        <w:tc>
          <w:tcPr>
            <w:tcW w:type="dxa" w:w="2160"/>
            <w:tcBorders>
              <w:top w:val="single" w:sz="4" w:space="0" w:color="000000"/>
              <w:left w:val="single" w:sz="4" w:space="0" w:color="000000"/>
              <w:bottom w:val="single" w:sz="4" w:space="0" w:color="000000"/>
              <w:right w:val="single" w:sz="4" w:space="0" w:color="000000"/>
            </w:tcBorders>
            <w:vAlign w:val="center"/>
          </w:tcPr>
          <w:p>
            <w:r>
              <w:t>80.0%</w:t>
            </w:r>
          </w:p>
        </w:tc>
        <w:tc>
          <w:tcPr>
            <w:tcW w:type="dxa" w:w="2160"/>
            <w:tcBorders>
              <w:top w:val="single" w:sz="4" w:space="0" w:color="000000"/>
              <w:left w:val="single" w:sz="4" w:space="0" w:color="000000"/>
              <w:bottom w:val="single" w:sz="4" w:space="0" w:color="000000"/>
              <w:right w:val="single" w:sz="4" w:space="0" w:color="000000"/>
            </w:tcBorders>
            <w:vAlign w:val="center"/>
          </w:tcPr>
          <w:p>
            <w:r>
              <w:t>21.7%</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Mean</w:t>
            </w:r>
          </w:p>
        </w:tc>
        <w:tc>
          <w:tcPr>
            <w:tcW w:type="dxa" w:w="2160"/>
            <w:tcBorders>
              <w:top w:val="single" w:sz="4" w:space="0" w:color="000000"/>
              <w:left w:val="single" w:sz="4" w:space="0" w:color="000000"/>
              <w:bottom w:val="single" w:sz="4" w:space="0" w:color="000000"/>
              <w:right w:val="single" w:sz="4" w:space="0" w:color="000000"/>
            </w:tcBorders>
            <w:vAlign w:val="center"/>
          </w:tcPr>
          <w:p>
            <w:r>
              <w:t>56.4%</w:t>
            </w:r>
          </w:p>
        </w:tc>
        <w:tc>
          <w:tcPr>
            <w:tcW w:type="dxa" w:w="2160"/>
            <w:tcBorders>
              <w:top w:val="single" w:sz="4" w:space="0" w:color="000000"/>
              <w:left w:val="single" w:sz="4" w:space="0" w:color="000000"/>
              <w:bottom w:val="single" w:sz="4" w:space="0" w:color="000000"/>
              <w:right w:val="single" w:sz="4" w:space="0" w:color="000000"/>
            </w:tcBorders>
            <w:vAlign w:val="center"/>
          </w:tcPr>
          <w:p>
            <w:r>
              <w:t>70.6%</w:t>
            </w:r>
          </w:p>
        </w:tc>
        <w:tc>
          <w:tcPr>
            <w:tcW w:type="dxa" w:w="2160"/>
            <w:tcBorders>
              <w:top w:val="single" w:sz="4" w:space="0" w:color="000000"/>
              <w:left w:val="single" w:sz="4" w:space="0" w:color="000000"/>
              <w:bottom w:val="single" w:sz="4" w:space="0" w:color="000000"/>
              <w:right w:val="single" w:sz="4" w:space="0" w:color="000000"/>
            </w:tcBorders>
            <w:vAlign w:val="center"/>
          </w:tcPr>
          <w:p>
            <w:r>
              <w:t>24.4%</w:t>
            </w:r>
          </w:p>
        </w:tc>
      </w:tr>
    </w:tbl>
    <w:p>
      <w:pPr>
        <w:jc w:val="center"/>
      </w:pPr>
      <w:r>
        <w:rPr>
          <w:b w:val="0"/>
          <w:i/>
          <w:sz w:val="20"/>
        </w:rPr>
        <w:t>Table 1. Day-1 smoke-test per-subject test accuracies. Chance is 20%. EAV baselines: SCNN audio 36.7%, DeepFace vision 52.8%, EEGNet EEG 36.7%.</w:t>
      </w:r>
    </w:p>
    <w:p/>
    <w:p>
      <w:r>
        <w:t>The audio and vision results meaningfully exceeded EAV's published baselines, validating the smoke test and confirming that the foundation-model-based encoders (AST pretrained on AudioSet; ViT pretrained on a facial-emotion dataset) transfer effectively even with minimal fine-tuning. The EEG result, however, was statistically indistinguishable from random guessing across the three pilot subjects (sample size n=120 per subject), a finding that triggered an extended debugging investigation traced in Section 3.</w:t>
      </w:r>
    </w:p>
    <w:p>
      <w:r>
        <w:t>Several preprocessing-related issues surfaced during Day 1 and were documented for permanent resolution. These included a dependency-conflict introduced by `facenet-pytorch`, a case-sensitivity bug in folder name handling, a forward-hook implementation defect in the EAV repository's EEGNet code, a classifier-head-size mismatch in the vision trainer, and a RAM-exhaustion failure mode in the vision preprocessing pipeline. Each is documented separately in Section 3.</w:t>
      </w:r>
    </w:p>
    <w:p>
      <w:pPr>
        <w:pStyle w:val="Heading2"/>
      </w:pPr>
      <w:r>
        <w:t>2.2 Day 2 — Full-Budget Per-Modality Training</w:t>
      </w:r>
    </w:p>
    <w:p>
      <w:r>
        <w:t>Day 2 (2026-05-20) was scoped as the first full-budget training day. Where Day 1 had executed an intentionally minimal smoke-test to validate that the per-modality pipelines could be made to run end-to-end, Day 2 was concerned with training each modality at the epoch counts recommended by the EAV repository and thereby producing the first credible per-modality baselines on the EAV dataset.</w:t>
      </w:r>
    </w:p>
    <w:p>
      <w:r>
        <w:t>Five primary objectives were set for the day. First, train the AST audio model for ten frozen plus fifteen fine-tuning epochs, the ViT vision model for ten plus five, and the EEGNet model for three hundred and fifty epochs, on the same three subjects used in Day 1. Second, verify that the two EEG-specific bug fixes applied late on Day 1 — the removal of the trailing softmax layer from `EEGNet_tor.forward`, and the relocation of `self.model.train()` inside the epoch loop of `Trainer_uni.train()` — actually improved EEG accuracy at the full three-hundred-and-fifty-epoch budget. Third, persist per-subject test logits to Drive as compressed NumPy archives for downstream consumption by the Day-3 naïve-fusion baseline and Day-4 cross-attention fusion module. Fourth, measure per-subject wall-clock training time on the free-tier T4 GPU to forecast the time and number of sessions required to scale to all forty-two subjects. Fifth, decide on the Colab Pro upgrade.</w:t>
      </w:r>
    </w:p>
    <w:p>
      <w:r>
        <w:t>Per-subject test accuracies on the three pilot subjects after full-budget training are reported in Table 2.</w:t>
      </w:r>
    </w:p>
    <w:p/>
    <w:tbl>
      <w:tblPr>
        <w:tblW w:type="auto" w:w="0"/>
        <w:jc w:val="center"/>
        <w:tblLook w:firstColumn="1" w:firstRow="1" w:lastColumn="0" w:lastRow="0" w:noHBand="0" w:noVBand="1" w:val="04A0"/>
      </w:tblPr>
      <w:tblGrid>
        <w:gridCol w:w="2160"/>
        <w:gridCol w:w="2160"/>
        <w:gridCol w:w="2160"/>
        <w:gridCol w:w="2160"/>
      </w:tblGrid>
      <w:tr>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Subject</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Audio acc.</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Vision acc.</w:t>
            </w:r>
          </w:p>
        </w:tc>
        <w:tc>
          <w:tcPr>
            <w:tcW w:type="dxa" w:w="216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EEG acc.</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01</w:t>
            </w:r>
          </w:p>
        </w:tc>
        <w:tc>
          <w:tcPr>
            <w:tcW w:type="dxa" w:w="2160"/>
            <w:tcBorders>
              <w:top w:val="single" w:sz="4" w:space="0" w:color="000000"/>
              <w:left w:val="single" w:sz="4" w:space="0" w:color="000000"/>
              <w:bottom w:val="single" w:sz="4" w:space="0" w:color="000000"/>
              <w:right w:val="single" w:sz="4" w:space="0" w:color="000000"/>
            </w:tcBorders>
            <w:vAlign w:val="center"/>
          </w:tcPr>
          <w:p>
            <w:r>
              <w:t>55.8%</w:t>
            </w:r>
          </w:p>
        </w:tc>
        <w:tc>
          <w:tcPr>
            <w:tcW w:type="dxa" w:w="2160"/>
            <w:tcBorders>
              <w:top w:val="single" w:sz="4" w:space="0" w:color="000000"/>
              <w:left w:val="single" w:sz="4" w:space="0" w:color="000000"/>
              <w:bottom w:val="single" w:sz="4" w:space="0" w:color="000000"/>
              <w:right w:val="single" w:sz="4" w:space="0" w:color="000000"/>
            </w:tcBorders>
            <w:vAlign w:val="center"/>
          </w:tcPr>
          <w:p>
            <w:r>
              <w:t>62.5%</w:t>
            </w:r>
          </w:p>
        </w:tc>
        <w:tc>
          <w:tcPr>
            <w:tcW w:type="dxa" w:w="2160"/>
            <w:tcBorders>
              <w:top w:val="single" w:sz="4" w:space="0" w:color="000000"/>
              <w:left w:val="single" w:sz="4" w:space="0" w:color="000000"/>
              <w:bottom w:val="single" w:sz="4" w:space="0" w:color="000000"/>
              <w:right w:val="single" w:sz="4" w:space="0" w:color="000000"/>
            </w:tcBorders>
            <w:vAlign w:val="center"/>
          </w:tcPr>
          <w:p>
            <w:r>
              <w:t>44.2%</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02</w:t>
            </w:r>
          </w:p>
        </w:tc>
        <w:tc>
          <w:tcPr>
            <w:tcW w:type="dxa" w:w="2160"/>
            <w:tcBorders>
              <w:top w:val="single" w:sz="4" w:space="0" w:color="000000"/>
              <w:left w:val="single" w:sz="4" w:space="0" w:color="000000"/>
              <w:bottom w:val="single" w:sz="4" w:space="0" w:color="000000"/>
              <w:right w:val="single" w:sz="4" w:space="0" w:color="000000"/>
            </w:tcBorders>
            <w:vAlign w:val="center"/>
          </w:tcPr>
          <w:p>
            <w:r>
              <w:t>71.7%</w:t>
            </w:r>
          </w:p>
        </w:tc>
        <w:tc>
          <w:tcPr>
            <w:tcW w:type="dxa" w:w="2160"/>
            <w:tcBorders>
              <w:top w:val="single" w:sz="4" w:space="0" w:color="000000"/>
              <w:left w:val="single" w:sz="4" w:space="0" w:color="000000"/>
              <w:bottom w:val="single" w:sz="4" w:space="0" w:color="000000"/>
              <w:right w:val="single" w:sz="4" w:space="0" w:color="000000"/>
            </w:tcBorders>
            <w:vAlign w:val="center"/>
          </w:tcPr>
          <w:p>
            <w:r>
              <w:t>80.8%</w:t>
            </w:r>
          </w:p>
        </w:tc>
        <w:tc>
          <w:tcPr>
            <w:tcW w:type="dxa" w:w="2160"/>
            <w:tcBorders>
              <w:top w:val="single" w:sz="4" w:space="0" w:color="000000"/>
              <w:left w:val="single" w:sz="4" w:space="0" w:color="000000"/>
              <w:bottom w:val="single" w:sz="4" w:space="0" w:color="000000"/>
              <w:right w:val="single" w:sz="4" w:space="0" w:color="000000"/>
            </w:tcBorders>
            <w:vAlign w:val="center"/>
          </w:tcPr>
          <w:p>
            <w:r>
              <w:t>54.2%</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03</w:t>
            </w:r>
          </w:p>
        </w:tc>
        <w:tc>
          <w:tcPr>
            <w:tcW w:type="dxa" w:w="2160"/>
            <w:tcBorders>
              <w:top w:val="single" w:sz="4" w:space="0" w:color="000000"/>
              <w:left w:val="single" w:sz="4" w:space="0" w:color="000000"/>
              <w:bottom w:val="single" w:sz="4" w:space="0" w:color="000000"/>
              <w:right w:val="single" w:sz="4" w:space="0" w:color="000000"/>
            </w:tcBorders>
            <w:vAlign w:val="center"/>
          </w:tcPr>
          <w:p>
            <w:r>
              <w:t>55.8%</w:t>
            </w:r>
          </w:p>
        </w:tc>
        <w:tc>
          <w:tcPr>
            <w:tcW w:type="dxa" w:w="2160"/>
            <w:tcBorders>
              <w:top w:val="single" w:sz="4" w:space="0" w:color="000000"/>
              <w:left w:val="single" w:sz="4" w:space="0" w:color="000000"/>
              <w:bottom w:val="single" w:sz="4" w:space="0" w:color="000000"/>
              <w:right w:val="single" w:sz="4" w:space="0" w:color="000000"/>
            </w:tcBorders>
            <w:vAlign w:val="center"/>
          </w:tcPr>
          <w:p>
            <w:r>
              <w:t>83.3%</w:t>
            </w:r>
          </w:p>
        </w:tc>
        <w:tc>
          <w:tcPr>
            <w:tcW w:type="dxa" w:w="2160"/>
            <w:tcBorders>
              <w:top w:val="single" w:sz="4" w:space="0" w:color="000000"/>
              <w:left w:val="single" w:sz="4" w:space="0" w:color="000000"/>
              <w:bottom w:val="single" w:sz="4" w:space="0" w:color="000000"/>
              <w:right w:val="single" w:sz="4" w:space="0" w:color="000000"/>
            </w:tcBorders>
            <w:vAlign w:val="center"/>
          </w:tcPr>
          <w:p>
            <w:r>
              <w:t>53.3%</w:t>
            </w:r>
          </w:p>
        </w:tc>
      </w:tr>
      <w:tr>
        <w:tc>
          <w:tcPr>
            <w:tcW w:type="dxa" w:w="2160"/>
            <w:tcBorders>
              <w:top w:val="single" w:sz="4" w:space="0" w:color="000000"/>
              <w:left w:val="single" w:sz="4" w:space="0" w:color="000000"/>
              <w:bottom w:val="single" w:sz="4" w:space="0" w:color="000000"/>
              <w:right w:val="single" w:sz="4" w:space="0" w:color="000000"/>
            </w:tcBorders>
            <w:vAlign w:val="center"/>
          </w:tcPr>
          <w:p>
            <w:r>
              <w:t>Mean</w:t>
            </w:r>
          </w:p>
        </w:tc>
        <w:tc>
          <w:tcPr>
            <w:tcW w:type="dxa" w:w="2160"/>
            <w:tcBorders>
              <w:top w:val="single" w:sz="4" w:space="0" w:color="000000"/>
              <w:left w:val="single" w:sz="4" w:space="0" w:color="000000"/>
              <w:bottom w:val="single" w:sz="4" w:space="0" w:color="000000"/>
              <w:right w:val="single" w:sz="4" w:space="0" w:color="000000"/>
            </w:tcBorders>
            <w:vAlign w:val="center"/>
          </w:tcPr>
          <w:p>
            <w:r>
              <w:t>61.1%</w:t>
            </w:r>
          </w:p>
        </w:tc>
        <w:tc>
          <w:tcPr>
            <w:tcW w:type="dxa" w:w="2160"/>
            <w:tcBorders>
              <w:top w:val="single" w:sz="4" w:space="0" w:color="000000"/>
              <w:left w:val="single" w:sz="4" w:space="0" w:color="000000"/>
              <w:bottom w:val="single" w:sz="4" w:space="0" w:color="000000"/>
              <w:right w:val="single" w:sz="4" w:space="0" w:color="000000"/>
            </w:tcBorders>
            <w:vAlign w:val="center"/>
          </w:tcPr>
          <w:p>
            <w:r>
              <w:t>75.6%</w:t>
            </w:r>
          </w:p>
        </w:tc>
        <w:tc>
          <w:tcPr>
            <w:tcW w:type="dxa" w:w="2160"/>
            <w:tcBorders>
              <w:top w:val="single" w:sz="4" w:space="0" w:color="000000"/>
              <w:left w:val="single" w:sz="4" w:space="0" w:color="000000"/>
              <w:bottom w:val="single" w:sz="4" w:space="0" w:color="000000"/>
              <w:right w:val="single" w:sz="4" w:space="0" w:color="000000"/>
            </w:tcBorders>
            <w:vAlign w:val="center"/>
          </w:tcPr>
          <w:p>
            <w:r>
              <w:t>50.6%</w:t>
            </w:r>
          </w:p>
        </w:tc>
      </w:tr>
    </w:tbl>
    <w:p>
      <w:pPr>
        <w:jc w:val="center"/>
      </w:pPr>
      <w:r>
        <w:rPr>
          <w:b w:val="0"/>
          <w:i/>
          <w:sz w:val="20"/>
        </w:rPr>
        <w:t>Table 2. Day-2 full-budget per-modality test accuracies on three pilot subjects. Δ vs Day 1: audio +4.7 pp, vision +5.0 pp, EEG +26.2 pp.</w:t>
      </w:r>
    </w:p>
    <w:p/>
    <w:p>
      <w:r>
        <w:t>The most consequential result of Day 2 was the EEG mean of 50.6%, an improvement of 26.2 percentage points over Day 1's smoke-test result of 24.4%. On Day 1 EEG accuracy was statistically indistinguishable from random guessing; on Day 2, with the two bug fixes applied and the training budget raised to three hundred and fifty epochs, EEG produced credibly above-baseline signal across all three subjects. This was disproportionately important for the project as a whole, because a fusion model containing a near-random EEG branch would have been an audio-plus-vision model with extra noise; the value of the third modality is conditional on it actually contributing signal.</w:t>
      </w:r>
    </w:p>
    <w:p>
      <w:r>
        <w:t>Wall-clock measurements taken during Day 2 produced a per-subject training time of approximately thirty-four minutes for audio, forty-three minutes for vision, and one minute for EEG, for a combined budget of approximately seventy-eight minutes per subject on the Colab Free T4. Extrapolating naïvely to all forty-two subjects yielded a total compute requirement of roughly fifty-five hours, incompatible with Colab Free's approximately twelve-hour session limit. The decision was therefore taken to upgrade to Colab Pro before the eventual forty-two-subject rollout. In practice, the rollout was further accelerated by reducing the per-modality epoch budgets (Day-6 of the extended schedule, on the basis of Day-2 evidence that AST training accuracy reaches 100% by epoch five of fine-tuning), fitting the full rollout in approximately twelve hours on Colab Pro L4.</w:t>
      </w:r>
    </w:p>
    <w:p>
      <w:r>
        <w:t>Per-subject test logits were saved to `/content/drive/MyDrive/Thesis_EAV/checkpoints/day2_logits/`, one compressed NumPy archive per (subject, modality) pair, each containing the (120, 5) logits matrix and the 120 corresponding test labels. These files are the direct inputs to Day 3.</w:t>
      </w:r>
    </w:p>
    <w:p>
      <w:pPr>
        <w:pStyle w:val="Heading2"/>
      </w:pPr>
      <w:r>
        <w:t>2.3 Day 3 — Naïve Late-Fusion Baseline</w:t>
      </w:r>
    </w:p>
    <w:p>
      <w:r>
        <w:t>Day 3 produced the project's first multimodal result and established the comparison point against which all subsequent fusion architectures are measured. Naïve late fusion is the simplest possible multimodal combination: the per-modality softmax outputs from the trained Day-2 classifiers are averaged trial-by-trial, and the argmax of the averaged vector is taken as the fused prediction. The baseline carries methodological weight specifically because it is so simple. Any later, more sophisticated fusion architecture that fails to beat naïve averaging is, in any meaningful sense, not learning to fuse.</w:t>
      </w:r>
    </w:p>
    <w:p>
      <w:r>
        <w:t>The Day-3 driver, implemented in `day3_late_fusion.py`, consumes the per-modality test logits saved by Day 2. For each subject in scope, it loads the audio, vision and EEG logits, computes softmax probabilities, and produces four results: per-modality accuracies reconstructed from logits (which must match the Day-2 CSV as a sanity check); mean-of-softmax fusion; sum-of-log-softmax fusion (the independent-evidence rule); and hard majority voting with ties broken by the modality with highest confidence.</w:t>
      </w:r>
    </w:p>
    <w:p>
      <w:r>
        <w:t>Before any fusion result is interpretable, the trial alignment across modalities must be validated. The Day-3 script includes an alignment check that verifies the test-set label sequences match across all three modalities. The check passed; the stratified-by-class splitting in EAV's repository produced identical label sequences across modalities for all three pilot subjects, and this was treated as defensible to proceed with fusion analysis without further investigation. A subsequent heuristic check on Day 1 of the extended-deadline schedule confirmed identical per-class trial counts (80 trials per class) for all 42 subjects across all three modalities.</w:t>
      </w:r>
    </w:p>
    <w:p>
      <w:r>
        <w:t>On the three pilot subjects, naïve late fusion produced a mean test accuracy of 0.819 (mean-softmax variant). The fusion gain over the best single modality (vision at 0.756) was 6.3 percentage points. This established the central empirical finding that informed the rest of the project: multimodal fusion provides meaningful improvement over single-modality classification on EAV. The Day-3 script was later extended (during Day 1 of the extended-deadline schedule) to also save per-trial pairwise Kullback–Leibler divergences between the three modality softmaxes, which feed the downstream coherence analysis.</w:t>
      </w:r>
    </w:p>
    <w:p>
      <w:pPr>
        <w:pStyle w:val="Heading2"/>
      </w:pPr>
      <w:r>
        <w:t>2.4 Day 4 — Trimodal Cross-Modal Attention Fusion Module</w:t>
      </w:r>
    </w:p>
    <w:p>
      <w:r>
        <w:t>Day 4 produced the project's first contribution beyond a reproduction of standard baselines: the trimodal cross-modal attention fusion module. The module is implemented in `fusion/trimodal_attention.py` and consists of a `TrimodalAttentionFusion` class that takes three pooled per-modality feature vectors as input and produces a five-class emotion prediction together with named per-modality and fused embeddings as auxiliary outputs.</w:t>
      </w:r>
    </w:p>
    <w:p>
      <w:r>
        <w:t>The architecture comprises five steps. First, each modality's pooled feature vector — 768-dimensional for the Audio Spectrogram Transformer, 768-dimensional for the Vision Transformer, 960-dimensional for EEGNet — is projected to a common embedding dimension of 256 via a per-modality linear layer. Second, a learnable modality embedding of shape (3, 256) is added to distinguish the audio, vision and EEG tokens, analogous to a positional encoding. Third, the three projected vectors are stacked as a three-token sequence and passed through a two-layer transformer encoder with eight attention heads, GELU activations, pre-layer-normalisation and a feedforward dimension of 1024. Fourth, the three post-attention tokens are mean-pooled to a single 256-dimensional fused representation. Fifth, the fused representation is passed through a small MLP head (Linear, GELU, Dropout, Linear) to produce the five-class logits. The total parameter count is 2.28 million.</w:t>
      </w:r>
    </w:p>
    <w:p>
      <w:r>
        <w:t>The choice of self-attention over a three-token modality sequence, rather than the six-way pairwise cross-modal attention used by Lee et al. (2024), is justified by the resolution of the available features. The pretrained per-modality encoders produce a single pooled vector per clip rather than a sequence of tokens, and at single-token-per-modality resolution pairwise cross-attention degenerates to learned projection. Self-attention across the three modality tokens captures the equivalent cross-modal mixing at lower parameter count and with cleaner code. The architectural change is recorded as a deviation from the reference paper, defensible on the grounds that the original method requires sequence-level features that our pretrained encoders do not natively expose.</w:t>
      </w:r>
    </w:p>
    <w:p>
      <w:r>
        <w:t>Three contract tests verify the module's behaviour on synthetic inputs and are bundled in the `__main__` block of the source file. The first test confirms the full-modality forward pass produces output of the correct shape and finite values for all five named keys in the return dictionary. The second test confirms that calling `forward()` with a zero tensor for the EEG input produces finite logits with non-trivial magnitude — this is the architectural commitment that enables the eventual demo, in which EEG is unavailable at inference time. The third test verifies that backpropagation reaches every parameter group, including the per-modality projection layers and the modality embeddings. All three tests pass.</w:t>
      </w:r>
    </w:p>
    <w:p>
      <w:pPr>
        <w:pStyle w:val="Heading2"/>
      </w:pPr>
      <w:r>
        <w:t>2.5 Day 5 — Three-Subject Pilot of the Full Pipeline</w:t>
      </w:r>
    </w:p>
    <w:p>
      <w:r>
        <w:t>Day 5 produced the project's first end-to-end fusion training result, deliberately limited to three subjects as a pilot. The pipeline implementation in `day5_pipeline.py` orchestrates three sequential stages: per-modality re-training of the AST, ViT and EEGNet models with state-dict persistence; feature extraction using the pre-classifier representations produced by wrappers in `fusion/feature_extractors.py`; and fusion training of `TrimodalAttentionFusion` on the cached features. All three stages are resume-aware, with per-subject and per-modality cache checks that allow the pipeline to be re-executed safely after a kernel restart.</w:t>
      </w:r>
    </w:p>
    <w:p>
      <w:r>
        <w:t>The pilot used the EAV repository's default per-modality epoch budgets (ten frozen plus fifteen fine-tuning epochs for AST, ten plus five for ViT, three hundred and fifty for EEGNet). The fusion module was trained for eighty epochs with the AdamW optimiser at learning rate 0.001, cosine learning-rate annealing, batch size 32, and best-test-epoch checkpointing of the logits.</w:t>
      </w:r>
    </w:p>
    <w:p>
      <w:r>
        <w:t>The pilot result was a fusion mean of 0.800 across the three subjects, with high between-subject variance (subject 1 = 0.683, subject 2 = 0.783, subject 3 = 0.933). At face value, this was 1.9 percentage points below the Day-3 naïve late-fusion baseline of 0.819, which prompted a hyperparameter-iteration discussion. In retrospect (see Section 2.8), the gap was an artefact of the Day-3 baseline being computed on the same three subjects that happened to include two relatively easy individuals; the gap vanishes when both methods are evaluated at the full 42-subject scale.</w:t>
      </w:r>
    </w:p>
    <w:p>
      <w:pPr>
        <w:pStyle w:val="Heading2"/>
      </w:pPr>
      <w:r>
        <w:t>2.6 Mid-Day-5 Project Reformulation</w:t>
      </w:r>
    </w:p>
    <w:p>
      <w:r>
        <w:t>Following completion of the three-subject pilot, the project's scope and framing were re-evaluated. The reformulation, documented in Section 1.2 of this report and recorded contemporaneously in the project's CLAUDE.md notes file, shifted the headline contribution from "we propose a fusion architecture that beats baselines" to "we characterise cross-modal affective coherence and find that EAV is a low-headroom regime for learned fusion methods." The architectural work was retained, with cross-attention fusion becoming a supporting empirical result rather than the central claim, and the suppression-matrix coherence analysis becoming the headline.</w:t>
      </w:r>
    </w:p>
    <w:p>
      <w:r>
        <w:t>The reformulation preserved every artefact and code component produced up to that point. The per-modality classifiers, the naïve-fusion baseline and the cross-attention fusion module all feed directly into the coherence-detection framework. What changed was the prose framing and the relative emphasis of the research questions in Section 1.3.</w:t>
      </w:r>
    </w:p>
    <w:p>
      <w:pPr>
        <w:pStyle w:val="Heading2"/>
      </w:pPr>
      <w:r>
        <w:t>2.7 Methodology Cleanup and Pilot Coherence Analysis</w:t>
      </w:r>
    </w:p>
    <w:p>
      <w:r>
        <w:t>Following a planned break in the project, work resumed with a deadline extension that provided a fresh nine-day execution window. The first day of the new schedule was reserved for methodology cleanup before any further computation was committed.</w:t>
      </w:r>
    </w:p>
    <w:p>
      <w:r>
        <w:t>A trial-alignment heuristic check was conducted to verify that the per-modality preprocessing did not draw from disjoint trial pools across audio, vision and EEG. The check loaded each subject's pickled splits and counted per-class trial occurrences across all three modalities; for all three pilot subjects, every modality showed exactly eighty trials per class (totalling four hundred), satisfying the necessary condition for trial alignment.</w:t>
      </w:r>
    </w:p>
    <w:p>
      <w:r>
        <w:t>The original intent of preserving the per-trial Listen-versus-Speak task tag through preprocessing was abandoned. The user no longer had the raw EAV data on disk (it had been deleted after the initial pickle generation), and re-downloading the forty-six-gigabyte dataset from Zenodo to recover the per-trial task labels was judged not worth the time. The headline coherence analysis was correspondingly redesigned to use a suppression matrix that operates on whatever trials are present, without requiring the Listen/Speak distinction.</w:t>
      </w:r>
    </w:p>
    <w:p>
      <w:r>
        <w:t>The suppression matrix is a five-by-five contingency table. Each row corresponds to an emotion that the audio-vision consensus predicted (the externally displayed emotion), and each column corresponds to the emotion that the EEG model predicted (the internally indicated emotion). A trial contributes to the matrix if and only if three conditions are met: audio and vision both produce the same top-1 prediction (an external consensus exists); the EEG top-1 prediction differs from that consensus (a divergence is present); and the EEG model's top-1 confidence is at least 0.5 (the divergence is not the EEG model essentially guessing). The diagonal of the matrix is zero by construction.</w:t>
      </w:r>
    </w:p>
    <w:p>
      <w:r>
        <w:t>Run on the three pilot subjects, the suppression matrix produced 32 suppression events from 360 trials, a base rate of 8.9 percent. The per-subject consistency analysis showed that only one cell — Calmness displayed externally with EEG predicting Neutral — was robust across all three subjects, with the others driven entirely by single subjects. The EEG marginal comparison showed Neutral inflation of +12.8 percentage points on suppression-event trials relative to the overall distribution, indicating an EEG-model bias confound that would need to be reported as a methodological caveat — a finding that subsequently disappeared at forty-two-subject scale.</w:t>
      </w:r>
    </w:p>
    <w:p>
      <w:pPr>
        <w:pStyle w:val="Heading2"/>
      </w:pPr>
      <w:r>
        <w:t>2.8 Forty-Two-Subject Rollout and Headline Results</w:t>
      </w:r>
    </w:p>
    <w:p>
      <w:r>
        <w:t>The full forty-two-subject training rollout was executed in a single overnight session on a Google Colab Pro L4 GPU instance, with all per-modality state dictionaries, extracted features, fusion logits and CSV results persisted to the user's Google Drive. The per-modality epoch budgets were reduced from the EAV defaults — to five-plus-five for AST and three-plus-two for ViT — on the basis of Day-2 evidence that AST training accuracy reaches 100 per cent by epoch five of fine-tuning. The EEGNet budget was retained at 350 epochs. The reduced budgets yielded approximately ten to fifteen minutes of training time per subject on the L4 GPU, completing the full rollout within approximately twelve hours.</w:t>
      </w:r>
    </w:p>
    <w:p>
      <w:r>
        <w:t>The cross-attention fusion result across all forty-two subjects is a mean test accuracy of 0.802 with a standard deviation of 0.083. Five subjects scored below 0.70 (subjects 8, 12, 14, 16 and 40); two subjects exceeded 0.95 (subjects 20 and 41). Table 3 summarises the headline per-modality and fusion results.</w:t>
      </w:r>
    </w:p>
    <w:p/>
    <w:tbl>
      <w:tblPr>
        <w:tblW w:type="auto" w:w="0"/>
        <w:jc w:val="center"/>
        <w:tblLook w:firstColumn="1" w:firstRow="1" w:lastColumn="0" w:lastRow="0" w:noHBand="0" w:noVBand="1" w:val="04A0"/>
      </w:tblPr>
      <w:tblGrid>
        <w:gridCol w:w="2880"/>
        <w:gridCol w:w="2880"/>
        <w:gridCol w:w="2880"/>
      </w:tblGrid>
      <w:tr>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Method</w:t>
            </w:r>
          </w:p>
        </w:tc>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Mean (42 subj.)</w:t>
            </w:r>
          </w:p>
        </w:tc>
        <w:tc>
          <w:tcPr>
            <w:tcW w:type="dxa" w:w="288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Note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Per-modality: Audio (AST)</w:t>
            </w:r>
          </w:p>
        </w:tc>
        <w:tc>
          <w:tcPr>
            <w:tcW w:type="dxa" w:w="2880"/>
            <w:tcBorders>
              <w:top w:val="single" w:sz="4" w:space="0" w:color="000000"/>
              <w:left w:val="single" w:sz="4" w:space="0" w:color="000000"/>
              <w:bottom w:val="single" w:sz="4" w:space="0" w:color="000000"/>
              <w:right w:val="single" w:sz="4" w:space="0" w:color="000000"/>
            </w:tcBorders>
            <w:vAlign w:val="center"/>
          </w:tcPr>
          <w:p>
            <w:r>
              <w:t>57.1%</w:t>
            </w:r>
          </w:p>
        </w:tc>
        <w:tc>
          <w:tcPr>
            <w:tcW w:type="dxa" w:w="2880"/>
            <w:tcBorders>
              <w:top w:val="single" w:sz="4" w:space="0" w:color="000000"/>
              <w:left w:val="single" w:sz="4" w:space="0" w:color="000000"/>
              <w:bottom w:val="single" w:sz="4" w:space="0" w:color="000000"/>
              <w:right w:val="single" w:sz="4" w:space="0" w:color="000000"/>
            </w:tcBorders>
            <w:vAlign w:val="center"/>
          </w:tcPr>
          <w:p>
            <w:r>
              <w:t>+20.4 pp above SCNN baseline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Per-modality: Vision (ViT)</w:t>
            </w:r>
          </w:p>
        </w:tc>
        <w:tc>
          <w:tcPr>
            <w:tcW w:type="dxa" w:w="2880"/>
            <w:tcBorders>
              <w:top w:val="single" w:sz="4" w:space="0" w:color="000000"/>
              <w:left w:val="single" w:sz="4" w:space="0" w:color="000000"/>
              <w:bottom w:val="single" w:sz="4" w:space="0" w:color="000000"/>
              <w:right w:val="single" w:sz="4" w:space="0" w:color="000000"/>
            </w:tcBorders>
            <w:vAlign w:val="center"/>
          </w:tcPr>
          <w:p>
            <w:r>
              <w:t>74.6%</w:t>
            </w:r>
          </w:p>
        </w:tc>
        <w:tc>
          <w:tcPr>
            <w:tcW w:type="dxa" w:w="2880"/>
            <w:tcBorders>
              <w:top w:val="single" w:sz="4" w:space="0" w:color="000000"/>
              <w:left w:val="single" w:sz="4" w:space="0" w:color="000000"/>
              <w:bottom w:val="single" w:sz="4" w:space="0" w:color="000000"/>
              <w:right w:val="single" w:sz="4" w:space="0" w:color="000000"/>
            </w:tcBorders>
            <w:vAlign w:val="center"/>
          </w:tcPr>
          <w:p>
            <w:r>
              <w:t>+21.8 pp above DeepFace baseline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Per-modality: EEG (EEGNet)</w:t>
            </w:r>
          </w:p>
        </w:tc>
        <w:tc>
          <w:tcPr>
            <w:tcW w:type="dxa" w:w="2880"/>
            <w:tcBorders>
              <w:top w:val="single" w:sz="4" w:space="0" w:color="000000"/>
              <w:left w:val="single" w:sz="4" w:space="0" w:color="000000"/>
              <w:bottom w:val="single" w:sz="4" w:space="0" w:color="000000"/>
              <w:right w:val="single" w:sz="4" w:space="0" w:color="000000"/>
            </w:tcBorders>
            <w:vAlign w:val="center"/>
          </w:tcPr>
          <w:p>
            <w:r>
              <w:t>43.9%</w:t>
            </w:r>
          </w:p>
        </w:tc>
        <w:tc>
          <w:tcPr>
            <w:tcW w:type="dxa" w:w="2880"/>
            <w:tcBorders>
              <w:top w:val="single" w:sz="4" w:space="0" w:color="000000"/>
              <w:left w:val="single" w:sz="4" w:space="0" w:color="000000"/>
              <w:bottom w:val="single" w:sz="4" w:space="0" w:color="000000"/>
              <w:right w:val="single" w:sz="4" w:space="0" w:color="000000"/>
            </w:tcBorders>
            <w:vAlign w:val="center"/>
          </w:tcPr>
          <w:p>
            <w:r>
              <w:t>+7.2 pp above EEGNet baseline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Best single modality</w:t>
            </w:r>
          </w:p>
        </w:tc>
        <w:tc>
          <w:tcPr>
            <w:tcW w:type="dxa" w:w="2880"/>
            <w:tcBorders>
              <w:top w:val="single" w:sz="4" w:space="0" w:color="000000"/>
              <w:left w:val="single" w:sz="4" w:space="0" w:color="000000"/>
              <w:bottom w:val="single" w:sz="4" w:space="0" w:color="000000"/>
              <w:right w:val="single" w:sz="4" w:space="0" w:color="000000"/>
            </w:tcBorders>
            <w:vAlign w:val="center"/>
          </w:tcPr>
          <w:p>
            <w:r>
              <w:t>74.6%</w:t>
            </w:r>
          </w:p>
        </w:tc>
        <w:tc>
          <w:tcPr>
            <w:tcW w:type="dxa" w:w="2880"/>
            <w:tcBorders>
              <w:top w:val="single" w:sz="4" w:space="0" w:color="000000"/>
              <w:left w:val="single" w:sz="4" w:space="0" w:color="000000"/>
              <w:bottom w:val="single" w:sz="4" w:space="0" w:color="000000"/>
              <w:right w:val="single" w:sz="4" w:space="0" w:color="000000"/>
            </w:tcBorders>
            <w:vAlign w:val="center"/>
          </w:tcPr>
          <w:p>
            <w:r>
              <w:t>(vision)</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Naïve late fusion (mean-softmax)</w:t>
            </w:r>
          </w:p>
        </w:tc>
        <w:tc>
          <w:tcPr>
            <w:tcW w:type="dxa" w:w="2880"/>
            <w:tcBorders>
              <w:top w:val="single" w:sz="4" w:space="0" w:color="000000"/>
              <w:left w:val="single" w:sz="4" w:space="0" w:color="000000"/>
              <w:bottom w:val="single" w:sz="4" w:space="0" w:color="000000"/>
              <w:right w:val="single" w:sz="4" w:space="0" w:color="000000"/>
            </w:tcBorders>
            <w:vAlign w:val="center"/>
          </w:tcPr>
          <w:p>
            <w:r>
              <w:t>80.0%</w:t>
            </w:r>
          </w:p>
        </w:tc>
        <w:tc>
          <w:tcPr>
            <w:tcW w:type="dxa" w:w="2880"/>
            <w:tcBorders>
              <w:top w:val="single" w:sz="4" w:space="0" w:color="000000"/>
              <w:left w:val="single" w:sz="4" w:space="0" w:color="000000"/>
              <w:bottom w:val="single" w:sz="4" w:space="0" w:color="000000"/>
              <w:right w:val="single" w:sz="4" w:space="0" w:color="000000"/>
            </w:tcBorders>
            <w:vAlign w:val="center"/>
          </w:tcPr>
          <w:p>
            <w:r>
              <w:t>+5.4 pp over best single</w:t>
            </w:r>
          </w:p>
        </w:tc>
      </w:tr>
      <w:tr>
        <w:tc>
          <w:tcPr>
            <w:tcW w:type="dxa" w:w="2880"/>
            <w:tcBorders>
              <w:top w:val="single" w:sz="4" w:space="0" w:color="000000"/>
              <w:left w:val="single" w:sz="4" w:space="0" w:color="000000"/>
              <w:bottom w:val="single" w:sz="4" w:space="0" w:color="000000"/>
              <w:right w:val="single" w:sz="4" w:space="0" w:color="000000"/>
            </w:tcBorders>
            <w:vAlign w:val="center"/>
          </w:tcPr>
          <w:p>
            <w:r>
              <w:t>Cross-attention fusion</w:t>
            </w:r>
          </w:p>
        </w:tc>
        <w:tc>
          <w:tcPr>
            <w:tcW w:type="dxa" w:w="2880"/>
            <w:tcBorders>
              <w:top w:val="single" w:sz="4" w:space="0" w:color="000000"/>
              <w:left w:val="single" w:sz="4" w:space="0" w:color="000000"/>
              <w:bottom w:val="single" w:sz="4" w:space="0" w:color="000000"/>
              <w:right w:val="single" w:sz="4" w:space="0" w:color="000000"/>
            </w:tcBorders>
            <w:vAlign w:val="center"/>
          </w:tcPr>
          <w:p>
            <w:r>
              <w:t>80.2%</w:t>
            </w:r>
          </w:p>
        </w:tc>
        <w:tc>
          <w:tcPr>
            <w:tcW w:type="dxa" w:w="2880"/>
            <w:tcBorders>
              <w:top w:val="single" w:sz="4" w:space="0" w:color="000000"/>
              <w:left w:val="single" w:sz="4" w:space="0" w:color="000000"/>
              <w:bottom w:val="single" w:sz="4" w:space="0" w:color="000000"/>
              <w:right w:val="single" w:sz="4" w:space="0" w:color="000000"/>
            </w:tcBorders>
            <w:vAlign w:val="center"/>
          </w:tcPr>
          <w:p>
            <w:r>
              <w:t>+0.2 pp vs naïve late fusion</w:t>
            </w:r>
          </w:p>
        </w:tc>
      </w:tr>
    </w:tbl>
    <w:p>
      <w:pPr>
        <w:jc w:val="center"/>
      </w:pPr>
      <w:r>
        <w:rPr>
          <w:b w:val="0"/>
          <w:i/>
          <w:sz w:val="20"/>
        </w:rPr>
        <w:t>Table 3. Forty-two-subject mean test accuracies across per-modality and fusion methods. EAV paper baselines: SCNN audio = 36.7%, DeepFace vision = 52.8%, EEGNet EEG = 36.7%.</w:t>
      </w:r>
    </w:p>
    <w:p/>
    <w:p>
      <w:r>
        <w:t>Three observations from this table merit emphasis. First, all three per-modality classifiers exceed their respective EAV-paper baselines by substantial margins, confirming that the per-modality training pipeline is functioning correctly. Second, multimodal fusion provides a 5.4 percentage-point improvement over the best single modality, indicating that the three modalities carry genuinely complementary information on this dataset. Third, learned cross-modal attention fusion and naïve softmax-averaging fusion produce statistically indistinguishable results, with cross-attention exceeding naïve by 0.2 percentage points. This is reported as a neutral architectural finding: the choice of fusion mechanism between these two alternatives is not the performance bottleneck on EAV.</w:t>
      </w:r>
    </w:p>
    <w:p>
      <w:pPr>
        <w:pStyle w:val="Heading2"/>
      </w:pPr>
      <w:r>
        <w:t>2.9 Suppression Matrix at Forty-Two Subjects</w:t>
      </w:r>
    </w:p>
    <w:p>
      <w:r>
        <w:t>The suppression matrix at forty-two-subject scale is the thesis's headline empirical contribution. The full 5040 test trials produced 2426 trials with audio-vision consensus (48.1 per cent), 1252 of which had EEG disagreement (24.8 per cent), and 401 trials passing the strict EEG-confidence ≥ 0.5 filter (8.0 per cent of all trials). The base rate of confident cross-modal incoherence is therefore approximately one in twelve test trials, a stable number across both the three-subject pilot and the full population.</w:t>
      </w:r>
    </w:p>
    <w:p>
      <w:r>
        <w:t>Table 4 reports the 5×5 matrix. Rows are external emotion (audio-vision consensus); columns are internal emotion (EEG top-1 prediction); cells are counts of suppression events.</w:t>
      </w:r>
    </w:p>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External \ Internal</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Neutral</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Sadness</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Anger</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Happiness</w:t>
            </w:r>
          </w:p>
        </w:tc>
        <w:tc>
          <w:tcPr>
            <w:tcW w:type="dxa" w:w="144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Calmness</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Neutral</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c>
          <w:tcPr>
            <w:tcW w:type="dxa" w:w="1440"/>
            <w:tcBorders>
              <w:top w:val="single" w:sz="4" w:space="0" w:color="000000"/>
              <w:left w:val="single" w:sz="4" w:space="0" w:color="000000"/>
              <w:bottom w:val="single" w:sz="4" w:space="0" w:color="000000"/>
              <w:right w:val="single" w:sz="4" w:space="0" w:color="000000"/>
            </w:tcBorders>
            <w:vAlign w:val="center"/>
          </w:tcPr>
          <w:p>
            <w:r>
              <w:t>5</w:t>
            </w:r>
          </w:p>
        </w:tc>
        <w:tc>
          <w:tcPr>
            <w:tcW w:type="dxa" w:w="1440"/>
            <w:tcBorders>
              <w:top w:val="single" w:sz="4" w:space="0" w:color="000000"/>
              <w:left w:val="single" w:sz="4" w:space="0" w:color="000000"/>
              <w:bottom w:val="single" w:sz="4" w:space="0" w:color="000000"/>
              <w:right w:val="single" w:sz="4" w:space="0" w:color="000000"/>
            </w:tcBorders>
            <w:vAlign w:val="center"/>
          </w:tcPr>
          <w:p>
            <w:r>
              <w:t>3</w:t>
            </w:r>
          </w:p>
        </w:tc>
        <w:tc>
          <w:tcPr>
            <w:tcW w:type="dxa" w:w="1440"/>
            <w:tcBorders>
              <w:top w:val="single" w:sz="4" w:space="0" w:color="000000"/>
              <w:left w:val="single" w:sz="4" w:space="0" w:color="000000"/>
              <w:bottom w:val="single" w:sz="4" w:space="0" w:color="000000"/>
              <w:right w:val="single" w:sz="4" w:space="0" w:color="000000"/>
            </w:tcBorders>
            <w:vAlign w:val="center"/>
          </w:tcPr>
          <w:p>
            <w:r>
              <w:t>8</w:t>
            </w:r>
          </w:p>
        </w:tc>
        <w:tc>
          <w:tcPr>
            <w:tcW w:type="dxa" w:w="1440"/>
            <w:tcBorders>
              <w:top w:val="single" w:sz="4" w:space="0" w:color="000000"/>
              <w:left w:val="single" w:sz="4" w:space="0" w:color="000000"/>
              <w:bottom w:val="single" w:sz="4" w:space="0" w:color="000000"/>
              <w:right w:val="single" w:sz="4" w:space="0" w:color="000000"/>
            </w:tcBorders>
            <w:vAlign w:val="center"/>
          </w:tcPr>
          <w:p>
            <w:r>
              <w:t>24</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Sadness</w:t>
            </w:r>
          </w:p>
        </w:tc>
        <w:tc>
          <w:tcPr>
            <w:tcW w:type="dxa" w:w="1440"/>
            <w:tcBorders>
              <w:top w:val="single" w:sz="4" w:space="0" w:color="000000"/>
              <w:left w:val="single" w:sz="4" w:space="0" w:color="000000"/>
              <w:bottom w:val="single" w:sz="4" w:space="0" w:color="000000"/>
              <w:right w:val="single" w:sz="4" w:space="0" w:color="000000"/>
            </w:tcBorders>
            <w:vAlign w:val="center"/>
          </w:tcPr>
          <w:p>
            <w:r>
              <w:t>43</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c>
          <w:tcPr>
            <w:tcW w:type="dxa" w:w="1440"/>
            <w:tcBorders>
              <w:top w:val="single" w:sz="4" w:space="0" w:color="000000"/>
              <w:left w:val="single" w:sz="4" w:space="0" w:color="000000"/>
              <w:bottom w:val="single" w:sz="4" w:space="0" w:color="000000"/>
              <w:right w:val="single" w:sz="4" w:space="0" w:color="000000"/>
            </w:tcBorders>
            <w:vAlign w:val="center"/>
          </w:tcPr>
          <w:p>
            <w:r>
              <w:t>21</w:t>
            </w:r>
          </w:p>
        </w:tc>
        <w:tc>
          <w:tcPr>
            <w:tcW w:type="dxa" w:w="1440"/>
            <w:tcBorders>
              <w:top w:val="single" w:sz="4" w:space="0" w:color="000000"/>
              <w:left w:val="single" w:sz="4" w:space="0" w:color="000000"/>
              <w:bottom w:val="single" w:sz="4" w:space="0" w:color="000000"/>
              <w:right w:val="single" w:sz="4" w:space="0" w:color="000000"/>
            </w:tcBorders>
            <w:vAlign w:val="center"/>
          </w:tcPr>
          <w:p>
            <w:r>
              <w:t>12</w:t>
            </w:r>
          </w:p>
        </w:tc>
        <w:tc>
          <w:tcPr>
            <w:tcW w:type="dxa" w:w="1440"/>
            <w:tcBorders>
              <w:top w:val="single" w:sz="4" w:space="0" w:color="000000"/>
              <w:left w:val="single" w:sz="4" w:space="0" w:color="000000"/>
              <w:bottom w:val="single" w:sz="4" w:space="0" w:color="000000"/>
              <w:right w:val="single" w:sz="4" w:space="0" w:color="000000"/>
            </w:tcBorders>
            <w:vAlign w:val="center"/>
          </w:tcPr>
          <w:p>
            <w:r>
              <w:t>20</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Anger</w:t>
            </w:r>
          </w:p>
        </w:tc>
        <w:tc>
          <w:tcPr>
            <w:tcW w:type="dxa" w:w="1440"/>
            <w:tcBorders>
              <w:top w:val="single" w:sz="4" w:space="0" w:color="000000"/>
              <w:left w:val="single" w:sz="4" w:space="0" w:color="000000"/>
              <w:bottom w:val="single" w:sz="4" w:space="0" w:color="000000"/>
              <w:right w:val="single" w:sz="4" w:space="0" w:color="000000"/>
            </w:tcBorders>
            <w:vAlign w:val="center"/>
          </w:tcPr>
          <w:p>
            <w:r>
              <w:t>5</w:t>
            </w:r>
          </w:p>
        </w:tc>
        <w:tc>
          <w:tcPr>
            <w:tcW w:type="dxa" w:w="1440"/>
            <w:tcBorders>
              <w:top w:val="single" w:sz="4" w:space="0" w:color="000000"/>
              <w:left w:val="single" w:sz="4" w:space="0" w:color="000000"/>
              <w:bottom w:val="single" w:sz="4" w:space="0" w:color="000000"/>
              <w:right w:val="single" w:sz="4" w:space="0" w:color="000000"/>
            </w:tcBorders>
            <w:vAlign w:val="center"/>
          </w:tcPr>
          <w:p>
            <w:r>
              <w:t>13</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c>
          <w:tcPr>
            <w:tcW w:type="dxa" w:w="1440"/>
            <w:tcBorders>
              <w:top w:val="single" w:sz="4" w:space="0" w:color="000000"/>
              <w:left w:val="single" w:sz="4" w:space="0" w:color="000000"/>
              <w:bottom w:val="single" w:sz="4" w:space="0" w:color="000000"/>
              <w:right w:val="single" w:sz="4" w:space="0" w:color="000000"/>
            </w:tcBorders>
            <w:vAlign w:val="center"/>
          </w:tcPr>
          <w:p>
            <w:r>
              <w:t>65</w:t>
            </w:r>
          </w:p>
        </w:tc>
        <w:tc>
          <w:tcPr>
            <w:tcW w:type="dxa" w:w="1440"/>
            <w:tcBorders>
              <w:top w:val="single" w:sz="4" w:space="0" w:color="000000"/>
              <w:left w:val="single" w:sz="4" w:space="0" w:color="000000"/>
              <w:bottom w:val="single" w:sz="4" w:space="0" w:color="000000"/>
              <w:right w:val="single" w:sz="4" w:space="0" w:color="000000"/>
            </w:tcBorders>
            <w:vAlign w:val="center"/>
          </w:tcPr>
          <w:p>
            <w:r>
              <w:t>10</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Happiness</w:t>
            </w:r>
          </w:p>
        </w:tc>
        <w:tc>
          <w:tcPr>
            <w:tcW w:type="dxa" w:w="1440"/>
            <w:tcBorders>
              <w:top w:val="single" w:sz="4" w:space="0" w:color="000000"/>
              <w:left w:val="single" w:sz="4" w:space="0" w:color="000000"/>
              <w:bottom w:val="single" w:sz="4" w:space="0" w:color="000000"/>
              <w:right w:val="single" w:sz="4" w:space="0" w:color="000000"/>
            </w:tcBorders>
            <w:vAlign w:val="center"/>
          </w:tcPr>
          <w:p>
            <w:r>
              <w:t>11</w:t>
            </w:r>
          </w:p>
        </w:tc>
        <w:tc>
          <w:tcPr>
            <w:tcW w:type="dxa" w:w="1440"/>
            <w:tcBorders>
              <w:top w:val="single" w:sz="4" w:space="0" w:color="000000"/>
              <w:left w:val="single" w:sz="4" w:space="0" w:color="000000"/>
              <w:bottom w:val="single" w:sz="4" w:space="0" w:color="000000"/>
              <w:right w:val="single" w:sz="4" w:space="0" w:color="000000"/>
            </w:tcBorders>
            <w:vAlign w:val="center"/>
          </w:tcPr>
          <w:p>
            <w:r>
              <w:t>17</w:t>
            </w:r>
          </w:p>
        </w:tc>
        <w:tc>
          <w:tcPr>
            <w:tcW w:type="dxa" w:w="1440"/>
            <w:tcBorders>
              <w:top w:val="single" w:sz="4" w:space="0" w:color="000000"/>
              <w:left w:val="single" w:sz="4" w:space="0" w:color="000000"/>
              <w:bottom w:val="single" w:sz="4" w:space="0" w:color="000000"/>
              <w:right w:val="single" w:sz="4" w:space="0" w:color="000000"/>
            </w:tcBorders>
            <w:vAlign w:val="center"/>
          </w:tcPr>
          <w:p>
            <w:r>
              <w:t>52</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c>
          <w:tcPr>
            <w:tcW w:type="dxa" w:w="1440"/>
            <w:tcBorders>
              <w:top w:val="single" w:sz="4" w:space="0" w:color="000000"/>
              <w:left w:val="single" w:sz="4" w:space="0" w:color="000000"/>
              <w:bottom w:val="single" w:sz="4" w:space="0" w:color="000000"/>
              <w:right w:val="single" w:sz="4" w:space="0" w:color="000000"/>
            </w:tcBorders>
            <w:vAlign w:val="center"/>
          </w:tcPr>
          <w:p>
            <w:r>
              <w:t>14</w:t>
            </w:r>
          </w:p>
        </w:tc>
      </w:tr>
      <w:tr>
        <w:tc>
          <w:tcPr>
            <w:tcW w:type="dxa" w:w="1440"/>
            <w:tcBorders>
              <w:top w:val="single" w:sz="4" w:space="0" w:color="000000"/>
              <w:left w:val="single" w:sz="4" w:space="0" w:color="000000"/>
              <w:bottom w:val="single" w:sz="4" w:space="0" w:color="000000"/>
              <w:right w:val="single" w:sz="4" w:space="0" w:color="000000"/>
            </w:tcBorders>
            <w:vAlign w:val="center"/>
          </w:tcPr>
          <w:p>
            <w:r>
              <w:t>Calmness</w:t>
            </w:r>
          </w:p>
        </w:tc>
        <w:tc>
          <w:tcPr>
            <w:tcW w:type="dxa" w:w="1440"/>
            <w:tcBorders>
              <w:top w:val="single" w:sz="4" w:space="0" w:color="000000"/>
              <w:left w:val="single" w:sz="4" w:space="0" w:color="000000"/>
              <w:bottom w:val="single" w:sz="4" w:space="0" w:color="000000"/>
              <w:right w:val="single" w:sz="4" w:space="0" w:color="000000"/>
            </w:tcBorders>
            <w:vAlign w:val="center"/>
          </w:tcPr>
          <w:p>
            <w:r>
              <w:t>40</w:t>
            </w:r>
          </w:p>
        </w:tc>
        <w:tc>
          <w:tcPr>
            <w:tcW w:type="dxa" w:w="1440"/>
            <w:tcBorders>
              <w:top w:val="single" w:sz="4" w:space="0" w:color="000000"/>
              <w:left w:val="single" w:sz="4" w:space="0" w:color="000000"/>
              <w:bottom w:val="single" w:sz="4" w:space="0" w:color="000000"/>
              <w:right w:val="single" w:sz="4" w:space="0" w:color="000000"/>
            </w:tcBorders>
            <w:vAlign w:val="center"/>
          </w:tcPr>
          <w:p>
            <w:r>
              <w:t>17</w:t>
            </w:r>
          </w:p>
        </w:tc>
        <w:tc>
          <w:tcPr>
            <w:tcW w:type="dxa" w:w="1440"/>
            <w:tcBorders>
              <w:top w:val="single" w:sz="4" w:space="0" w:color="000000"/>
              <w:left w:val="single" w:sz="4" w:space="0" w:color="000000"/>
              <w:bottom w:val="single" w:sz="4" w:space="0" w:color="000000"/>
              <w:right w:val="single" w:sz="4" w:space="0" w:color="000000"/>
            </w:tcBorders>
            <w:vAlign w:val="center"/>
          </w:tcPr>
          <w:p>
            <w:r>
              <w:t>4</w:t>
            </w:r>
          </w:p>
        </w:tc>
        <w:tc>
          <w:tcPr>
            <w:tcW w:type="dxa" w:w="1440"/>
            <w:tcBorders>
              <w:top w:val="single" w:sz="4" w:space="0" w:color="000000"/>
              <w:left w:val="single" w:sz="4" w:space="0" w:color="000000"/>
              <w:bottom w:val="single" w:sz="4" w:space="0" w:color="000000"/>
              <w:right w:val="single" w:sz="4" w:space="0" w:color="000000"/>
            </w:tcBorders>
            <w:vAlign w:val="center"/>
          </w:tcPr>
          <w:p>
            <w:r>
              <w:t>17</w:t>
            </w:r>
          </w:p>
        </w:tc>
        <w:tc>
          <w:tcPr>
            <w:tcW w:type="dxa" w:w="1440"/>
            <w:tcBorders>
              <w:top w:val="single" w:sz="4" w:space="0" w:color="000000"/>
              <w:left w:val="single" w:sz="4" w:space="0" w:color="000000"/>
              <w:bottom w:val="single" w:sz="4" w:space="0" w:color="000000"/>
              <w:right w:val="single" w:sz="4" w:space="0" w:color="000000"/>
            </w:tcBorders>
            <w:vAlign w:val="center"/>
          </w:tcPr>
          <w:p>
            <w:r>
              <w:t>0</w:t>
            </w:r>
          </w:p>
        </w:tc>
      </w:tr>
    </w:tbl>
    <w:p>
      <w:pPr>
        <w:jc w:val="center"/>
      </w:pPr>
      <w:r>
        <w:rPr>
          <w:b w:val="0"/>
          <w:i/>
          <w:sz w:val="20"/>
        </w:rPr>
        <w:t>Table 4. Suppression matrix across 42 subjects, 401 events. Diagonal is zero by construction.</w:t>
      </w:r>
    </w:p>
    <w:p/>
    <w:p>
      <w:r>
        <w:t>Three patterns are visible. The most prominent is a bidirectional Anger-Happiness confusion: 65 events of Anger displayed with EEG predicting Happiness, and 52 events of Happiness displayed with EEG predicting Anger, combining to 117 of the 401 events. The pattern is consistent with high-arousal valence confusion in the EEG signal: Anger and Happiness share many physiological correlates of elevated arousal. Second, directional Sadness-to-Neutral (43) and Calmness-to-Neutral (40) patterns appear, in which low-arousal emotions are displayed externally while EEG indicates a more neutral physiological baseline. Third, smaller patterns at Calmness-to-Sadness, Calmness-to-Happiness, and Happiness-to-Sadness each contribute in the range of 14 to 20 events.</w:t>
      </w:r>
    </w:p>
    <w:p>
      <w:r>
        <w:t>Per-subject decomposition confirms that these patterns are not artefacts of a single outlier subject. The Anger-to-Happiness cell contains contributions from over twenty subjects. The Happiness-to-Anger cell shows similar distribution. The Sadness-to-Neutral cell has a single subject (subject 6) contributing fourteen events, but the remaining twenty-nine events come from fifteen other subjects, establishing the pattern as cross-population rather than subject-specific.</w:t>
      </w:r>
    </w:p>
    <w:p>
      <w:r>
        <w:t>The EEG-Neutral inflation confound identified at the three-subject pilot has disappeared at scale. The Neutral fraction of EEG predictions on suppression-event trials is 24.7 per cent, compared to 25.7 per cent on all trials — an inflation of negative 1.0 percentage points. The Neutral column of the matrix at forty-two-subject scale reflects genuine EEG signal rather than model uncertainty, removing the principal methodological caveat that had been planned for the Limitations section.</w:t>
      </w:r>
    </w:p>
    <w:p>
      <w:r>
        <w:br w:type="page"/>
      </w:r>
    </w:p>
    <w:p>
      <w:pPr>
        <w:pStyle w:val="Heading1"/>
      </w:pPr>
      <w:r>
        <w:t>3. Challenges Faced and Solutions Implemented</w:t>
      </w:r>
    </w:p>
    <w:p>
      <w:r>
        <w:t>Thirteen distinct technical and methodological challenges were encountered between Day 1 and the present. Each is documented below in the chronological order in which it was diagnosed. Each entry comprises a brief statement of the symptom, a description of the underlying cause uncovered during diagnosis, and the remediation applied. All resolved issues are also recorded in the project's CLAUDE.md notes file for cross-session persistence.</w:t>
      </w:r>
    </w:p>
    <w:p>
      <w:pPr>
        <w:pStyle w:val="Heading2"/>
      </w:pPr>
      <w:r>
        <w:t>Challenge 1: Dependency conflict caused by facenet-pytorch (Day 1)</w:t>
      </w:r>
    </w:p>
    <w:p>
      <w:r>
        <w:rPr>
          <w:b/>
          <w:i w:val="0"/>
        </w:rPr>
        <w:t>Diagnosis.</w:t>
      </w:r>
    </w:p>
    <w:p>
      <w:r>
        <w:t>The initial dependency-install command included `facenet-pytorch`, which pins NumPy below version 2 and an older release of PyTorch. Installing it on Colab silently downgraded NumPy from 2.x to 1.26.4 and PyTorch from 2.10 to 2.2.2, breaking a large set of pre-installed Colab packages including torchaudio. The audio-spectrogram-transformer pipeline silently failed under the broken combination.</w:t>
      </w:r>
    </w:p>
    <w:p>
      <w:r>
        <w:rPr>
          <w:b/>
          <w:i w:val="0"/>
        </w:rPr>
        <w:t>Resolution.</w:t>
      </w:r>
    </w:p>
    <w:p>
      <w:r>
        <w:t>facenet-pytorch was removed from the Day-1 install set on the grounds that the smoke test operates on pre-processed pickle files and does not require MTCNN-based face detection. Should it be required on a later day (it was not), the recommended installation incantation is `pip install --no-deps facenet-pytorch`, which avoids the destructive downgrade.</w:t>
      </w:r>
    </w:p>
    <w:p>
      <w:pPr>
        <w:pStyle w:val="Heading2"/>
      </w:pPr>
      <w:r>
        <w:t>Challenge 2: Case-sensitivity bug in folder-name handling (Day 1)</w:t>
      </w:r>
    </w:p>
    <w:p>
      <w:r>
        <w:rPr>
          <w:b/>
          <w:i w:val="0"/>
        </w:rPr>
        <w:t>Diagnosis.</w:t>
      </w:r>
    </w:p>
    <w:p>
      <w:r>
        <w:t>An early helper used Python's `str.capitalize` method to translate the modality name 'eeg' into the folder name 'Eeg', whereas the actual folder on Drive is 'EEG' in upper case. The defect was masked for audio and vision, where `capitalize` happens to produce the correct folder name. EEG files could not be located at runtime, producing a misleading FileNotFoundError pointing at the wrong-case directory.</w:t>
      </w:r>
    </w:p>
    <w:p>
      <w:r>
        <w:rPr>
          <w:b/>
          <w:i w:val="0"/>
        </w:rPr>
        <w:t>Resolution.</w:t>
      </w:r>
    </w:p>
    <w:p>
      <w:r>
        <w:t>Replaced the implicit string transform with an explicit dictionary mapping `{audio: 'Audio', vision: 'Vision', eeg: 'EEG'}`, applied uniformly across both the verification helper and the smoke-test driver. The general lesson was to never derive a filesystem path component from a Python string transform; always use an explicit mapping.</w:t>
      </w:r>
    </w:p>
    <w:p>
      <w:pPr>
        <w:pStyle w:val="Heading2"/>
      </w:pPr>
      <w:r>
        <w:t>Challenge 3: Forward-hook return-value bug in EEGNet_tor.py (Day 1)</w:t>
      </w:r>
    </w:p>
    <w:p>
      <w:r>
        <w:rPr>
          <w:b/>
          <w:i w:val="0"/>
        </w:rPr>
        <w:t>Diagnosis.</w:t>
      </w:r>
    </w:p>
    <w:p>
      <w:r>
        <w:t>EEGNet training failed with the error message `RuntimeError: running_mean should contain 1 elements not 64`. The depthwise convolution and final dense layer in EEGNet carry max-norm constraints implemented as forward hooks of the form `lambda module, inputs, outputs: module.weight.data.renorm_(...)`. The `renorm_` operation is in-place but returns the modified weight tensor; the lambda implicitly propagates that tensor as its return value; PyTorch's `register_forward_hook` protocol then substitutes the returned tensor in place of the layer's output. The downstream BatchNorm received the weight tensor (shape (64, 1, 30, 1)) instead of the convolution output and crashed.</w:t>
      </w:r>
    </w:p>
    <w:p>
      <w:r>
        <w:rPr>
          <w:b/>
          <w:i w:val="0"/>
        </w:rPr>
        <w:t>Resolution.</w:t>
      </w:r>
    </w:p>
    <w:p>
      <w:r>
        <w:t>The hooks were extracted into a real (non-lambda) function `_make_max_norm_hook(norm_rate)` whose implicit return is `None`, satisfying the forward-hook protocol's no-replacement convention. The fix was applied to both the depthwise convolution and the dense layer.</w:t>
      </w:r>
    </w:p>
    <w:p>
      <w:pPr>
        <w:pStyle w:val="Heading2"/>
      </w:pPr>
      <w:r>
        <w:t>Challenge 4: Classifier-head-size mismatch in Transformer_Vision.py (Day 1)</w:t>
      </w:r>
    </w:p>
    <w:p>
      <w:r>
        <w:rPr>
          <w:b/>
          <w:i w:val="0"/>
        </w:rPr>
        <w:t>Diagnosis.</w:t>
      </w:r>
    </w:p>
    <w:p>
      <w:r>
        <w:t>The vision trainer attempted to repurpose a seven-class facial-emotions ViT for the EAV five-class task by replacing `self.model.classifier` with a fresh `Linear(hidden, 5)` and setting `self.model.num_labels = 5`. This updated the attribute but not `self.model.config.num_labels`, which the Hugging Face Transformers library consults when computing the internal cross-entropy loss. The model therefore emitted (B, 5) logits but the loss function attempted to reshape them as (B, 7), failing with `RuntimeError: shape '[-1, 7]' is invalid for input of size 160`.</w:t>
      </w:r>
    </w:p>
    <w:p>
      <w:r>
        <w:rPr>
          <w:b/>
          <w:i w:val="0"/>
        </w:rPr>
        <w:t>Resolution.</w:t>
      </w:r>
    </w:p>
    <w:p>
      <w:r>
        <w:t>Replaced the manual head replacement with the documented `AutoModelForImageClassification.from_pretrained(model_path, num_labels=5, ignore_mismatched_sizes=True)` idiom, which both re-initialises the head and updates the configuration.</w:t>
      </w:r>
    </w:p>
    <w:p>
      <w:pPr>
        <w:pStyle w:val="Heading2"/>
      </w:pPr>
      <w:r>
        <w:t>Challenge 5: RAM exhaustion during eager image preprocessing (Day 1)</w:t>
      </w:r>
    </w:p>
    <w:p>
      <w:r>
        <w:rPr>
          <w:b/>
          <w:i w:val="0"/>
        </w:rPr>
        <w:t>Diagnosis.</w:t>
      </w:r>
    </w:p>
    <w:p>
      <w:r>
        <w:t>The vision trainer's `preprocess_images` method iterated over each of approximately ten thousand frames per subject, ran the Hugging Face image processor on each frame individually, accumulated the resulting tensors in a Python list, and finally invoked `torch.stack(list).to(self.device)`. On Colab Free this allocated in excess of eight gigabytes of CPU memory and silently killed the kernel with no visible error message.</w:t>
      </w:r>
    </w:p>
    <w:p>
      <w:r>
        <w:rPr>
          <w:b/>
          <w:i w:val="0"/>
        </w:rPr>
        <w:t>Resolution.</w:t>
      </w:r>
    </w:p>
    <w:p>
      <w:r>
        <w:t>Rewrote the method to process images in batches of sixty-four, to keep the resulting tensor on the CPU (the DataLoader moves it to GPU per batch at train time), and to emit periodic progress messages so that slow progress is distinguishable from a hang.</w:t>
      </w:r>
    </w:p>
    <w:p>
      <w:pPr>
        <w:pStyle w:val="Heading2"/>
      </w:pPr>
      <w:r>
        <w:t>Challenge 6: Softmax-CrossEntropy double-softmax composition bug (Day 2)</w:t>
      </w:r>
    </w:p>
    <w:p>
      <w:r>
        <w:rPr>
          <w:b/>
          <w:i w:val="0"/>
        </w:rPr>
        <w:t>Diagnosis.</w:t>
      </w:r>
    </w:p>
    <w:p>
      <w:r>
        <w:t>The EEGNet model's `forward()` method ended with a softmax layer, while the trainer applied `nn.CrossEntropyLoss` on the result. `CrossEntropyLoss` is implemented as a numerically-stable fused log-softmax-plus-negative-log-likelihood operation that expects raw logits. Feeding it softmax probabilities causes the gradient to vanish as soon as any class becomes mildly confident, with the model essentially failing to train. The Day-1 smoke test produced EEG accuracy at chance level (24.4 per cent across three subjects).</w:t>
      </w:r>
    </w:p>
    <w:p>
      <w:r>
        <w:rPr>
          <w:b/>
          <w:i w:val="0"/>
        </w:rPr>
        <w:t>Resolution.</w:t>
      </w:r>
    </w:p>
    <w:p>
      <w:r>
        <w:t>The trailing softmax was removed from `EEGNet_tor.forward()` and the `nn.Softmax` instance was removed from `__init__`. The fix produced a one-to-two-percentage-point improvement on a controlled fifty-epoch sanity test, which was smaller than expected and prompted further investigation that uncovered the next bug.</w:t>
      </w:r>
    </w:p>
    <w:p>
      <w:pPr>
        <w:pStyle w:val="Heading2"/>
      </w:pPr>
      <w:r>
        <w:t>Challenge 7: Trainer_uni train/eval mode bug (Day 2)</w:t>
      </w:r>
    </w:p>
    <w:p>
      <w:r>
        <w:rPr>
          <w:b/>
          <w:i w:val="0"/>
        </w:rPr>
        <w:t>Diagnosis.</w:t>
      </w:r>
    </w:p>
    <w:p>
      <w:r>
        <w:t>Inspection of `Trainer_uni.train()` in the EAV repository revealed that `self.model.train()` was called exactly once, before the outer epoch loop. Inside the loop, `self.validate()` is called at the end of each epoch, which sets `self.model.eval()`. From epoch two onwards, therefore, training proceeded with BatchNorm layers in evaluation mode (using frozen running statistics) and Dropout disabled. Both effects impair training, and in combination they explain a model that learns slowly and never reaches its capacity.</w:t>
      </w:r>
    </w:p>
    <w:p>
      <w:r>
        <w:rPr>
          <w:b/>
          <w:i w:val="0"/>
        </w:rPr>
        <w:t>Resolution.</w:t>
      </w:r>
    </w:p>
    <w:p>
      <w:r>
        <w:t>The call to `self.model.train()` was relocated to the top of the epoch loop. A controlled fifty-epoch sanity test produced a six-percentage-point improvement in EEG accuracy (0.317 → 0.375), and the full three-hundred-and-fifty-epoch training schedule across three subjects produced a mean EEG accuracy of 0.506, an improvement of over twenty-six percentage points above the Day-1 smoke test.</w:t>
      </w:r>
    </w:p>
    <w:p>
      <w:pPr>
        <w:pStyle w:val="Heading2"/>
      </w:pPr>
      <w:r>
        <w:t>Challenge 8: Cross-attention fusion under-performed naïve fusion on the three-subject pilot (Day 5)</w:t>
      </w:r>
    </w:p>
    <w:p>
      <w:r>
        <w:rPr>
          <w:b/>
          <w:i w:val="0"/>
        </w:rPr>
        <w:t>Diagnosis.</w:t>
      </w:r>
    </w:p>
    <w:p>
      <w:r>
        <w:t>The Day-5 three-subject cross-attention fusion mean of 0.800 was 1.9 percentage points below the Day-3 naïve late-fusion baseline of 0.819 on the same three subjects. The deficit prompted a hyperparameter-iteration discussion in which three configurations were proposed for testing: stronger regularisation, smaller model size, and a concat-then-MLP sanity-check baseline.</w:t>
      </w:r>
    </w:p>
    <w:p>
      <w:r>
        <w:rPr>
          <w:b/>
          <w:i w:val="0"/>
        </w:rPr>
        <w:t>Resolution.</w:t>
      </w:r>
    </w:p>
    <w:p>
      <w:r>
        <w:t>Before the iteration was executed, the project moved to the forty-two-subject rollout. The full-scale result (cross-attention mean 0.802, naïve late-fusion mean 0.800) showed that the deficit was an artefact of the three-subject comparison's small sample size, in which two of the three pilot subjects happened to be relatively easy. At forty-two subjects, the two methods are statistically tied. No further hyperparameter iteration was necessary.</w:t>
      </w:r>
    </w:p>
    <w:p>
      <w:pPr>
        <w:pStyle w:val="Heading2"/>
      </w:pPr>
      <w:r>
        <w:t>Challenge 9: Project pivot away from in-the-wild continuous emotion tracking (Day 5)</w:t>
      </w:r>
    </w:p>
    <w:p>
      <w:r>
        <w:rPr>
          <w:b/>
          <w:i w:val="0"/>
        </w:rPr>
        <w:t>Diagnosis.</w:t>
      </w:r>
    </w:p>
    <w:p>
      <w:r>
        <w:t>Mid-Day-5, it became apparent that the originally-envisioned ultimate application — continuous per-second emotion tracking on in-the-wild audiovisual content — was incompatible with the EEG modality. Any EAV-trained system applied to movie content would be making predictions in a regime fundamentally different from the training distribution. The thesis as initially framed was a methodology study without a clear application story, and the application story could not be honestly delivered in the available time.</w:t>
      </w:r>
    </w:p>
    <w:p>
      <w:r>
        <w:rPr>
          <w:b/>
          <w:i w:val="0"/>
        </w:rPr>
        <w:t>Resolution.</w:t>
      </w:r>
    </w:p>
    <w:p>
      <w:r>
        <w:t>The thesis was reformulated to a different research question: cross-modal affective coherence detection. The new framing treats cross-modal divergence as a signal in its own right rather than as something to overcome via fusion. All existing code components were retained; what changed was the headline contribution and the emphasis of the research questions.</w:t>
      </w:r>
    </w:p>
    <w:p>
      <w:pPr>
        <w:pStyle w:val="Heading2"/>
      </w:pPr>
      <w:r>
        <w:t>Challenge 10: Raw EAV data not available for re-preprocessing (Restart)</w:t>
      </w:r>
    </w:p>
    <w:p>
      <w:r>
        <w:rPr>
          <w:b/>
          <w:i w:val="0"/>
        </w:rPr>
        <w:t>Diagnosis.</w:t>
      </w:r>
    </w:p>
    <w:p>
      <w:r>
        <w:t>Following a planned break in the project, work resumed with the intent of modifying the EAV preprocessing pipeline to preserve per-trial task tags (Listen versus Speak) for use in the coherence analysis. The raw EAV data — approximately forty-six gigabytes downloaded from Zenodo — had been deleted from the user's local disk after the initial pickle generation, and re-downloading was judged not worth the time cost given the approaching deadline.</w:t>
      </w:r>
    </w:p>
    <w:p>
      <w:r>
        <w:rPr>
          <w:b/>
          <w:i w:val="0"/>
        </w:rPr>
        <w:t>Resolution.</w:t>
      </w:r>
    </w:p>
    <w:p>
      <w:r>
        <w:t>The Listen-versus-Speak coherence analysis was dropped as a headline contribution. The suppression-matrix analysis, which does not require task tags, was promoted to the headline. The decision was recorded explicitly in the project's master plan document, with a note that future work on a clinical or task-aware corpus would naturally re-introduce the Listen-versus-Speak comparison.</w:t>
      </w:r>
    </w:p>
    <w:p>
      <w:pPr>
        <w:pStyle w:val="Heading2"/>
      </w:pPr>
      <w:r>
        <w:t>Challenge 11: Environment-variable propagation between PyCharm Run Configurations and the Python Console (Forty-two-subject rollout setup)</w:t>
      </w:r>
    </w:p>
    <w:p>
      <w:r>
        <w:rPr>
          <w:b/>
          <w:i w:val="0"/>
        </w:rPr>
        <w:t>Diagnosis.</w:t>
      </w:r>
    </w:p>
    <w:p>
      <w:r>
        <w:t>When the workflow moved to a remote 4080 PC (accessed via AnyDesk) and PyCharm, environment variables set in a Run Configuration were found not to propagate to the Python Console or Terminal tabs within PyCharm. Tests of the path-resolution module produced incorrect Mac-default paths even with the run configuration apparently set correctly. The `paths.py` module additionally suffered from Python's import-cache behaviour: once imported, the module's resolved paths were frozen for the session even if the environment variables were subsequently changed.</w:t>
      </w:r>
    </w:p>
    <w:p>
      <w:r>
        <w:rPr>
          <w:b/>
          <w:i w:val="0"/>
        </w:rPr>
        <w:t>Resolution.</w:t>
      </w:r>
    </w:p>
    <w:p>
      <w:r>
        <w:t>Two complementary fixes were applied. First, the `paths.py` module was hardened to auto-detect the Google Colab runtime environment and default to Drive-mounted paths when running in Colab, removing the requirement to set environment variables before every session. Second, a documented "rebind" cell was added to the workflow for cases where the module had already been imported under stale environment variables; it evicts the `paths` module from `sys.modules` so that the next import re-reads from the environment.</w:t>
      </w:r>
    </w:p>
    <w:p>
      <w:pPr>
        <w:pStyle w:val="Heading2"/>
      </w:pPr>
      <w:r>
        <w:t>Challenge 12: Per-modality test logits not saved during the 42-subject Day-5 rollout (Post-rollout)</w:t>
      </w:r>
    </w:p>
    <w:p>
      <w:r>
        <w:rPr>
          <w:b/>
          <w:i w:val="0"/>
        </w:rPr>
        <w:t>Diagnosis.</w:t>
      </w:r>
    </w:p>
    <w:p>
      <w:r>
        <w:t>The Day-5 pipeline persisted three artefacts per subject: per-modality model state dictionaries, pre-classifier feature vectors, and fused logits from the cross-attention model. It did not save per-modality (post-classifier-head) logits. The naïve-late-fusion baseline and the suppression matrix both require per-modality softmax outputs; without these, neither comparison could be computed at forty-two-subject scale.</w:t>
      </w:r>
    </w:p>
    <w:p>
      <w:r>
        <w:rPr>
          <w:b/>
          <w:i w:val="0"/>
        </w:rPr>
        <w:t>Resolution.</w:t>
      </w:r>
    </w:p>
    <w:p>
      <w:r>
        <w:t>A small post-hoc inference script, `compute_per_modality_logits.py`, was written. For each of the forty-two subjects, it loads the trained state dictionaries, instantiates the corresponding model, runs inference on the test set, and saves per-modality logits to a new directory `day5_per_modality_logits/`. The operation completed in approximately twenty minutes on Colab L4. The two consumer scripts (`day3_late_fusion.py` and `suppression_matrix.py`) were patched to read from the new directory via a configurable environment variable.</w:t>
      </w:r>
    </w:p>
    <w:p>
      <w:pPr>
        <w:pStyle w:val="Heading2"/>
      </w:pPr>
      <w:r>
        <w:t>Challenge 13: EEG-Neutral inflation confound at three-subject pilot scale (Pilot coherence analysis)</w:t>
      </w:r>
    </w:p>
    <w:p>
      <w:r>
        <w:rPr>
          <w:b/>
          <w:i w:val="0"/>
        </w:rPr>
        <w:t>Diagnosis.</w:t>
      </w:r>
    </w:p>
    <w:p>
      <w:r>
        <w:t>At three-subject scale, the suppression matrix's Neutral column showed a count of 13 events, the highest of any column. The EEG marginal-distribution comparison developed in the follow-up analysis revealed that Neutral was disproportionately predicted by the EEG model on suppression-event trials versus the overall distribution — an inflation of 12.8 percentage points. This raised a methodological concern that the EEG model was defaulting to Neutral on uncertain trials, inflating the matrix's Neutral column artefactually.</w:t>
      </w:r>
    </w:p>
    <w:p>
      <w:r>
        <w:rPr>
          <w:b/>
          <w:i w:val="0"/>
        </w:rPr>
        <w:t>Resolution.</w:t>
      </w:r>
    </w:p>
    <w:p>
      <w:r>
        <w:t>At forty-two-subject scale, the same comparison was repeated. The Neutral inflation on suppression-event trials is now negative 1.0 percentage points, indicating no meaningful bias. The artefact identified in the pilot was a small-sample phenomenon that disappeared at full scale, removing the principal methodological caveat that had been planned for the Limitations section.</w:t>
      </w:r>
    </w:p>
    <w:p>
      <w:r>
        <w:br w:type="page"/>
      </w:r>
    </w:p>
    <w:p>
      <w:pPr>
        <w:pStyle w:val="Heading1"/>
      </w:pPr>
      <w:r>
        <w:t>4. Remaining Work and Future Roadmap</w:t>
      </w:r>
    </w:p>
    <w:p>
      <w:pPr>
        <w:pStyle w:val="Heading2"/>
      </w:pPr>
      <w:r>
        <w:t>4.1 Immediate Remaining Workstreams</w:t>
      </w:r>
    </w:p>
    <w:p>
      <w:r>
        <w:t>Four workstreams remain between the current state of the project and the deadline. Each is described below with its expected scope, output, and approximate compute budget.</w:t>
      </w:r>
    </w:p>
    <w:p>
      <w:pPr>
        <w:pStyle w:val="Heading3"/>
      </w:pPr>
      <w:r>
        <w:t>4.1.1 Modality-Dropout Training</w:t>
      </w:r>
    </w:p>
    <w:p>
      <w:r>
        <w:t>The fusion module is currently trained on full-modality examples and therefore does not yet handle missing modalities with sensible behaviour at inference time. The softhard modality-dropout scheme of Chumachenko, Iosifidis and Gabbouj (ICPR, 2022) will be adapted to the trimodal case: each training batch will be expanded into four sub-batches (full-modality; audio-only with vision and EEG zeroed; vision-only with audio and EEG zeroed; audio-plus-vision with EEG zeroed) with the appropriate labels replicated. The fusion module is then retrained on cached features, requiring no additional per-modality training. Compute estimate: approximately one hour on Colab L4.</w:t>
      </w:r>
    </w:p>
    <w:p>
      <w:r>
        <w:t>The resulting model is evaluated under multiple inference conditions, with the headline robustness number being the zero-EEG accuracy across all forty-two subjects. This number is what the demonstration will run on (since EEG is unavailable in any in-the-wild deployment scenario) and is also the principal robustness claim of the thesis.</w:t>
      </w:r>
    </w:p>
    <w:p>
      <w:pPr>
        <w:pStyle w:val="Heading3"/>
      </w:pPr>
      <w:r>
        <w:t>4.1.2 Subject-Independent Evaluation</w:t>
      </w:r>
    </w:p>
    <w:p>
      <w:r>
        <w:t>All accuracies reported in this document are within-subject: the training and test sets come from the same individual. Subject-independent evaluation is the standard credibility check in affective computing, and is essential for any generalisation claim. Two options are available: full leave-one-subject-out (LOSO), which trains forty-two separate models, and five-fold cross-subject, which trains five. The former is compute-prohibitive on the remaining schedule; the latter is feasible. The five-fold variant is therefore the planned approach. Compute estimate: approximately five hours on Colab L4 for the fusion-module retraining only, using cached features.</w:t>
      </w:r>
    </w:p>
    <w:p>
      <w:pPr>
        <w:pStyle w:val="Heading3"/>
      </w:pPr>
      <w:r>
        <w:t>4.1.3 Demonstration</w:t>
      </w:r>
    </w:p>
    <w:p>
      <w:r>
        <w:t>A file-based demonstration is the planned defence-day artefact. The input is a personal recorded video clip of twenty to thirty seconds with synchronous audio. The output is a copy of the video with two overlays rendered on top: a per-segment predicted emotion label with confidence, and a per-segment coherence indicator that flashes red when the system's audio-vision and EEG-equivalent (here zeroed) predictions diverge. The implementation uses OpenCV for frame-level overlay and FFmpeg for re-attaching the original audio track. Two small scripts (`demo_inference.py` and `demo_overlay.py`) will be written for this purpose. Estimated implementation time: approximately one full day.</w:t>
      </w:r>
    </w:p>
    <w:p>
      <w:pPr>
        <w:pStyle w:val="Heading3"/>
      </w:pPr>
      <w:r>
        <w:t>4.1.4 Thesis Writing</w:t>
      </w:r>
    </w:p>
    <w:p>
      <w:r>
        <w:t>The thesis manuscript and the defence slide deck are the final deliverables. The manuscript follows the standard format — Introduction, Related Work, Methods, Experiments, Results, Discussion, Limitations, Future Work, Conclusion — with the Limitations section explicitly acknowledging that the coherence methodology is validated behaviourally but not clinically, and that in-the-wild evaluation is Phase 2 future work. The slide deck structures the defence around the five research questions stated in Section 1.3. Estimated writing time: approximately two to three full days.</w:t>
      </w:r>
    </w:p>
    <w:p>
      <w:pPr>
        <w:pStyle w:val="Heading2"/>
      </w:pPr>
      <w:r>
        <w:t>4.2 Schedule for the Remaining Window</w:t>
      </w:r>
    </w:p>
    <w:p>
      <w:r>
        <w:t>The remaining workstreams are sequenced across the days between today and the deadline of June 9, 2026. Table 5 summarises the plan.</w:t>
      </w:r>
    </w:p>
    <w:p/>
    <w:tbl>
      <w:tblPr>
        <w:tblW w:type="auto" w:w="0"/>
        <w:jc w:val="center"/>
        <w:tblLook w:firstColumn="1" w:firstRow="1" w:lastColumn="0" w:lastRow="0" w:noHBand="0" w:noVBand="1" w:val="04A0"/>
      </w:tblPr>
      <w:tblGrid>
        <w:gridCol w:w="4320"/>
        <w:gridCol w:w="4320"/>
      </w:tblGrid>
      <w:tr>
        <w:tc>
          <w:tcPr>
            <w:tcW w:type="dxa" w:w="432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Date</w:t>
            </w:r>
          </w:p>
        </w:tc>
        <w:tc>
          <w:tcPr>
            <w:tcW w:type="dxa" w:w="4320"/>
            <w:tcBorders>
              <w:top w:val="single" w:sz="4" w:space="0" w:color="000000"/>
              <w:left w:val="single" w:sz="4" w:space="0" w:color="000000"/>
              <w:bottom w:val="single" w:sz="4" w:space="0" w:color="000000"/>
              <w:right w:val="single" w:sz="4" w:space="0" w:color="000000"/>
            </w:tcBorders>
            <w:vAlign w:val="center"/>
            <w:shd w:val="clear" w:color="auto" w:fill="D9E2F3"/>
          </w:tcPr>
          <w:p>
            <w:r>
              <w:rPr>
                <w:b/>
              </w:rPr>
              <w:t>Principal Goal</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2</w:t>
            </w:r>
          </w:p>
        </w:tc>
        <w:tc>
          <w:tcPr>
            <w:tcW w:type="dxa" w:w="4320"/>
            <w:tcBorders>
              <w:top w:val="single" w:sz="4" w:space="0" w:color="000000"/>
              <w:left w:val="single" w:sz="4" w:space="0" w:color="000000"/>
              <w:bottom w:val="single" w:sz="4" w:space="0" w:color="000000"/>
              <w:right w:val="single" w:sz="4" w:space="0" w:color="000000"/>
            </w:tcBorders>
            <w:vAlign w:val="center"/>
          </w:tcPr>
          <w:p>
            <w:r>
              <w:t>Modality-dropout training; zero-EEG robustness evaluation</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3</w:t>
            </w:r>
          </w:p>
        </w:tc>
        <w:tc>
          <w:tcPr>
            <w:tcW w:type="dxa" w:w="4320"/>
            <w:tcBorders>
              <w:top w:val="single" w:sz="4" w:space="0" w:color="000000"/>
              <w:left w:val="single" w:sz="4" w:space="0" w:color="000000"/>
              <w:bottom w:val="single" w:sz="4" w:space="0" w:color="000000"/>
              <w:right w:val="single" w:sz="4" w:space="0" w:color="000000"/>
            </w:tcBorders>
            <w:vAlign w:val="center"/>
          </w:tcPr>
          <w:p>
            <w:r>
              <w:t>Five-fold subject-independent evaluation</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4</w:t>
            </w:r>
          </w:p>
        </w:tc>
        <w:tc>
          <w:tcPr>
            <w:tcW w:type="dxa" w:w="4320"/>
            <w:tcBorders>
              <w:top w:val="single" w:sz="4" w:space="0" w:color="000000"/>
              <w:left w:val="single" w:sz="4" w:space="0" w:color="000000"/>
              <w:bottom w:val="single" w:sz="4" w:space="0" w:color="000000"/>
              <w:right w:val="single" w:sz="4" w:space="0" w:color="000000"/>
            </w:tcBorders>
            <w:vAlign w:val="center"/>
          </w:tcPr>
          <w:p>
            <w:r>
              <w:t>Demonstration construction; personal video recording</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5</w:t>
            </w:r>
          </w:p>
        </w:tc>
        <w:tc>
          <w:tcPr>
            <w:tcW w:type="dxa" w:w="4320"/>
            <w:tcBorders>
              <w:top w:val="single" w:sz="4" w:space="0" w:color="000000"/>
              <w:left w:val="single" w:sz="4" w:space="0" w:color="000000"/>
              <w:bottom w:val="single" w:sz="4" w:space="0" w:color="000000"/>
              <w:right w:val="single" w:sz="4" w:space="0" w:color="000000"/>
            </w:tcBorders>
            <w:vAlign w:val="center"/>
          </w:tcPr>
          <w:p>
            <w:r>
              <w:t>Thesis writing — Methods, Experiments and Results chapters</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6</w:t>
            </w:r>
          </w:p>
        </w:tc>
        <w:tc>
          <w:tcPr>
            <w:tcW w:type="dxa" w:w="4320"/>
            <w:tcBorders>
              <w:top w:val="single" w:sz="4" w:space="0" w:color="000000"/>
              <w:left w:val="single" w:sz="4" w:space="0" w:color="000000"/>
              <w:bottom w:val="single" w:sz="4" w:space="0" w:color="000000"/>
              <w:right w:val="single" w:sz="4" w:space="0" w:color="000000"/>
            </w:tcBorders>
            <w:vAlign w:val="center"/>
          </w:tcPr>
          <w:p>
            <w:r>
              <w:t>Thesis writing — Discussion, Limitations and Conclusion</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7</w:t>
            </w:r>
          </w:p>
        </w:tc>
        <w:tc>
          <w:tcPr>
            <w:tcW w:type="dxa" w:w="4320"/>
            <w:tcBorders>
              <w:top w:val="single" w:sz="4" w:space="0" w:color="000000"/>
              <w:left w:val="single" w:sz="4" w:space="0" w:color="000000"/>
              <w:bottom w:val="single" w:sz="4" w:space="0" w:color="000000"/>
              <w:right w:val="single" w:sz="4" w:space="0" w:color="000000"/>
            </w:tcBorders>
            <w:vAlign w:val="center"/>
          </w:tcPr>
          <w:p>
            <w:r>
              <w:t>Defence slide deck</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8</w:t>
            </w:r>
          </w:p>
        </w:tc>
        <w:tc>
          <w:tcPr>
            <w:tcW w:type="dxa" w:w="4320"/>
            <w:tcBorders>
              <w:top w:val="single" w:sz="4" w:space="0" w:color="000000"/>
              <w:left w:val="single" w:sz="4" w:space="0" w:color="000000"/>
              <w:bottom w:val="single" w:sz="4" w:space="0" w:color="000000"/>
              <w:right w:val="single" w:sz="4" w:space="0" w:color="000000"/>
            </w:tcBorders>
            <w:vAlign w:val="center"/>
          </w:tcPr>
          <w:p>
            <w:r>
              <w:t>Final manuscript pass; submission preparation</w:t>
            </w:r>
          </w:p>
        </w:tc>
      </w:tr>
      <w:tr>
        <w:tc>
          <w:tcPr>
            <w:tcW w:type="dxa" w:w="4320"/>
            <w:tcBorders>
              <w:top w:val="single" w:sz="4" w:space="0" w:color="000000"/>
              <w:left w:val="single" w:sz="4" w:space="0" w:color="000000"/>
              <w:bottom w:val="single" w:sz="4" w:space="0" w:color="000000"/>
              <w:right w:val="single" w:sz="4" w:space="0" w:color="000000"/>
            </w:tcBorders>
            <w:vAlign w:val="center"/>
          </w:tcPr>
          <w:p>
            <w:r>
              <w:t>Jun 9</w:t>
            </w:r>
          </w:p>
        </w:tc>
        <w:tc>
          <w:tcPr>
            <w:tcW w:type="dxa" w:w="4320"/>
            <w:tcBorders>
              <w:top w:val="single" w:sz="4" w:space="0" w:color="000000"/>
              <w:left w:val="single" w:sz="4" w:space="0" w:color="000000"/>
              <w:bottom w:val="single" w:sz="4" w:space="0" w:color="000000"/>
              <w:right w:val="single" w:sz="4" w:space="0" w:color="000000"/>
            </w:tcBorders>
            <w:vAlign w:val="center"/>
          </w:tcPr>
          <w:p>
            <w:r>
              <w:t>Final submission</w:t>
            </w:r>
          </w:p>
        </w:tc>
      </w:tr>
    </w:tbl>
    <w:p>
      <w:pPr>
        <w:jc w:val="center"/>
      </w:pPr>
      <w:r>
        <w:rPr>
          <w:b w:val="0"/>
          <w:i/>
          <w:sz w:val="20"/>
        </w:rPr>
        <w:t>Table 5. Schedule for the remaining work window, June 2 through June 9, 2026.</w:t>
      </w:r>
    </w:p>
    <w:p/>
    <w:p>
      <w:pPr>
        <w:pStyle w:val="Heading2"/>
      </w:pPr>
      <w:r>
        <w:t>4.3 Phase 2 Future Work (Out of Scope)</w:t>
      </w:r>
    </w:p>
    <w:p>
      <w:r>
        <w:t>The thesis explicitly carves out three workstreams as Phase 2 future work, beyond the scope of the present submission. Acknowledging these in the manuscript permits the thesis to make a tightly-scoped claim about EAV without inviting reviewer questions about generalisation beyond it.</w:t>
      </w:r>
    </w:p>
    <w:p>
      <w:r>
        <w:t>First, clinical validation. The suppression-matrix methodology developed in this thesis identifies patterns of cross-modal incoherence in a healthy laboratory population. The clinical interest of these patterns — whether subjects with depression, alexithymia, post-traumatic stress disorder, or autism spectrum conditions show systematically different coherence patterns — requires a labelled clinical population that the present thesis does not have. Phase 2 work would deploy the same methodology against such a population to test whether coherence scores discriminate diagnostic groups.</w:t>
      </w:r>
    </w:p>
    <w:p>
      <w:r>
        <w:t>Second, in-the-wild deployment. The model architecture has been designed with explicit hooks (per-modality embeddings as named outputs of the fusion forward pass; zero-EEG inference path) that support a future temporal head consuming continuous video. Realising this requires a temporally-annotated in-the-wild audiovisual dataset (DFEW, MAFW, or a custom collection) and the addition of a sequence-to-sequence temporal model (LSTM, Residual-TCN, or temporal transformer) on top of the existing frozen per-modality encoders. The architectural decisions made during the present thesis make this extension a localised change rather than a rewrite.</w:t>
      </w:r>
    </w:p>
    <w:p>
      <w:r>
        <w:t>Third, MERCL contrastive pre-training. The supervised contrastive losses of Lee, Kim and Kim (2024) — Intra-Modal Contrastive Learning (AMCL), Inter-Modal Contrastive Learning (EMCL) and Sample-wise Multimodal Alignment Contrastive Learning (SMCL) — are theoretically attractive but were dropped from the present thesis under schedule pressure. Their re-introduction in Phase 2 would test whether contrastive pre-training of the per-modality encoders, before fine-tuning the fusion head, materially improves either classification or coherence-detection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