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18DC" w14:textId="77777777" w:rsidR="008A5E4E" w:rsidRPr="008A5E4E" w:rsidRDefault="008A5E4E" w:rsidP="001B0967">
      <w:pPr>
        <w:jc w:val="both"/>
        <w:rPr>
          <w:b/>
          <w:bCs/>
          <w:lang w:val="en-MY"/>
        </w:rPr>
      </w:pPr>
      <w:r w:rsidRPr="008A5E4E">
        <w:rPr>
          <w:b/>
          <w:bCs/>
          <w:lang w:val="en-MY"/>
        </w:rPr>
        <w:t>Beyond Faith Alone: The Prophet Muhammad (SAW) as a Model of Scientific Thinking</w:t>
      </w:r>
    </w:p>
    <w:p w14:paraId="3EA07FCC" w14:textId="77777777" w:rsidR="008A5E4E" w:rsidRPr="008A5E4E" w:rsidRDefault="008A5E4E" w:rsidP="001B0967">
      <w:pPr>
        <w:jc w:val="both"/>
        <w:rPr>
          <w:lang w:val="en-MY"/>
        </w:rPr>
      </w:pPr>
      <w:r w:rsidRPr="008A5E4E">
        <w:rPr>
          <w:lang w:val="en-MY"/>
        </w:rPr>
        <w:t xml:space="preserve">The historical narrative surrounding the Prophet Muhammad (SAW) often emphasizes his role as a spiritual guide and legislator. However, a closer examination of his methodology reveals a profound alignment with what modern scholars define as </w:t>
      </w:r>
      <w:r w:rsidRPr="008A5E4E">
        <w:rPr>
          <w:b/>
          <w:bCs/>
          <w:lang w:val="en-MY"/>
        </w:rPr>
        <w:t>scientific thinking</w:t>
      </w:r>
      <w:r w:rsidRPr="008A5E4E">
        <w:rPr>
          <w:lang w:val="en-MY"/>
        </w:rPr>
        <w:t xml:space="preserve">. Far from demanding blind adherence to mystical explanations, the Prophet (SAW) consistently </w:t>
      </w:r>
      <w:proofErr w:type="spellStart"/>
      <w:r w:rsidRPr="008A5E4E">
        <w:rPr>
          <w:lang w:val="en-MY"/>
        </w:rPr>
        <w:t>modeled</w:t>
      </w:r>
      <w:proofErr w:type="spellEnd"/>
      <w:r w:rsidRPr="008A5E4E">
        <w:rPr>
          <w:lang w:val="en-MY"/>
        </w:rPr>
        <w:t xml:space="preserve"> a framework of intellectual inquiry, distinguishing between divine revelation and the empirical world. By </w:t>
      </w:r>
      <w:proofErr w:type="spellStart"/>
      <w:r w:rsidRPr="008A5E4E">
        <w:rPr>
          <w:lang w:val="en-MY"/>
        </w:rPr>
        <w:t>analyzing</w:t>
      </w:r>
      <w:proofErr w:type="spellEnd"/>
      <w:r w:rsidRPr="008A5E4E">
        <w:rPr>
          <w:lang w:val="en-MY"/>
        </w:rPr>
        <w:t xml:space="preserve"> specific instances from his life through the lens of modern scientific frameworks—specifically empiricism, falsifiability, and inductive reasoning—we can see that he laid the philosophical foundations for the Islamic Golden Age and the eventual birth of the scientific method.</w:t>
      </w:r>
    </w:p>
    <w:p w14:paraId="681D2732" w14:textId="77777777" w:rsidR="005126A4" w:rsidRDefault="008A5E4E" w:rsidP="001B0967">
      <w:pPr>
        <w:pStyle w:val="ListParagraph"/>
        <w:numPr>
          <w:ilvl w:val="0"/>
          <w:numId w:val="2"/>
        </w:numPr>
        <w:jc w:val="both"/>
        <w:rPr>
          <w:b/>
          <w:bCs/>
          <w:lang w:val="en-MY"/>
        </w:rPr>
      </w:pPr>
      <w:r w:rsidRPr="005126A4">
        <w:rPr>
          <w:b/>
          <w:bCs/>
          <w:lang w:val="en-MY"/>
        </w:rPr>
        <w:t>Empiricism and the Rejection of Superstition</w:t>
      </w:r>
    </w:p>
    <w:p w14:paraId="7A70942D" w14:textId="77777777" w:rsidR="005126A4" w:rsidRDefault="005126A4" w:rsidP="001B0967">
      <w:pPr>
        <w:pStyle w:val="ListParagraph"/>
        <w:jc w:val="both"/>
        <w:rPr>
          <w:lang w:val="en-US"/>
        </w:rPr>
      </w:pPr>
      <w:r w:rsidRPr="005126A4">
        <w:rPr>
          <w:lang w:val="en-US"/>
        </w:rPr>
        <w:t xml:space="preserve">A core tenet of scientific thinking is the distinction between </w:t>
      </w:r>
      <w:r w:rsidRPr="005126A4">
        <w:rPr>
          <w:b/>
          <w:bCs/>
          <w:lang w:val="en-US"/>
        </w:rPr>
        <w:t>correlation and causation</w:t>
      </w:r>
      <w:r w:rsidRPr="005126A4">
        <w:rPr>
          <w:lang w:val="en-US"/>
        </w:rPr>
        <w:t>. In the pre-Islamic era, natural phenomena were often explained through myths and superstitions. The Prophet (PBUH) famously disrupted this line of thought during the solar eclipse that occurred upon the death of his infant son, Ibrahim. While the community assumed the eclipse was a celestial mourning for his loss, he corrected them, stating:</w:t>
      </w:r>
    </w:p>
    <w:p w14:paraId="40FD49FA" w14:textId="77777777" w:rsidR="005126A4" w:rsidRDefault="005126A4" w:rsidP="001B0967">
      <w:pPr>
        <w:pStyle w:val="ListParagraph"/>
        <w:jc w:val="both"/>
        <w:rPr>
          <w:lang w:val="en-US"/>
        </w:rPr>
      </w:pPr>
      <w:r w:rsidRPr="005126A4">
        <w:rPr>
          <w:lang w:val="en-US"/>
        </w:rPr>
        <w:t xml:space="preserve">"The sun and the moon are two of the signs of Allah; they do not eclipse because of the death or life of someone." — </w:t>
      </w:r>
      <w:r w:rsidRPr="005126A4">
        <w:rPr>
          <w:b/>
          <w:bCs/>
          <w:lang w:val="en-US"/>
        </w:rPr>
        <w:t>Source:</w:t>
      </w:r>
      <w:r w:rsidRPr="005126A4">
        <w:rPr>
          <w:lang w:val="en-US"/>
        </w:rPr>
        <w:t xml:space="preserve"> </w:t>
      </w:r>
      <w:r w:rsidRPr="005126A4">
        <w:rPr>
          <w:i/>
          <w:iCs/>
          <w:lang w:val="en-US"/>
        </w:rPr>
        <w:t>Sahih al-Bukhari</w:t>
      </w:r>
      <w:r w:rsidRPr="005126A4">
        <w:rPr>
          <w:lang w:val="en-US"/>
        </w:rPr>
        <w:t>, Vol. 2, Book 18, Hadith 150 (trans. 1997).</w:t>
      </w:r>
    </w:p>
    <w:p w14:paraId="4FEF1AFE" w14:textId="77777777" w:rsidR="005126A4" w:rsidRDefault="005126A4" w:rsidP="001B0967">
      <w:pPr>
        <w:pStyle w:val="ListParagraph"/>
        <w:jc w:val="both"/>
        <w:rPr>
          <w:lang w:val="en-US"/>
        </w:rPr>
      </w:pPr>
    </w:p>
    <w:p w14:paraId="6E8F1831" w14:textId="77777777" w:rsidR="005126A4" w:rsidRDefault="005126A4" w:rsidP="001B0967">
      <w:pPr>
        <w:pStyle w:val="ListParagraph"/>
        <w:jc w:val="both"/>
        <w:rPr>
          <w:b/>
          <w:bCs/>
          <w:lang w:val="en-US"/>
        </w:rPr>
      </w:pPr>
      <w:r w:rsidRPr="005126A4">
        <w:rPr>
          <w:b/>
          <w:bCs/>
          <w:lang w:val="en-US"/>
        </w:rPr>
        <w:t>Maps to Scientific Thinking: Empirical Causality</w:t>
      </w:r>
    </w:p>
    <w:p w14:paraId="655AECE4" w14:textId="77777777" w:rsidR="005126A4" w:rsidRDefault="005126A4" w:rsidP="001B0967">
      <w:pPr>
        <w:pStyle w:val="ListParagraph"/>
        <w:jc w:val="both"/>
        <w:rPr>
          <w:lang w:val="en-US"/>
        </w:rPr>
      </w:pPr>
      <w:r w:rsidRPr="005126A4">
        <w:rPr>
          <w:lang w:val="en-US"/>
        </w:rPr>
        <w:t xml:space="preserve">From a scientific framework, this is a masterclass in </w:t>
      </w:r>
      <w:r w:rsidRPr="005126A4">
        <w:rPr>
          <w:b/>
          <w:bCs/>
          <w:lang w:val="en-US"/>
        </w:rPr>
        <w:t>decoupling variables</w:t>
      </w:r>
      <w:r w:rsidRPr="005126A4">
        <w:rPr>
          <w:lang w:val="en-US"/>
        </w:rPr>
        <w:t xml:space="preserve">. The Prophet (PBUH) separated a personal, emotional event from a natural, physical phenomenon. By asserting that the sun and moon operate under their own fixed laws (signs), he encouraged a worldview where the physical universe is governed by </w:t>
      </w:r>
      <w:r w:rsidRPr="005126A4">
        <w:rPr>
          <w:b/>
          <w:bCs/>
          <w:lang w:val="en-US"/>
        </w:rPr>
        <w:t>objective laws</w:t>
      </w:r>
      <w:r w:rsidRPr="005126A4">
        <w:rPr>
          <w:lang w:val="en-US"/>
        </w:rPr>
        <w:t xml:space="preserve"> rather than subjective omens.</w:t>
      </w:r>
      <w:r>
        <w:rPr>
          <w:lang w:val="en-US"/>
        </w:rPr>
        <w:t xml:space="preserve"> </w:t>
      </w:r>
      <w:r w:rsidRPr="005126A4">
        <w:rPr>
          <w:lang w:val="en-US"/>
        </w:rPr>
        <w:t>This shift moved the mindset of his followers from "mythical thinking" to "causal thinking"—an absolute prerequisite for the scientific method. He effectively taught that two events occurring at the same time do not inherently share a cause-and-effect relationship.</w:t>
      </w:r>
    </w:p>
    <w:p w14:paraId="3F74E627" w14:textId="77777777" w:rsidR="005126A4" w:rsidRDefault="005126A4" w:rsidP="001B0967">
      <w:pPr>
        <w:pStyle w:val="ListParagraph"/>
        <w:jc w:val="both"/>
        <w:rPr>
          <w:lang w:val="en-US"/>
        </w:rPr>
      </w:pPr>
    </w:p>
    <w:p w14:paraId="06801E85" w14:textId="77777777" w:rsidR="005126A4" w:rsidRDefault="005126A4" w:rsidP="001B0967">
      <w:pPr>
        <w:pStyle w:val="ListParagraph"/>
        <w:jc w:val="both"/>
        <w:rPr>
          <w:b/>
          <w:bCs/>
          <w:lang w:val="en-US"/>
        </w:rPr>
      </w:pPr>
      <w:r w:rsidRPr="005126A4">
        <w:rPr>
          <w:b/>
          <w:bCs/>
          <w:lang w:val="en-US"/>
        </w:rPr>
        <w:t>Take-home Idea</w:t>
      </w:r>
    </w:p>
    <w:p w14:paraId="289FA897" w14:textId="77777777" w:rsidR="005126A4" w:rsidRDefault="005126A4" w:rsidP="001B0967">
      <w:pPr>
        <w:pStyle w:val="ListParagraph"/>
        <w:jc w:val="both"/>
        <w:rPr>
          <w:lang w:val="en-US"/>
        </w:rPr>
      </w:pPr>
      <w:r w:rsidRPr="005126A4">
        <w:rPr>
          <w:lang w:val="en-US"/>
        </w:rPr>
        <w:t>Objectivity requires us to look past our own grief or ego to see the world as it truly functions, governed by universal laws that do not bend for individuals.</w:t>
      </w:r>
    </w:p>
    <w:p w14:paraId="74E26727" w14:textId="77777777" w:rsidR="005126A4" w:rsidRDefault="005126A4" w:rsidP="001B0967">
      <w:pPr>
        <w:pStyle w:val="ListParagraph"/>
        <w:jc w:val="both"/>
        <w:rPr>
          <w:lang w:val="en-US"/>
        </w:rPr>
      </w:pPr>
    </w:p>
    <w:p w14:paraId="10F6F219" w14:textId="77777777" w:rsidR="005126A4" w:rsidRPr="005126A4" w:rsidRDefault="008A5E4E" w:rsidP="001B0967">
      <w:pPr>
        <w:pStyle w:val="ListParagraph"/>
        <w:numPr>
          <w:ilvl w:val="0"/>
          <w:numId w:val="2"/>
        </w:numPr>
        <w:jc w:val="both"/>
        <w:rPr>
          <w:lang w:val="en-US"/>
        </w:rPr>
      </w:pPr>
      <w:r w:rsidRPr="005126A4">
        <w:rPr>
          <w:b/>
          <w:bCs/>
          <w:lang w:val="en-MY"/>
        </w:rPr>
        <w:t>The Date-Palm Incident: Trial, Error, and Falsifiability</w:t>
      </w:r>
    </w:p>
    <w:p w14:paraId="2004C644" w14:textId="77777777" w:rsidR="005126A4" w:rsidRDefault="006B6FBA" w:rsidP="001B0967">
      <w:pPr>
        <w:pStyle w:val="ListParagraph"/>
        <w:jc w:val="both"/>
        <w:rPr>
          <w:b/>
          <w:bCs/>
          <w:lang w:val="en-US"/>
        </w:rPr>
      </w:pPr>
      <w:r w:rsidRPr="005126A4">
        <w:rPr>
          <w:b/>
          <w:bCs/>
          <w:lang w:val="en-US"/>
        </w:rPr>
        <w:t>The Story</w:t>
      </w:r>
    </w:p>
    <w:p w14:paraId="33C7F8C7" w14:textId="77777777" w:rsidR="005126A4" w:rsidRDefault="006B6FBA" w:rsidP="001B0967">
      <w:pPr>
        <w:pStyle w:val="ListParagraph"/>
        <w:jc w:val="both"/>
        <w:rPr>
          <w:lang w:val="en-US"/>
        </w:rPr>
      </w:pPr>
      <w:r w:rsidRPr="005126A4">
        <w:rPr>
          <w:lang w:val="en-US"/>
        </w:rPr>
        <w:t>Upon arriving in Medina, the Prophet saw farmers cross-pollinating date palms. He suggested that perhaps it wouldn't matter if they didn't do it. The yield that year was poor. When told of this, he famously replied: "You have better knowledge of the affairs of your world." (Sahih Muslim 2363).</w:t>
      </w:r>
    </w:p>
    <w:p w14:paraId="20EC4142" w14:textId="77777777" w:rsidR="005126A4" w:rsidRDefault="005126A4" w:rsidP="001B0967">
      <w:pPr>
        <w:pStyle w:val="ListParagraph"/>
        <w:jc w:val="both"/>
        <w:rPr>
          <w:lang w:val="en-US"/>
        </w:rPr>
      </w:pPr>
    </w:p>
    <w:p w14:paraId="1518CB33" w14:textId="77777777" w:rsidR="005126A4" w:rsidRDefault="006B6FBA" w:rsidP="001B0967">
      <w:pPr>
        <w:pStyle w:val="ListParagraph"/>
        <w:jc w:val="both"/>
        <w:rPr>
          <w:lang w:val="en-US"/>
        </w:rPr>
      </w:pPr>
      <w:r w:rsidRPr="006B6FBA">
        <w:rPr>
          <w:b/>
          <w:bCs/>
          <w:lang w:val="en-US"/>
        </w:rPr>
        <w:t>Maps to Scientific Thinking: Empirical Specialization.</w:t>
      </w:r>
      <w:r w:rsidRPr="006B6FBA">
        <w:rPr>
          <w:lang w:val="en-US"/>
        </w:rPr>
        <w:t xml:space="preserve"> </w:t>
      </w:r>
    </w:p>
    <w:p w14:paraId="746C0BC7" w14:textId="77777777" w:rsidR="005126A4" w:rsidRDefault="006B6FBA" w:rsidP="001B0967">
      <w:pPr>
        <w:pStyle w:val="ListParagraph"/>
        <w:jc w:val="both"/>
        <w:rPr>
          <w:lang w:val="en-US"/>
        </w:rPr>
      </w:pPr>
      <w:r w:rsidRPr="006B6FBA">
        <w:rPr>
          <w:lang w:val="en-US"/>
        </w:rPr>
        <w:t xml:space="preserve">This story establishes the "Secular Domain" of science. The Prophet demarcated spiritual guidance from empirical, craft-based knowledge. He validated the </w:t>
      </w:r>
      <w:r w:rsidRPr="006B6FBA">
        <w:rPr>
          <w:b/>
          <w:bCs/>
          <w:lang w:val="en-US"/>
        </w:rPr>
        <w:t>Scientific Method</w:t>
      </w:r>
      <w:r w:rsidRPr="006B6FBA">
        <w:rPr>
          <w:lang w:val="en-US"/>
        </w:rPr>
        <w:t>—observation and experimentation—as the primary way to understand the physical world, acknowledging that those who study a specific field possess the most reliable data.</w:t>
      </w:r>
    </w:p>
    <w:p w14:paraId="3407C6C1" w14:textId="77777777" w:rsidR="005126A4" w:rsidRDefault="005126A4" w:rsidP="001B0967">
      <w:pPr>
        <w:pStyle w:val="ListParagraph"/>
        <w:jc w:val="both"/>
        <w:rPr>
          <w:lang w:val="en-US"/>
        </w:rPr>
      </w:pPr>
    </w:p>
    <w:p w14:paraId="67F30A23" w14:textId="700CBEFC" w:rsidR="006B6FBA" w:rsidRDefault="006B6FBA" w:rsidP="001B0967">
      <w:pPr>
        <w:pStyle w:val="ListParagraph"/>
        <w:jc w:val="both"/>
        <w:rPr>
          <w:lang w:val="en-US"/>
        </w:rPr>
      </w:pPr>
      <w:r w:rsidRPr="006B6FBA">
        <w:rPr>
          <w:b/>
          <w:bCs/>
          <w:lang w:val="en-US"/>
        </w:rPr>
        <w:t>Take-home Idea:</w:t>
      </w:r>
      <w:r w:rsidRPr="006B6FBA">
        <w:rPr>
          <w:lang w:val="en-US"/>
        </w:rPr>
        <w:t xml:space="preserve"> Faith provides the 'Why,' but observation and expertise provide the 'How.'</w:t>
      </w:r>
    </w:p>
    <w:p w14:paraId="18EB8C6F" w14:textId="1F77327A" w:rsidR="001B0967" w:rsidRDefault="001B0967" w:rsidP="001B0967">
      <w:pPr>
        <w:jc w:val="both"/>
        <w:rPr>
          <w:lang w:val="en-US"/>
        </w:rPr>
      </w:pPr>
      <w:r>
        <w:rPr>
          <w:lang w:val="en-US"/>
        </w:rPr>
        <w:br w:type="page"/>
      </w:r>
    </w:p>
    <w:p w14:paraId="3AD835FB" w14:textId="77777777" w:rsidR="001B0967" w:rsidRPr="006B6FBA" w:rsidRDefault="001B0967" w:rsidP="001B0967">
      <w:pPr>
        <w:pStyle w:val="ListParagraph"/>
        <w:jc w:val="both"/>
        <w:rPr>
          <w:lang w:val="en-US"/>
        </w:rPr>
      </w:pPr>
    </w:p>
    <w:p w14:paraId="74021CE2" w14:textId="77777777" w:rsidR="001B0967" w:rsidRDefault="008A5E4E" w:rsidP="001B0967">
      <w:pPr>
        <w:pStyle w:val="ListParagraph"/>
        <w:numPr>
          <w:ilvl w:val="0"/>
          <w:numId w:val="2"/>
        </w:numPr>
        <w:jc w:val="both"/>
        <w:rPr>
          <w:b/>
          <w:bCs/>
          <w:lang w:val="en-MY"/>
        </w:rPr>
      </w:pPr>
      <w:r w:rsidRPr="001B0967">
        <w:rPr>
          <w:b/>
          <w:bCs/>
          <w:lang w:val="en-MY"/>
        </w:rPr>
        <w:t>Systematic Medicine and Inductive Reasoning</w:t>
      </w:r>
    </w:p>
    <w:p w14:paraId="402521DD" w14:textId="77777777" w:rsidR="001B0967" w:rsidRDefault="005126A4" w:rsidP="001B0967">
      <w:pPr>
        <w:pStyle w:val="ListParagraph"/>
        <w:jc w:val="both"/>
        <w:rPr>
          <w:lang w:val="en-US"/>
        </w:rPr>
      </w:pPr>
      <w:r w:rsidRPr="001B0967">
        <w:rPr>
          <w:lang w:val="en-US"/>
        </w:rPr>
        <w:t>The scientific method relies on the axiom that the universe is intelligible and that problems have solutions that can be uncovered through systematic search. The Prophet (PBUH) codified this search in the field of medicine. He famously stated:</w:t>
      </w:r>
      <w:r w:rsidR="001B0967">
        <w:rPr>
          <w:lang w:val="en-US"/>
        </w:rPr>
        <w:t xml:space="preserve"> </w:t>
      </w:r>
      <w:r w:rsidRPr="005126A4">
        <w:rPr>
          <w:lang w:val="en-US"/>
        </w:rPr>
        <w:t xml:space="preserve">"There is no disease that Allah has created, except that He also has created its treatment." — </w:t>
      </w:r>
      <w:r w:rsidRPr="005126A4">
        <w:rPr>
          <w:b/>
          <w:bCs/>
          <w:lang w:val="en-US"/>
        </w:rPr>
        <w:t>Source:</w:t>
      </w:r>
      <w:r w:rsidRPr="005126A4">
        <w:rPr>
          <w:lang w:val="en-US"/>
        </w:rPr>
        <w:t xml:space="preserve"> </w:t>
      </w:r>
      <w:r w:rsidRPr="005126A4">
        <w:rPr>
          <w:i/>
          <w:iCs/>
          <w:lang w:val="en-US"/>
        </w:rPr>
        <w:t>Sahih al-Bukhari</w:t>
      </w:r>
      <w:r w:rsidRPr="005126A4">
        <w:rPr>
          <w:lang w:val="en-US"/>
        </w:rPr>
        <w:t>, Vol. 7, Book 71, Hadith 582 (trans. 1997).</w:t>
      </w:r>
    </w:p>
    <w:p w14:paraId="49383D72" w14:textId="77777777" w:rsidR="001B0967" w:rsidRDefault="001B0967" w:rsidP="001B0967">
      <w:pPr>
        <w:pStyle w:val="ListParagraph"/>
        <w:jc w:val="both"/>
        <w:rPr>
          <w:lang w:val="en-US"/>
        </w:rPr>
      </w:pPr>
    </w:p>
    <w:p w14:paraId="01872E7B" w14:textId="77777777" w:rsidR="001B0967" w:rsidRDefault="005126A4" w:rsidP="001B0967">
      <w:pPr>
        <w:pStyle w:val="ListParagraph"/>
        <w:jc w:val="both"/>
        <w:rPr>
          <w:b/>
          <w:bCs/>
          <w:lang w:val="en-US"/>
        </w:rPr>
      </w:pPr>
      <w:r w:rsidRPr="005126A4">
        <w:rPr>
          <w:b/>
          <w:bCs/>
          <w:lang w:val="en-US"/>
        </w:rPr>
        <w:t>Maps to Scientific Thinking: Inductive Reasoning and Systematic Search</w:t>
      </w:r>
    </w:p>
    <w:p w14:paraId="5F031A2F" w14:textId="77777777" w:rsidR="001B0967" w:rsidRDefault="005126A4" w:rsidP="001B0967">
      <w:pPr>
        <w:pStyle w:val="ListParagraph"/>
        <w:jc w:val="both"/>
        <w:rPr>
          <w:lang w:val="en-US"/>
        </w:rPr>
      </w:pPr>
      <w:r w:rsidRPr="005126A4">
        <w:rPr>
          <w:lang w:val="en-US"/>
        </w:rPr>
        <w:t xml:space="preserve">This statement is not merely a theological comfort; it is a call for </w:t>
      </w:r>
      <w:r w:rsidRPr="005126A4">
        <w:rPr>
          <w:b/>
          <w:bCs/>
          <w:lang w:val="en-US"/>
        </w:rPr>
        <w:t>inductive reasoning</w:t>
      </w:r>
      <w:r w:rsidRPr="005126A4">
        <w:rPr>
          <w:lang w:val="en-US"/>
        </w:rPr>
        <w:t xml:space="preserve">. By asserting that a cure exists for every ailment, the Prophet (PBUH) provided the necessary motivation for systematic observation and clinical trials. If a solution is guaranteed to exist, then the failure to find it is a failure of the </w:t>
      </w:r>
      <w:r w:rsidRPr="005126A4">
        <w:rPr>
          <w:i/>
          <w:iCs/>
          <w:lang w:val="en-US"/>
        </w:rPr>
        <w:t>search</w:t>
      </w:r>
      <w:r w:rsidRPr="005126A4">
        <w:rPr>
          <w:lang w:val="en-US"/>
        </w:rPr>
        <w:t>, not a limitation of the universe.</w:t>
      </w:r>
    </w:p>
    <w:p w14:paraId="73D8AAC7" w14:textId="77777777" w:rsidR="001B0967" w:rsidRDefault="005126A4" w:rsidP="001B0967">
      <w:pPr>
        <w:pStyle w:val="ListParagraph"/>
        <w:jc w:val="both"/>
        <w:rPr>
          <w:lang w:val="en-US"/>
        </w:rPr>
      </w:pPr>
      <w:r w:rsidRPr="005126A4">
        <w:rPr>
          <w:lang w:val="en-US"/>
        </w:rPr>
        <w:t xml:space="preserve">This proactive stance transformed medicine from a passive, fatalistic practice into an active, research-based discipline. It suggests a universe that is a "closed system" of cause and effect, where the observer’s role is to discover the link between the </w:t>
      </w:r>
      <w:r w:rsidRPr="005126A4">
        <w:rPr>
          <w:b/>
          <w:bCs/>
          <w:lang w:val="en-US"/>
        </w:rPr>
        <w:t>pathogen and the remedy</w:t>
      </w:r>
      <w:r w:rsidRPr="005126A4">
        <w:rPr>
          <w:lang w:val="en-US"/>
        </w:rPr>
        <w:t xml:space="preserve"> through rigorous investigation and experimentatio</w:t>
      </w:r>
      <w:r>
        <w:rPr>
          <w:lang w:val="en-US"/>
        </w:rPr>
        <w:t>n.</w:t>
      </w:r>
    </w:p>
    <w:p w14:paraId="123DC322" w14:textId="77777777" w:rsidR="001B0967" w:rsidRDefault="001B0967" w:rsidP="001B0967">
      <w:pPr>
        <w:pStyle w:val="ListParagraph"/>
        <w:jc w:val="both"/>
        <w:rPr>
          <w:lang w:val="en-US"/>
        </w:rPr>
      </w:pPr>
    </w:p>
    <w:p w14:paraId="7722A94F" w14:textId="77777777" w:rsidR="001B0967" w:rsidRDefault="005126A4" w:rsidP="001B0967">
      <w:pPr>
        <w:pStyle w:val="ListParagraph"/>
        <w:jc w:val="both"/>
        <w:rPr>
          <w:b/>
          <w:bCs/>
          <w:lang w:val="en-US"/>
        </w:rPr>
      </w:pPr>
      <w:r w:rsidRPr="005126A4">
        <w:rPr>
          <w:b/>
          <w:bCs/>
          <w:lang w:val="en-US"/>
        </w:rPr>
        <w:t>Take-home Idea</w:t>
      </w:r>
    </w:p>
    <w:p w14:paraId="071FA942" w14:textId="7DD88992" w:rsidR="005126A4" w:rsidRPr="001B0967" w:rsidRDefault="005126A4" w:rsidP="001B0967">
      <w:pPr>
        <w:pStyle w:val="ListParagraph"/>
        <w:jc w:val="both"/>
        <w:rPr>
          <w:b/>
          <w:bCs/>
          <w:lang w:val="en-MY"/>
        </w:rPr>
      </w:pPr>
      <w:r w:rsidRPr="005126A4">
        <w:rPr>
          <w:lang w:val="en-US"/>
        </w:rPr>
        <w:t>Progress is fueled by the conviction that the universe is a solvable puzzle; we are never at a dead end, only at a stage of "undiscovered data."</w:t>
      </w:r>
    </w:p>
    <w:p w14:paraId="0BB8F03F" w14:textId="77777777" w:rsidR="006B6FBA" w:rsidRDefault="006B6FBA" w:rsidP="001B0967">
      <w:pPr>
        <w:jc w:val="both"/>
        <w:rPr>
          <w:lang w:val="en-MY"/>
        </w:rPr>
      </w:pPr>
    </w:p>
    <w:p w14:paraId="110CFA87" w14:textId="77777777" w:rsidR="001B0967" w:rsidRDefault="006B6FBA" w:rsidP="001B0967">
      <w:pPr>
        <w:pStyle w:val="ListParagraph"/>
        <w:numPr>
          <w:ilvl w:val="0"/>
          <w:numId w:val="2"/>
        </w:numPr>
        <w:jc w:val="both"/>
        <w:rPr>
          <w:b/>
          <w:bCs/>
          <w:lang w:val="en-US"/>
        </w:rPr>
      </w:pPr>
      <w:r w:rsidRPr="001B0967">
        <w:rPr>
          <w:b/>
          <w:bCs/>
          <w:lang w:val="en-US"/>
        </w:rPr>
        <w:t>The Diagnosis at the Well</w:t>
      </w:r>
    </w:p>
    <w:p w14:paraId="128D622A" w14:textId="77777777" w:rsidR="001B0967" w:rsidRDefault="006B6FBA" w:rsidP="001B0967">
      <w:pPr>
        <w:pStyle w:val="ListParagraph"/>
        <w:jc w:val="both"/>
        <w:rPr>
          <w:b/>
          <w:bCs/>
          <w:lang w:val="en-US"/>
        </w:rPr>
      </w:pPr>
      <w:r w:rsidRPr="001B0967">
        <w:rPr>
          <w:b/>
          <w:bCs/>
          <w:lang w:val="en-US"/>
        </w:rPr>
        <w:t>The Story</w:t>
      </w:r>
    </w:p>
    <w:p w14:paraId="2E34983D" w14:textId="77777777" w:rsidR="001B0967" w:rsidRDefault="006B6FBA" w:rsidP="001B0967">
      <w:pPr>
        <w:pStyle w:val="ListParagraph"/>
        <w:jc w:val="both"/>
        <w:rPr>
          <w:lang w:val="en-US"/>
        </w:rPr>
      </w:pPr>
      <w:r w:rsidRPr="001B0967">
        <w:rPr>
          <w:lang w:val="en-US"/>
        </w:rPr>
        <w:t>Before the Battle of Badr, the Prophet positioned the army at a specific location. One of his companions, Al-Hubab ibn Mundhir, asked: "Is this a position revealed by Allah, or is it a matter of opinion and military strategy?" When the Prophet confirmed it was strategy, Hubab suggested moving to the well closest to the enemy to control the water supply. The Prophet immediately abandoned his initial plan and moved the army.</w:t>
      </w:r>
    </w:p>
    <w:p w14:paraId="380DDD83" w14:textId="77777777" w:rsidR="001B0967" w:rsidRDefault="001B0967" w:rsidP="001B0967">
      <w:pPr>
        <w:pStyle w:val="ListParagraph"/>
        <w:jc w:val="both"/>
        <w:rPr>
          <w:lang w:val="en-US"/>
        </w:rPr>
      </w:pPr>
    </w:p>
    <w:p w14:paraId="673DC3E7" w14:textId="77777777" w:rsidR="001B0967" w:rsidRDefault="006B6FBA" w:rsidP="001B0967">
      <w:pPr>
        <w:pStyle w:val="ListParagraph"/>
        <w:jc w:val="both"/>
        <w:rPr>
          <w:lang w:val="en-US"/>
        </w:rPr>
      </w:pPr>
      <w:r w:rsidRPr="006B6FBA">
        <w:rPr>
          <w:b/>
          <w:bCs/>
          <w:lang w:val="en-US"/>
        </w:rPr>
        <w:t>Maps to Scientific Thinking: Peer Review and Falsifiability.</w:t>
      </w:r>
      <w:r w:rsidRPr="006B6FBA">
        <w:rPr>
          <w:lang w:val="en-US"/>
        </w:rPr>
        <w:t xml:space="preserve"> </w:t>
      </w:r>
    </w:p>
    <w:p w14:paraId="38E4FDB8" w14:textId="77777777" w:rsidR="001B0967" w:rsidRDefault="006B6FBA" w:rsidP="001B0967">
      <w:pPr>
        <w:pStyle w:val="ListParagraph"/>
        <w:jc w:val="both"/>
        <w:rPr>
          <w:lang w:val="en-US"/>
        </w:rPr>
      </w:pPr>
      <w:r w:rsidRPr="006B6FBA">
        <w:rPr>
          <w:lang w:val="en-US"/>
        </w:rPr>
        <w:t>Karl Popper’s concept of falsifiability suggests that for a theory to be scientific, it must be able to be proven wrong. By distinguishing between "revelation" (fixed) and "strategy" (testable), the Prophet invited peer review. He demonstrated that no hypothesis is too sacred to be discarded if a better, more evidence-based observation is presented.</w:t>
      </w:r>
    </w:p>
    <w:p w14:paraId="05268D39" w14:textId="77777777" w:rsidR="001B0967" w:rsidRDefault="001B0967" w:rsidP="001B0967">
      <w:pPr>
        <w:pStyle w:val="ListParagraph"/>
        <w:jc w:val="both"/>
        <w:rPr>
          <w:lang w:val="en-US"/>
        </w:rPr>
      </w:pPr>
    </w:p>
    <w:p w14:paraId="41AE3D41" w14:textId="77777777" w:rsidR="001B0967" w:rsidRDefault="006B6FBA" w:rsidP="001B0967">
      <w:pPr>
        <w:pStyle w:val="ListParagraph"/>
        <w:jc w:val="both"/>
        <w:rPr>
          <w:b/>
          <w:bCs/>
          <w:lang w:val="en-US"/>
        </w:rPr>
      </w:pPr>
      <w:r w:rsidRPr="006B6FBA">
        <w:rPr>
          <w:b/>
          <w:bCs/>
          <w:lang w:val="en-US"/>
        </w:rPr>
        <w:t>Take-home Idea</w:t>
      </w:r>
    </w:p>
    <w:p w14:paraId="68D14B00" w14:textId="33046460" w:rsidR="006B6FBA" w:rsidRDefault="006B6FBA" w:rsidP="001B0967">
      <w:pPr>
        <w:pStyle w:val="ListParagraph"/>
        <w:jc w:val="both"/>
        <w:rPr>
          <w:lang w:val="en-US"/>
        </w:rPr>
      </w:pPr>
      <w:r w:rsidRPr="006B6FBA">
        <w:rPr>
          <w:lang w:val="en-US"/>
        </w:rPr>
        <w:t>Expert authority should never silence better data.</w:t>
      </w:r>
    </w:p>
    <w:p w14:paraId="685B0138" w14:textId="77777777" w:rsidR="001B0967" w:rsidRPr="001B0967" w:rsidRDefault="001B0967" w:rsidP="001B0967">
      <w:pPr>
        <w:pStyle w:val="ListParagraph"/>
        <w:jc w:val="both"/>
        <w:rPr>
          <w:b/>
          <w:bCs/>
          <w:lang w:val="en-US"/>
        </w:rPr>
      </w:pPr>
    </w:p>
    <w:p w14:paraId="22A842CC" w14:textId="77777777" w:rsidR="008A5E4E" w:rsidRPr="008A5E4E" w:rsidRDefault="008A5E4E" w:rsidP="001B0967">
      <w:pPr>
        <w:jc w:val="both"/>
        <w:rPr>
          <w:b/>
          <w:bCs/>
          <w:lang w:val="en-MY"/>
        </w:rPr>
      </w:pPr>
      <w:r w:rsidRPr="008A5E4E">
        <w:rPr>
          <w:b/>
          <w:bCs/>
          <w:lang w:val="en-MY"/>
        </w:rPr>
        <w:t>Conclusion: Faith as a Catalyst for Inquiry</w:t>
      </w:r>
    </w:p>
    <w:p w14:paraId="2C17534B" w14:textId="77777777" w:rsidR="008A5E4E" w:rsidRPr="008A5E4E" w:rsidRDefault="008A5E4E" w:rsidP="001B0967">
      <w:pPr>
        <w:jc w:val="both"/>
        <w:rPr>
          <w:lang w:val="en-MY"/>
        </w:rPr>
      </w:pPr>
      <w:r w:rsidRPr="008A5E4E">
        <w:rPr>
          <w:lang w:val="en-MY"/>
        </w:rPr>
        <w:t>The Prophetic model demonstrates that faith and scientific thinking are not mutually exclusive; rather, faith can serve as the moral and philosophical catalyst for rigorous inquiry. The Prophet (SAW) taught his followers to observe the world with "Basirah" (insight), to value evidence over superstition, and to acknowledge the limits of human knowledge in the face of empirical data. By mapping his actions to scientific frameworks, we see a leader who championed a rational, evidence-based approach to the physical world—a legacy that continues to drive the pursuit of knowledge today.</w:t>
      </w:r>
    </w:p>
    <w:p w14:paraId="15E32D27" w14:textId="22961BA0" w:rsidR="008A5E4E" w:rsidRPr="008A5E4E" w:rsidRDefault="008A5E4E" w:rsidP="001B0967">
      <w:pPr>
        <w:jc w:val="both"/>
        <w:rPr>
          <w:lang w:val="en-MY"/>
        </w:rPr>
      </w:pPr>
    </w:p>
    <w:p w14:paraId="474800E4" w14:textId="77777777" w:rsidR="008A5E4E" w:rsidRPr="008A5E4E" w:rsidRDefault="008A5E4E" w:rsidP="001B0967">
      <w:pPr>
        <w:jc w:val="both"/>
        <w:rPr>
          <w:b/>
          <w:bCs/>
          <w:lang w:val="en-MY"/>
        </w:rPr>
      </w:pPr>
      <w:r w:rsidRPr="008A5E4E">
        <w:rPr>
          <w:b/>
          <w:bCs/>
          <w:lang w:val="en-MY"/>
        </w:rPr>
        <w:lastRenderedPageBreak/>
        <w:t>References (APA 7th Edition)</w:t>
      </w:r>
    </w:p>
    <w:p w14:paraId="30570EDC" w14:textId="77777777" w:rsidR="008A5E4E" w:rsidRPr="008A5E4E" w:rsidRDefault="008A5E4E" w:rsidP="001B0967">
      <w:pPr>
        <w:numPr>
          <w:ilvl w:val="0"/>
          <w:numId w:val="1"/>
        </w:numPr>
        <w:jc w:val="both"/>
        <w:rPr>
          <w:lang w:val="en-MY"/>
        </w:rPr>
      </w:pPr>
      <w:r w:rsidRPr="008A5E4E">
        <w:rPr>
          <w:lang w:val="en-MY"/>
        </w:rPr>
        <w:t xml:space="preserve">Al-Bukhari, M. I. (1997). </w:t>
      </w:r>
      <w:r w:rsidRPr="008A5E4E">
        <w:rPr>
          <w:i/>
          <w:iCs/>
          <w:lang w:val="en-MY"/>
        </w:rPr>
        <w:t>The Translation of the Meanings of Sahih Al-Bukhari</w:t>
      </w:r>
      <w:r w:rsidRPr="008A5E4E">
        <w:rPr>
          <w:lang w:val="en-MY"/>
        </w:rPr>
        <w:t xml:space="preserve"> (M. M. Khan, Trans.; Vol. 2 &amp; 7). Darussalam Publishers.</w:t>
      </w:r>
    </w:p>
    <w:p w14:paraId="16E1D435" w14:textId="77777777" w:rsidR="008A5E4E" w:rsidRPr="008A5E4E" w:rsidRDefault="008A5E4E" w:rsidP="001B0967">
      <w:pPr>
        <w:numPr>
          <w:ilvl w:val="0"/>
          <w:numId w:val="1"/>
        </w:numPr>
        <w:jc w:val="both"/>
        <w:rPr>
          <w:lang w:val="en-MY"/>
        </w:rPr>
      </w:pPr>
      <w:r w:rsidRPr="008A5E4E">
        <w:rPr>
          <w:lang w:val="en-MY"/>
        </w:rPr>
        <w:t xml:space="preserve">Al-Ghazali, M. (2001). </w:t>
      </w:r>
      <w:r w:rsidRPr="008A5E4E">
        <w:rPr>
          <w:i/>
          <w:iCs/>
          <w:lang w:val="en-MY"/>
        </w:rPr>
        <w:t>The Prophet’s Manner of Acting</w:t>
      </w:r>
      <w:r w:rsidRPr="008A5E4E">
        <w:rPr>
          <w:lang w:val="en-MY"/>
        </w:rPr>
        <w:t xml:space="preserve"> (A. Haleem, Trans.). American Trust Publications.</w:t>
      </w:r>
    </w:p>
    <w:p w14:paraId="7096B743" w14:textId="77777777" w:rsidR="008A5E4E" w:rsidRPr="008A5E4E" w:rsidRDefault="008A5E4E" w:rsidP="001B0967">
      <w:pPr>
        <w:numPr>
          <w:ilvl w:val="0"/>
          <w:numId w:val="1"/>
        </w:numPr>
        <w:jc w:val="both"/>
        <w:rPr>
          <w:lang w:val="en-MY"/>
        </w:rPr>
      </w:pPr>
      <w:r w:rsidRPr="008A5E4E">
        <w:rPr>
          <w:lang w:val="en-MY"/>
        </w:rPr>
        <w:t xml:space="preserve">Iqbal, M. (2013). </w:t>
      </w:r>
      <w:r w:rsidRPr="008A5E4E">
        <w:rPr>
          <w:i/>
          <w:iCs/>
          <w:lang w:val="en-MY"/>
        </w:rPr>
        <w:t>The Reconstruction of Religious Thought in Islam</w:t>
      </w:r>
      <w:r w:rsidRPr="008A5E4E">
        <w:rPr>
          <w:lang w:val="en-MY"/>
        </w:rPr>
        <w:t>. Stanford University Press. (Original work published 1930).</w:t>
      </w:r>
    </w:p>
    <w:p w14:paraId="61018684" w14:textId="77777777" w:rsidR="008A5E4E" w:rsidRPr="008A5E4E" w:rsidRDefault="008A5E4E" w:rsidP="001B0967">
      <w:pPr>
        <w:numPr>
          <w:ilvl w:val="0"/>
          <w:numId w:val="1"/>
        </w:numPr>
        <w:jc w:val="both"/>
        <w:rPr>
          <w:lang w:val="en-MY"/>
        </w:rPr>
      </w:pPr>
      <w:r w:rsidRPr="008A5E4E">
        <w:rPr>
          <w:lang w:val="en-MY"/>
        </w:rPr>
        <w:t xml:space="preserve">Muslim ibn al-Hajjaj, N. (2007). </w:t>
      </w:r>
      <w:r w:rsidRPr="008A5E4E">
        <w:rPr>
          <w:i/>
          <w:iCs/>
          <w:lang w:val="en-MY"/>
        </w:rPr>
        <w:t>English Translation of Sahih Muslim</w:t>
      </w:r>
      <w:r w:rsidRPr="008A5E4E">
        <w:rPr>
          <w:lang w:val="en-MY"/>
        </w:rPr>
        <w:t xml:space="preserve"> (N. al-Khattab, Trans.; Vol. 7). Darussalam Publishers.</w:t>
      </w:r>
    </w:p>
    <w:p w14:paraId="1292557D" w14:textId="77777777" w:rsidR="008A5E4E" w:rsidRPr="008A5E4E" w:rsidRDefault="008A5E4E" w:rsidP="001B0967">
      <w:pPr>
        <w:numPr>
          <w:ilvl w:val="0"/>
          <w:numId w:val="1"/>
        </w:numPr>
        <w:jc w:val="both"/>
        <w:rPr>
          <w:lang w:val="en-MY"/>
        </w:rPr>
      </w:pPr>
      <w:r w:rsidRPr="008A5E4E">
        <w:rPr>
          <w:lang w:val="en-MY"/>
        </w:rPr>
        <w:t xml:space="preserve">Nasr, S. H. (1993). </w:t>
      </w:r>
      <w:r w:rsidRPr="008A5E4E">
        <w:rPr>
          <w:i/>
          <w:iCs/>
          <w:lang w:val="en-MY"/>
        </w:rPr>
        <w:t>An Introduction to Islamic Cosmological Doctrines</w:t>
      </w:r>
      <w:r w:rsidRPr="008A5E4E">
        <w:rPr>
          <w:lang w:val="en-MY"/>
        </w:rPr>
        <w:t>. State University of New York Press.</w:t>
      </w:r>
    </w:p>
    <w:p w14:paraId="12E66698" w14:textId="77777777" w:rsidR="008A5E4E" w:rsidRPr="008A5E4E" w:rsidRDefault="008A5E4E" w:rsidP="001B0967">
      <w:pPr>
        <w:numPr>
          <w:ilvl w:val="0"/>
          <w:numId w:val="1"/>
        </w:numPr>
        <w:jc w:val="both"/>
        <w:rPr>
          <w:lang w:val="en-MY"/>
        </w:rPr>
      </w:pPr>
      <w:r w:rsidRPr="008A5E4E">
        <w:rPr>
          <w:lang w:val="en-MY"/>
        </w:rPr>
        <w:t xml:space="preserve">Stenberg, L. (1996). </w:t>
      </w:r>
      <w:r w:rsidRPr="008A5E4E">
        <w:rPr>
          <w:i/>
          <w:iCs/>
          <w:lang w:val="en-MY"/>
        </w:rPr>
        <w:t>The Islamization of Science: Four Muslim Positions Developing an Islamic Modernity</w:t>
      </w:r>
      <w:r w:rsidRPr="008A5E4E">
        <w:rPr>
          <w:lang w:val="en-MY"/>
        </w:rPr>
        <w:t>. Lund Studies in History of Religions.</w:t>
      </w:r>
    </w:p>
    <w:p w14:paraId="3D13ECB5" w14:textId="77777777" w:rsidR="00B444CD" w:rsidRDefault="00B444CD" w:rsidP="001B0967">
      <w:pPr>
        <w:jc w:val="both"/>
      </w:pPr>
    </w:p>
    <w:sectPr w:rsidR="00B444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00"/>
    <w:family w:val="roman"/>
    <w:pitch w:val="variable"/>
    <w:sig w:usb0="E0000AFF" w:usb1="500078FF" w:usb2="00000021" w:usb3="00000000" w:csb0="000001B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EF9"/>
    <w:multiLevelType w:val="hybridMultilevel"/>
    <w:tmpl w:val="7BBEB6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5E5C6F"/>
    <w:multiLevelType w:val="multilevel"/>
    <w:tmpl w:val="8BCE0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2564885">
    <w:abstractNumId w:val="1"/>
  </w:num>
  <w:num w:numId="2" w16cid:durableId="1413308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5E4E"/>
    <w:rsid w:val="0010048C"/>
    <w:rsid w:val="001B0967"/>
    <w:rsid w:val="001C3ED8"/>
    <w:rsid w:val="0036427D"/>
    <w:rsid w:val="004A6271"/>
    <w:rsid w:val="005126A4"/>
    <w:rsid w:val="005764AF"/>
    <w:rsid w:val="006B6FBA"/>
    <w:rsid w:val="008A5E4E"/>
    <w:rsid w:val="009A5363"/>
    <w:rsid w:val="00B444CD"/>
    <w:rsid w:val="00E135B4"/>
    <w:rsid w:val="00EA6893"/>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5044A"/>
  <w15:chartTrackingRefBased/>
  <w15:docId w15:val="{30F9D675-03FB-4C2D-A38A-0356F5082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Theme="minorHAnsi" w:hAnsi="Liberation Serif"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8A5E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5E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5E4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5E4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A5E4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A5E4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A5E4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A5E4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A5E4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5E4E"/>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8A5E4E"/>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8A5E4E"/>
    <w:rPr>
      <w:rFonts w:asciiTheme="minorHAnsi" w:eastAsiaTheme="majorEastAsia" w:hAnsiTheme="minorHAnsi"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8A5E4E"/>
    <w:rPr>
      <w:rFonts w:asciiTheme="minorHAnsi" w:eastAsiaTheme="majorEastAsia" w:hAnsiTheme="minorHAnsi"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8A5E4E"/>
    <w:rPr>
      <w:rFonts w:asciiTheme="minorHAnsi" w:eastAsiaTheme="majorEastAsia" w:hAnsiTheme="minorHAnsi" w:cstheme="majorBidi"/>
      <w:color w:val="0F4761" w:themeColor="accent1" w:themeShade="BF"/>
      <w:lang w:val="en-GB"/>
    </w:rPr>
  </w:style>
  <w:style w:type="character" w:customStyle="1" w:styleId="Heading6Char">
    <w:name w:val="Heading 6 Char"/>
    <w:basedOn w:val="DefaultParagraphFont"/>
    <w:link w:val="Heading6"/>
    <w:uiPriority w:val="9"/>
    <w:semiHidden/>
    <w:rsid w:val="008A5E4E"/>
    <w:rPr>
      <w:rFonts w:asciiTheme="minorHAnsi" w:eastAsiaTheme="majorEastAsia" w:hAnsiTheme="minorHAnsi" w:cstheme="majorBidi"/>
      <w:i/>
      <w:iCs/>
      <w:color w:val="595959" w:themeColor="text1" w:themeTint="A6"/>
      <w:lang w:val="en-GB"/>
    </w:rPr>
  </w:style>
  <w:style w:type="character" w:customStyle="1" w:styleId="Heading7Char">
    <w:name w:val="Heading 7 Char"/>
    <w:basedOn w:val="DefaultParagraphFont"/>
    <w:link w:val="Heading7"/>
    <w:uiPriority w:val="9"/>
    <w:semiHidden/>
    <w:rsid w:val="008A5E4E"/>
    <w:rPr>
      <w:rFonts w:asciiTheme="minorHAnsi" w:eastAsiaTheme="majorEastAsia" w:hAnsiTheme="minorHAnsi" w:cstheme="majorBidi"/>
      <w:color w:val="595959" w:themeColor="text1" w:themeTint="A6"/>
      <w:lang w:val="en-GB"/>
    </w:rPr>
  </w:style>
  <w:style w:type="character" w:customStyle="1" w:styleId="Heading8Char">
    <w:name w:val="Heading 8 Char"/>
    <w:basedOn w:val="DefaultParagraphFont"/>
    <w:link w:val="Heading8"/>
    <w:uiPriority w:val="9"/>
    <w:semiHidden/>
    <w:rsid w:val="008A5E4E"/>
    <w:rPr>
      <w:rFonts w:asciiTheme="minorHAnsi" w:eastAsiaTheme="majorEastAsia" w:hAnsiTheme="minorHAnsi" w:cstheme="majorBidi"/>
      <w:i/>
      <w:iCs/>
      <w:color w:val="272727" w:themeColor="text1" w:themeTint="D8"/>
      <w:lang w:val="en-GB"/>
    </w:rPr>
  </w:style>
  <w:style w:type="character" w:customStyle="1" w:styleId="Heading9Char">
    <w:name w:val="Heading 9 Char"/>
    <w:basedOn w:val="DefaultParagraphFont"/>
    <w:link w:val="Heading9"/>
    <w:uiPriority w:val="9"/>
    <w:semiHidden/>
    <w:rsid w:val="008A5E4E"/>
    <w:rPr>
      <w:rFonts w:asciiTheme="minorHAnsi" w:eastAsiaTheme="majorEastAsia" w:hAnsiTheme="minorHAnsi" w:cstheme="majorBidi"/>
      <w:color w:val="272727" w:themeColor="text1" w:themeTint="D8"/>
      <w:lang w:val="en-GB"/>
    </w:rPr>
  </w:style>
  <w:style w:type="paragraph" w:styleId="Title">
    <w:name w:val="Title"/>
    <w:basedOn w:val="Normal"/>
    <w:next w:val="Normal"/>
    <w:link w:val="TitleChar"/>
    <w:uiPriority w:val="10"/>
    <w:qFormat/>
    <w:rsid w:val="008A5E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5E4E"/>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8A5E4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5E4E"/>
    <w:rPr>
      <w:rFonts w:asciiTheme="minorHAnsi" w:eastAsiaTheme="majorEastAsia" w:hAnsiTheme="minorHAnsi"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8A5E4E"/>
    <w:pPr>
      <w:spacing w:before="160"/>
      <w:jc w:val="center"/>
    </w:pPr>
    <w:rPr>
      <w:i/>
      <w:iCs/>
      <w:color w:val="404040" w:themeColor="text1" w:themeTint="BF"/>
    </w:rPr>
  </w:style>
  <w:style w:type="character" w:customStyle="1" w:styleId="QuoteChar">
    <w:name w:val="Quote Char"/>
    <w:basedOn w:val="DefaultParagraphFont"/>
    <w:link w:val="Quote"/>
    <w:uiPriority w:val="29"/>
    <w:rsid w:val="008A5E4E"/>
    <w:rPr>
      <w:i/>
      <w:iCs/>
      <w:color w:val="404040" w:themeColor="text1" w:themeTint="BF"/>
      <w:lang w:val="en-GB"/>
    </w:rPr>
  </w:style>
  <w:style w:type="paragraph" w:styleId="ListParagraph">
    <w:name w:val="List Paragraph"/>
    <w:basedOn w:val="Normal"/>
    <w:uiPriority w:val="34"/>
    <w:qFormat/>
    <w:rsid w:val="008A5E4E"/>
    <w:pPr>
      <w:ind w:left="720"/>
      <w:contextualSpacing/>
    </w:pPr>
  </w:style>
  <w:style w:type="character" w:styleId="IntenseEmphasis">
    <w:name w:val="Intense Emphasis"/>
    <w:basedOn w:val="DefaultParagraphFont"/>
    <w:uiPriority w:val="21"/>
    <w:qFormat/>
    <w:rsid w:val="008A5E4E"/>
    <w:rPr>
      <w:i/>
      <w:iCs/>
      <w:color w:val="0F4761" w:themeColor="accent1" w:themeShade="BF"/>
    </w:rPr>
  </w:style>
  <w:style w:type="paragraph" w:styleId="IntenseQuote">
    <w:name w:val="Intense Quote"/>
    <w:basedOn w:val="Normal"/>
    <w:next w:val="Normal"/>
    <w:link w:val="IntenseQuoteChar"/>
    <w:uiPriority w:val="30"/>
    <w:qFormat/>
    <w:rsid w:val="008A5E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5E4E"/>
    <w:rPr>
      <w:i/>
      <w:iCs/>
      <w:color w:val="0F4761" w:themeColor="accent1" w:themeShade="BF"/>
      <w:lang w:val="en-GB"/>
    </w:rPr>
  </w:style>
  <w:style w:type="character" w:styleId="IntenseReference">
    <w:name w:val="Intense Reference"/>
    <w:basedOn w:val="DefaultParagraphFont"/>
    <w:uiPriority w:val="32"/>
    <w:qFormat/>
    <w:rsid w:val="008A5E4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3</Pages>
  <Words>1036</Words>
  <Characters>5911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Shafiq Bin Rasulan</dc:creator>
  <cp:keywords/>
  <dc:description/>
  <cp:lastModifiedBy>SHAFIQ R</cp:lastModifiedBy>
  <cp:revision>2</cp:revision>
  <dcterms:created xsi:type="dcterms:W3CDTF">2026-02-28T07:39:00Z</dcterms:created>
  <dcterms:modified xsi:type="dcterms:W3CDTF">2026-03-05T15:45:00Z</dcterms:modified>
</cp:coreProperties>
</file>