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18DC" w14:textId="77777777" w:rsidR="008A5E4E" w:rsidRPr="008A5E4E" w:rsidRDefault="008A5E4E" w:rsidP="008A5E4E">
      <w:pPr>
        <w:jc w:val="both"/>
        <w:rPr>
          <w:b/>
          <w:bCs/>
          <w:lang w:val="en-MY"/>
        </w:rPr>
      </w:pPr>
      <w:r w:rsidRPr="008A5E4E">
        <w:rPr>
          <w:b/>
          <w:bCs/>
          <w:lang w:val="en-MY"/>
        </w:rPr>
        <w:t>Beyond Faith Alone: The Prophet Muhammad (SAW) as a Model of Scientific Thinking</w:t>
      </w:r>
    </w:p>
    <w:p w14:paraId="3EA07FCC" w14:textId="77777777" w:rsidR="008A5E4E" w:rsidRPr="008A5E4E" w:rsidRDefault="008A5E4E" w:rsidP="008A5E4E">
      <w:pPr>
        <w:jc w:val="both"/>
        <w:rPr>
          <w:lang w:val="en-MY"/>
        </w:rPr>
      </w:pPr>
      <w:r w:rsidRPr="008A5E4E">
        <w:rPr>
          <w:lang w:val="en-MY"/>
        </w:rPr>
        <w:t xml:space="preserve">The historical narrative surrounding the Prophet Muhammad (SAW) often emphasizes his role as a spiritual guide and legislator. However, a closer examination of his methodology reveals a profound alignment with what modern scholars define as </w:t>
      </w:r>
      <w:r w:rsidRPr="008A5E4E">
        <w:rPr>
          <w:b/>
          <w:bCs/>
          <w:lang w:val="en-MY"/>
        </w:rPr>
        <w:t>scientific thinking</w:t>
      </w:r>
      <w:r w:rsidRPr="008A5E4E">
        <w:rPr>
          <w:lang w:val="en-MY"/>
        </w:rPr>
        <w:t xml:space="preserve">. Far from demanding blind adherence to mystical explanations, the Prophet (SAW) consistently </w:t>
      </w:r>
      <w:proofErr w:type="spellStart"/>
      <w:r w:rsidRPr="008A5E4E">
        <w:rPr>
          <w:lang w:val="en-MY"/>
        </w:rPr>
        <w:t>modeled</w:t>
      </w:r>
      <w:proofErr w:type="spellEnd"/>
      <w:r w:rsidRPr="008A5E4E">
        <w:rPr>
          <w:lang w:val="en-MY"/>
        </w:rPr>
        <w:t xml:space="preserve"> a framework of intellectual inquiry, distinguishing between divine revelation and the empirical world. By </w:t>
      </w:r>
      <w:proofErr w:type="spellStart"/>
      <w:r w:rsidRPr="008A5E4E">
        <w:rPr>
          <w:lang w:val="en-MY"/>
        </w:rPr>
        <w:t>analyzing</w:t>
      </w:r>
      <w:proofErr w:type="spellEnd"/>
      <w:r w:rsidRPr="008A5E4E">
        <w:rPr>
          <w:lang w:val="en-MY"/>
        </w:rPr>
        <w:t xml:space="preserve"> specific instances from his life through the lens of modern scientific frameworks—specifically empiricism, falsifiability, and inductive reasoning—we can see that he laid the philosophical foundations for the Islamic Golden Age and the eventual birth of the scientific method.</w:t>
      </w:r>
    </w:p>
    <w:p w14:paraId="2E5380B7" w14:textId="77777777" w:rsidR="008A5E4E" w:rsidRPr="008A5E4E" w:rsidRDefault="008A5E4E" w:rsidP="008A5E4E">
      <w:pPr>
        <w:jc w:val="both"/>
        <w:rPr>
          <w:b/>
          <w:bCs/>
          <w:lang w:val="en-MY"/>
        </w:rPr>
      </w:pPr>
      <w:r w:rsidRPr="008A5E4E">
        <w:rPr>
          <w:b/>
          <w:bCs/>
          <w:lang w:val="en-MY"/>
        </w:rPr>
        <w:t>Empiricism and the Rejection of Superstition</w:t>
      </w:r>
    </w:p>
    <w:p w14:paraId="547DAA85" w14:textId="77777777" w:rsidR="008A5E4E" w:rsidRPr="008A5E4E" w:rsidRDefault="008A5E4E" w:rsidP="008A5E4E">
      <w:pPr>
        <w:jc w:val="both"/>
        <w:rPr>
          <w:lang w:val="en-MY"/>
        </w:rPr>
      </w:pPr>
      <w:r w:rsidRPr="008A5E4E">
        <w:rPr>
          <w:lang w:val="en-MY"/>
        </w:rPr>
        <w:t xml:space="preserve">A core tenet of scientific thinking is the distinction between </w:t>
      </w:r>
      <w:r w:rsidRPr="008A5E4E">
        <w:rPr>
          <w:b/>
          <w:bCs/>
          <w:lang w:val="en-MY"/>
        </w:rPr>
        <w:t>correlation and causation</w:t>
      </w:r>
      <w:r w:rsidRPr="008A5E4E">
        <w:rPr>
          <w:lang w:val="en-MY"/>
        </w:rPr>
        <w:t>. In the pre-Islamic era, natural phenomena were often explained through myths and superstitions. The Prophet (SAW) famously disrupted this line of thought during the solar eclipse that occurred upon the death of his infant son, Ibrahim. While the community assumed the eclipse was a celestial mourning for his loss, he corrected them, stating: "The sun and the moon are two of the signs of Allah; they do not eclipse because of the death or life of someone" (Al-Bukhari, trans. 1997, Vol. 2, Book 18, Hadith 150).</w:t>
      </w:r>
    </w:p>
    <w:p w14:paraId="74039970" w14:textId="77777777" w:rsidR="008A5E4E" w:rsidRPr="008A5E4E" w:rsidRDefault="008A5E4E" w:rsidP="008A5E4E">
      <w:pPr>
        <w:jc w:val="both"/>
        <w:rPr>
          <w:lang w:val="en-MY"/>
        </w:rPr>
      </w:pPr>
      <w:r w:rsidRPr="008A5E4E">
        <w:rPr>
          <w:lang w:val="en-MY"/>
        </w:rPr>
        <w:t>+1</w:t>
      </w:r>
    </w:p>
    <w:p w14:paraId="492257D2" w14:textId="77777777" w:rsidR="008A5E4E" w:rsidRPr="008A5E4E" w:rsidRDefault="008A5E4E" w:rsidP="008A5E4E">
      <w:pPr>
        <w:jc w:val="both"/>
        <w:rPr>
          <w:lang w:val="en-MY"/>
        </w:rPr>
      </w:pPr>
      <w:r w:rsidRPr="008A5E4E">
        <w:rPr>
          <w:lang w:val="en-MY"/>
        </w:rPr>
        <w:t xml:space="preserve">From a scientific framework, this is a masterclass in </w:t>
      </w:r>
      <w:r w:rsidRPr="008A5E4E">
        <w:rPr>
          <w:b/>
          <w:bCs/>
          <w:lang w:val="en-MY"/>
        </w:rPr>
        <w:t>empirical causality</w:t>
      </w:r>
      <w:r w:rsidRPr="008A5E4E">
        <w:rPr>
          <w:lang w:val="en-MY"/>
        </w:rPr>
        <w:t xml:space="preserve">. The Prophet (SAW) decoupled a personal, emotional event from a natural, physical phenomenon. By asserting that the sun and moon operate under their own fixed laws (signs), he encouraged a worldview where the physical universe is governed by objective laws rather than subjective omens. This shift moved the mindset of his followers from "mythical thinking" to "causal thinking," a prerequisite for any scientific </w:t>
      </w:r>
      <w:proofErr w:type="spellStart"/>
      <w:r w:rsidRPr="008A5E4E">
        <w:rPr>
          <w:lang w:val="en-MY"/>
        </w:rPr>
        <w:t>endeavor</w:t>
      </w:r>
      <w:proofErr w:type="spellEnd"/>
      <w:r w:rsidRPr="008A5E4E">
        <w:rPr>
          <w:lang w:val="en-MY"/>
        </w:rPr>
        <w:t>.</w:t>
      </w:r>
    </w:p>
    <w:p w14:paraId="458FF020" w14:textId="77777777" w:rsidR="008A5E4E" w:rsidRPr="008A5E4E" w:rsidRDefault="008A5E4E" w:rsidP="008A5E4E">
      <w:pPr>
        <w:jc w:val="both"/>
        <w:rPr>
          <w:b/>
          <w:bCs/>
          <w:lang w:val="en-MY"/>
        </w:rPr>
      </w:pPr>
      <w:r w:rsidRPr="008A5E4E">
        <w:rPr>
          <w:b/>
          <w:bCs/>
          <w:lang w:val="en-MY"/>
        </w:rPr>
        <w:t>The Date-Palm Incident: Trial, Error, and Falsifiability</w:t>
      </w:r>
    </w:p>
    <w:p w14:paraId="3DFBD77D" w14:textId="77777777" w:rsidR="008A5E4E" w:rsidRPr="008A5E4E" w:rsidRDefault="008A5E4E" w:rsidP="008A5E4E">
      <w:pPr>
        <w:jc w:val="both"/>
        <w:rPr>
          <w:lang w:val="en-MY"/>
        </w:rPr>
      </w:pPr>
      <w:r w:rsidRPr="008A5E4E">
        <w:rPr>
          <w:lang w:val="en-MY"/>
        </w:rPr>
        <w:t xml:space="preserve">In modern science, a theory must be </w:t>
      </w:r>
      <w:r w:rsidRPr="008A5E4E">
        <w:rPr>
          <w:b/>
          <w:bCs/>
          <w:lang w:val="en-MY"/>
        </w:rPr>
        <w:t>falsifiable</w:t>
      </w:r>
      <w:r w:rsidRPr="008A5E4E">
        <w:rPr>
          <w:lang w:val="en-MY"/>
        </w:rPr>
        <w:t xml:space="preserve"> and subject to the results of experimentation. This principle is vividly illustrated in the "Date-Palm Incident." Upon arriving in Medina, the Prophet (SAW) suggested that farmers stop the practice of cross-pollinating their date trees. When the yield decreased the following season, he did not double down on a supernatural explanation. Instead, he admitted the error in the worldly context, saying, "I am only a human being... but when I tell you anything of my own opinion, then I am a human being" and concluded, "You are more knowledgeable of your worldly affairs" (Muslim, trans. 2007, Book 30, Hadith 5831).</w:t>
      </w:r>
    </w:p>
    <w:p w14:paraId="0186A46A" w14:textId="77777777" w:rsidR="008A5E4E" w:rsidRPr="008A5E4E" w:rsidRDefault="008A5E4E" w:rsidP="008A5E4E">
      <w:pPr>
        <w:jc w:val="both"/>
        <w:rPr>
          <w:lang w:val="en-MY"/>
        </w:rPr>
      </w:pPr>
      <w:r w:rsidRPr="008A5E4E">
        <w:rPr>
          <w:lang w:val="en-MY"/>
        </w:rPr>
        <w:t xml:space="preserve">This event established a revolutionary boundary in scientific thinking: the separation of </w:t>
      </w:r>
      <w:r w:rsidRPr="008A5E4E">
        <w:rPr>
          <w:b/>
          <w:bCs/>
          <w:lang w:val="en-MY"/>
        </w:rPr>
        <w:t>revealed knowledge</w:t>
      </w:r>
      <w:r w:rsidRPr="008A5E4E">
        <w:rPr>
          <w:lang w:val="en-MY"/>
        </w:rPr>
        <w:t xml:space="preserve"> from </w:t>
      </w:r>
      <w:r w:rsidRPr="008A5E4E">
        <w:rPr>
          <w:b/>
          <w:bCs/>
          <w:lang w:val="en-MY"/>
        </w:rPr>
        <w:t>experimental knowledge</w:t>
      </w:r>
      <w:r w:rsidRPr="008A5E4E">
        <w:rPr>
          <w:lang w:val="en-MY"/>
        </w:rPr>
        <w:t xml:space="preserve">. By acknowledging that his human opinion on agriculture was subject to "trial and error," he validated the experimental method. He </w:t>
      </w:r>
      <w:proofErr w:type="spellStart"/>
      <w:r w:rsidRPr="008A5E4E">
        <w:rPr>
          <w:lang w:val="en-MY"/>
        </w:rPr>
        <w:t>modeled</w:t>
      </w:r>
      <w:proofErr w:type="spellEnd"/>
      <w:r w:rsidRPr="008A5E4E">
        <w:rPr>
          <w:lang w:val="en-MY"/>
        </w:rPr>
        <w:t xml:space="preserve"> the scientific virtue of intellectual humility—the willingness to change one’s position based on data. This gave early Muslims the "intellectual permit" to investigate, fail, and iterate in the fields of chemistry, physics, and medicine.</w:t>
      </w:r>
    </w:p>
    <w:p w14:paraId="255E2D5B" w14:textId="77777777" w:rsidR="008A5E4E" w:rsidRPr="008A5E4E" w:rsidRDefault="008A5E4E" w:rsidP="008A5E4E">
      <w:pPr>
        <w:jc w:val="both"/>
        <w:rPr>
          <w:b/>
          <w:bCs/>
          <w:lang w:val="en-MY"/>
        </w:rPr>
      </w:pPr>
      <w:r w:rsidRPr="008A5E4E">
        <w:rPr>
          <w:b/>
          <w:bCs/>
          <w:lang w:val="en-MY"/>
        </w:rPr>
        <w:t>Systematic Medicine and Inductive Reasoning</w:t>
      </w:r>
    </w:p>
    <w:p w14:paraId="28FED467" w14:textId="77777777" w:rsidR="008A5E4E" w:rsidRPr="008A5E4E" w:rsidRDefault="008A5E4E" w:rsidP="008A5E4E">
      <w:pPr>
        <w:jc w:val="both"/>
        <w:rPr>
          <w:lang w:val="en-MY"/>
        </w:rPr>
      </w:pPr>
      <w:r w:rsidRPr="008A5E4E">
        <w:rPr>
          <w:lang w:val="en-MY"/>
        </w:rPr>
        <w:t>The scientific method relies on the axiom that the universe is intelligible and that problems have solutions that can be uncovered through systematic search. The Prophet (SAW) codified this search in the field of medicine. He famously stated, "There is no disease that Allah has created, except that He also has created its treatment" (Al-Bukhari, trans. 1997, Vol. 7, Book 71, Hadith 582).</w:t>
      </w:r>
    </w:p>
    <w:p w14:paraId="53273850" w14:textId="77777777" w:rsidR="008A5E4E" w:rsidRPr="008A5E4E" w:rsidRDefault="008A5E4E" w:rsidP="008A5E4E">
      <w:pPr>
        <w:jc w:val="both"/>
        <w:rPr>
          <w:lang w:val="en-MY"/>
        </w:rPr>
      </w:pPr>
      <w:r w:rsidRPr="008A5E4E">
        <w:rPr>
          <w:lang w:val="en-MY"/>
        </w:rPr>
        <w:t xml:space="preserve">This statement is not merely a theological comfort; it is a call for </w:t>
      </w:r>
      <w:r w:rsidRPr="008A5E4E">
        <w:rPr>
          <w:b/>
          <w:bCs/>
          <w:lang w:val="en-MY"/>
        </w:rPr>
        <w:t>inductive reasoning</w:t>
      </w:r>
      <w:r w:rsidRPr="008A5E4E">
        <w:rPr>
          <w:lang w:val="en-MY"/>
        </w:rPr>
        <w:t xml:space="preserve">. By asserting that a cure exists for every ailment, the Prophet (SAW) provided the necessary motivation for systematic observation and clinical trials. This proactive stance transformed medicine from a passive, fatalistic </w:t>
      </w:r>
      <w:r w:rsidRPr="008A5E4E">
        <w:rPr>
          <w:lang w:val="en-MY"/>
        </w:rPr>
        <w:lastRenderedPageBreak/>
        <w:t>practice into an active, research-based discipline. It suggests a universe that is a "closed system" of cause and effect, where the observer’s role is to discover the link between the pathogen and the remedy through investigation.</w:t>
      </w:r>
    </w:p>
    <w:p w14:paraId="22A842CC" w14:textId="77777777" w:rsidR="008A5E4E" w:rsidRPr="008A5E4E" w:rsidRDefault="008A5E4E" w:rsidP="008A5E4E">
      <w:pPr>
        <w:jc w:val="both"/>
        <w:rPr>
          <w:b/>
          <w:bCs/>
          <w:lang w:val="en-MY"/>
        </w:rPr>
      </w:pPr>
      <w:r w:rsidRPr="008A5E4E">
        <w:rPr>
          <w:b/>
          <w:bCs/>
          <w:lang w:val="en-MY"/>
        </w:rPr>
        <w:t>Conclusion: Faith as a Catalyst for Inquiry</w:t>
      </w:r>
    </w:p>
    <w:p w14:paraId="2C17534B" w14:textId="77777777" w:rsidR="008A5E4E" w:rsidRPr="008A5E4E" w:rsidRDefault="008A5E4E" w:rsidP="008A5E4E">
      <w:pPr>
        <w:jc w:val="both"/>
        <w:rPr>
          <w:lang w:val="en-MY"/>
        </w:rPr>
      </w:pPr>
      <w:r w:rsidRPr="008A5E4E">
        <w:rPr>
          <w:lang w:val="en-MY"/>
        </w:rPr>
        <w:t>The Prophetic model demonstrates that faith and scientific thinking are not mutually exclusive; rather, faith can serve as the moral and philosophical catalyst for rigorous inquiry. The Prophet (SAW) taught his followers to observe the world with "Basirah" (insight), to value evidence over superstition, and to acknowledge the limits of human knowledge in the face of empirical data. By mapping his actions to scientific frameworks, we see a leader who championed a rational, evidence-based approach to the physical world—a legacy that continues to drive the pursuit of knowledge today.</w:t>
      </w:r>
    </w:p>
    <w:p w14:paraId="15E32D27" w14:textId="22961BA0" w:rsidR="008A5E4E" w:rsidRPr="008A5E4E" w:rsidRDefault="008A5E4E" w:rsidP="008A5E4E">
      <w:pPr>
        <w:jc w:val="both"/>
        <w:rPr>
          <w:lang w:val="en-MY"/>
        </w:rPr>
      </w:pPr>
    </w:p>
    <w:p w14:paraId="474800E4" w14:textId="77777777" w:rsidR="008A5E4E" w:rsidRPr="008A5E4E" w:rsidRDefault="008A5E4E" w:rsidP="008A5E4E">
      <w:pPr>
        <w:jc w:val="both"/>
        <w:rPr>
          <w:b/>
          <w:bCs/>
          <w:lang w:val="en-MY"/>
        </w:rPr>
      </w:pPr>
      <w:r w:rsidRPr="008A5E4E">
        <w:rPr>
          <w:b/>
          <w:bCs/>
          <w:lang w:val="en-MY"/>
        </w:rPr>
        <w:t>References (APA 7th Edition)</w:t>
      </w:r>
    </w:p>
    <w:p w14:paraId="30570EDC" w14:textId="77777777" w:rsidR="008A5E4E" w:rsidRPr="008A5E4E" w:rsidRDefault="008A5E4E" w:rsidP="008A5E4E">
      <w:pPr>
        <w:numPr>
          <w:ilvl w:val="0"/>
          <w:numId w:val="1"/>
        </w:numPr>
        <w:jc w:val="both"/>
        <w:rPr>
          <w:lang w:val="en-MY"/>
        </w:rPr>
      </w:pPr>
      <w:r w:rsidRPr="008A5E4E">
        <w:rPr>
          <w:lang w:val="en-MY"/>
        </w:rPr>
        <w:t xml:space="preserve">Al-Bukhari, M. I. (1997). </w:t>
      </w:r>
      <w:r w:rsidRPr="008A5E4E">
        <w:rPr>
          <w:i/>
          <w:iCs/>
          <w:lang w:val="en-MY"/>
        </w:rPr>
        <w:t>The Translation of the Meanings of Sahih Al-Bukhari</w:t>
      </w:r>
      <w:r w:rsidRPr="008A5E4E">
        <w:rPr>
          <w:lang w:val="en-MY"/>
        </w:rPr>
        <w:t xml:space="preserve"> (M. M. Khan, Trans.; Vol. 2 &amp; 7). Darussalam Publishers.</w:t>
      </w:r>
    </w:p>
    <w:p w14:paraId="16E1D435" w14:textId="77777777" w:rsidR="008A5E4E" w:rsidRPr="008A5E4E" w:rsidRDefault="008A5E4E" w:rsidP="008A5E4E">
      <w:pPr>
        <w:numPr>
          <w:ilvl w:val="0"/>
          <w:numId w:val="1"/>
        </w:numPr>
        <w:jc w:val="both"/>
        <w:rPr>
          <w:lang w:val="en-MY"/>
        </w:rPr>
      </w:pPr>
      <w:r w:rsidRPr="008A5E4E">
        <w:rPr>
          <w:lang w:val="en-MY"/>
        </w:rPr>
        <w:t xml:space="preserve">Al-Ghazali, M. (2001). </w:t>
      </w:r>
      <w:r w:rsidRPr="008A5E4E">
        <w:rPr>
          <w:i/>
          <w:iCs/>
          <w:lang w:val="en-MY"/>
        </w:rPr>
        <w:t>The Prophet’s Manner of Acting</w:t>
      </w:r>
      <w:r w:rsidRPr="008A5E4E">
        <w:rPr>
          <w:lang w:val="en-MY"/>
        </w:rPr>
        <w:t xml:space="preserve"> (A. Haleem, Trans.). American Trust Publications.</w:t>
      </w:r>
    </w:p>
    <w:p w14:paraId="7096B743" w14:textId="77777777" w:rsidR="008A5E4E" w:rsidRPr="008A5E4E" w:rsidRDefault="008A5E4E" w:rsidP="008A5E4E">
      <w:pPr>
        <w:numPr>
          <w:ilvl w:val="0"/>
          <w:numId w:val="1"/>
        </w:numPr>
        <w:jc w:val="both"/>
        <w:rPr>
          <w:lang w:val="en-MY"/>
        </w:rPr>
      </w:pPr>
      <w:r w:rsidRPr="008A5E4E">
        <w:rPr>
          <w:lang w:val="en-MY"/>
        </w:rPr>
        <w:t xml:space="preserve">Iqbal, M. (2013). </w:t>
      </w:r>
      <w:r w:rsidRPr="008A5E4E">
        <w:rPr>
          <w:i/>
          <w:iCs/>
          <w:lang w:val="en-MY"/>
        </w:rPr>
        <w:t>The Reconstruction of Religious Thought in Islam</w:t>
      </w:r>
      <w:r w:rsidRPr="008A5E4E">
        <w:rPr>
          <w:lang w:val="en-MY"/>
        </w:rPr>
        <w:t>. Stanford University Press. (Original work published 1930).</w:t>
      </w:r>
    </w:p>
    <w:p w14:paraId="61018684" w14:textId="77777777" w:rsidR="008A5E4E" w:rsidRPr="008A5E4E" w:rsidRDefault="008A5E4E" w:rsidP="008A5E4E">
      <w:pPr>
        <w:numPr>
          <w:ilvl w:val="0"/>
          <w:numId w:val="1"/>
        </w:numPr>
        <w:jc w:val="both"/>
        <w:rPr>
          <w:lang w:val="en-MY"/>
        </w:rPr>
      </w:pPr>
      <w:r w:rsidRPr="008A5E4E">
        <w:rPr>
          <w:lang w:val="en-MY"/>
        </w:rPr>
        <w:t xml:space="preserve">Muslim ibn al-Hajjaj, N. (2007). </w:t>
      </w:r>
      <w:r w:rsidRPr="008A5E4E">
        <w:rPr>
          <w:i/>
          <w:iCs/>
          <w:lang w:val="en-MY"/>
        </w:rPr>
        <w:t>English Translation of Sahih Muslim</w:t>
      </w:r>
      <w:r w:rsidRPr="008A5E4E">
        <w:rPr>
          <w:lang w:val="en-MY"/>
        </w:rPr>
        <w:t xml:space="preserve"> (N. al-Khattab, Trans.; Vol. 7). Darussalam Publishers.</w:t>
      </w:r>
    </w:p>
    <w:p w14:paraId="1292557D" w14:textId="77777777" w:rsidR="008A5E4E" w:rsidRPr="008A5E4E" w:rsidRDefault="008A5E4E" w:rsidP="008A5E4E">
      <w:pPr>
        <w:numPr>
          <w:ilvl w:val="0"/>
          <w:numId w:val="1"/>
        </w:numPr>
        <w:jc w:val="both"/>
        <w:rPr>
          <w:lang w:val="en-MY"/>
        </w:rPr>
      </w:pPr>
      <w:r w:rsidRPr="008A5E4E">
        <w:rPr>
          <w:lang w:val="en-MY"/>
        </w:rPr>
        <w:t xml:space="preserve">Nasr, S. H. (1993). </w:t>
      </w:r>
      <w:r w:rsidRPr="008A5E4E">
        <w:rPr>
          <w:i/>
          <w:iCs/>
          <w:lang w:val="en-MY"/>
        </w:rPr>
        <w:t>An Introduction to Islamic Cosmological Doctrines</w:t>
      </w:r>
      <w:r w:rsidRPr="008A5E4E">
        <w:rPr>
          <w:lang w:val="en-MY"/>
        </w:rPr>
        <w:t>. State University of New York Press.</w:t>
      </w:r>
    </w:p>
    <w:p w14:paraId="12E66698" w14:textId="77777777" w:rsidR="008A5E4E" w:rsidRPr="008A5E4E" w:rsidRDefault="008A5E4E" w:rsidP="008A5E4E">
      <w:pPr>
        <w:numPr>
          <w:ilvl w:val="0"/>
          <w:numId w:val="1"/>
        </w:numPr>
        <w:jc w:val="both"/>
        <w:rPr>
          <w:lang w:val="en-MY"/>
        </w:rPr>
      </w:pPr>
      <w:r w:rsidRPr="008A5E4E">
        <w:rPr>
          <w:lang w:val="en-MY"/>
        </w:rPr>
        <w:t xml:space="preserve">Stenberg, L. (1996). </w:t>
      </w:r>
      <w:r w:rsidRPr="008A5E4E">
        <w:rPr>
          <w:i/>
          <w:iCs/>
          <w:lang w:val="en-MY"/>
        </w:rPr>
        <w:t>The Islamization of Science: Four Muslim Positions Developing an Islamic Modernity</w:t>
      </w:r>
      <w:r w:rsidRPr="008A5E4E">
        <w:rPr>
          <w:lang w:val="en-MY"/>
        </w:rPr>
        <w:t>. Lund Studies in History of Religions.</w:t>
      </w:r>
    </w:p>
    <w:p w14:paraId="3D13ECB5" w14:textId="77777777" w:rsidR="00B444CD" w:rsidRDefault="00B444CD" w:rsidP="008A5E4E">
      <w:pPr>
        <w:jc w:val="both"/>
      </w:pPr>
    </w:p>
    <w:sectPr w:rsidR="00B44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A00002AF" w:usb1="5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E5C6F"/>
    <w:multiLevelType w:val="multilevel"/>
    <w:tmpl w:val="8BC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56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E4E"/>
    <w:rsid w:val="0010048C"/>
    <w:rsid w:val="0036427D"/>
    <w:rsid w:val="004A6271"/>
    <w:rsid w:val="005764AF"/>
    <w:rsid w:val="008A5E4E"/>
    <w:rsid w:val="009A5363"/>
    <w:rsid w:val="00B444CD"/>
    <w:rsid w:val="00E135B4"/>
    <w:rsid w:val="00EA689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044A"/>
  <w15:chartTrackingRefBased/>
  <w15:docId w15:val="{30F9D675-03FB-4C2D-A38A-0356F5082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HAnsi" w:hAnsi="Liberation Serif"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A5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E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E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E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E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E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E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E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E4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A5E4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A5E4E"/>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A5E4E"/>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A5E4E"/>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8A5E4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A5E4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8A5E4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A5E4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8A5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E4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A5E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E4E"/>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A5E4E"/>
    <w:pPr>
      <w:spacing w:before="160"/>
      <w:jc w:val="center"/>
    </w:pPr>
    <w:rPr>
      <w:i/>
      <w:iCs/>
      <w:color w:val="404040" w:themeColor="text1" w:themeTint="BF"/>
    </w:rPr>
  </w:style>
  <w:style w:type="character" w:customStyle="1" w:styleId="QuoteChar">
    <w:name w:val="Quote Char"/>
    <w:basedOn w:val="DefaultParagraphFont"/>
    <w:link w:val="Quote"/>
    <w:uiPriority w:val="29"/>
    <w:rsid w:val="008A5E4E"/>
    <w:rPr>
      <w:i/>
      <w:iCs/>
      <w:color w:val="404040" w:themeColor="text1" w:themeTint="BF"/>
      <w:lang w:val="en-GB"/>
    </w:rPr>
  </w:style>
  <w:style w:type="paragraph" w:styleId="ListParagraph">
    <w:name w:val="List Paragraph"/>
    <w:basedOn w:val="Normal"/>
    <w:uiPriority w:val="34"/>
    <w:qFormat/>
    <w:rsid w:val="008A5E4E"/>
    <w:pPr>
      <w:ind w:left="720"/>
      <w:contextualSpacing/>
    </w:pPr>
  </w:style>
  <w:style w:type="character" w:styleId="IntenseEmphasis">
    <w:name w:val="Intense Emphasis"/>
    <w:basedOn w:val="DefaultParagraphFont"/>
    <w:uiPriority w:val="21"/>
    <w:qFormat/>
    <w:rsid w:val="008A5E4E"/>
    <w:rPr>
      <w:i/>
      <w:iCs/>
      <w:color w:val="0F4761" w:themeColor="accent1" w:themeShade="BF"/>
    </w:rPr>
  </w:style>
  <w:style w:type="paragraph" w:styleId="IntenseQuote">
    <w:name w:val="Intense Quote"/>
    <w:basedOn w:val="Normal"/>
    <w:next w:val="Normal"/>
    <w:link w:val="IntenseQuoteChar"/>
    <w:uiPriority w:val="30"/>
    <w:qFormat/>
    <w:rsid w:val="008A5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E4E"/>
    <w:rPr>
      <w:i/>
      <w:iCs/>
      <w:color w:val="0F4761" w:themeColor="accent1" w:themeShade="BF"/>
      <w:lang w:val="en-GB"/>
    </w:rPr>
  </w:style>
  <w:style w:type="character" w:styleId="IntenseReference">
    <w:name w:val="Intense Reference"/>
    <w:basedOn w:val="DefaultParagraphFont"/>
    <w:uiPriority w:val="32"/>
    <w:qFormat/>
    <w:rsid w:val="008A5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Bin Rasulan</dc:creator>
  <cp:keywords/>
  <dc:description/>
  <cp:lastModifiedBy>Shafiq Bin Rasulan</cp:lastModifiedBy>
  <cp:revision>1</cp:revision>
  <dcterms:created xsi:type="dcterms:W3CDTF">2026-02-28T07:39:00Z</dcterms:created>
  <dcterms:modified xsi:type="dcterms:W3CDTF">2026-02-28T07:40:00Z</dcterms:modified>
</cp:coreProperties>
</file>