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199BE" w14:textId="57107293" w:rsidR="00283CAC" w:rsidRPr="00283CAC" w:rsidRDefault="00283CAC" w:rsidP="003A1494">
      <w:pPr>
        <w:spacing w:after="0" w:line="240" w:lineRule="auto"/>
        <w:rPr>
          <w:b/>
          <w:bCs/>
          <w:lang w:val="en-US"/>
        </w:rPr>
      </w:pPr>
      <w:r>
        <w:rPr>
          <w:b/>
          <w:bCs/>
          <w:lang w:val="en-US"/>
        </w:rPr>
        <w:t>S</w:t>
      </w:r>
      <w:r w:rsidRPr="00283CAC">
        <w:rPr>
          <w:b/>
          <w:bCs/>
          <w:lang w:val="en-US"/>
        </w:rPr>
        <w:t>tage 1: The Conference Paper (Validation + Baseline)</w:t>
      </w:r>
    </w:p>
    <w:p w14:paraId="0C83E52B" w14:textId="77777777" w:rsidR="00283CAC" w:rsidRPr="00283CAC" w:rsidRDefault="00283CAC" w:rsidP="003A1494">
      <w:pPr>
        <w:spacing w:after="0" w:line="240" w:lineRule="auto"/>
        <w:rPr>
          <w:lang w:val="en-US"/>
        </w:rPr>
      </w:pPr>
      <w:r w:rsidRPr="00283CAC">
        <w:rPr>
          <w:b/>
          <w:bCs/>
          <w:lang w:val="en-US"/>
        </w:rPr>
        <w:t>Title:</w:t>
      </w:r>
      <w:r w:rsidRPr="00283CAC">
        <w:rPr>
          <w:lang w:val="en-US"/>
        </w:rPr>
        <w:t> </w:t>
      </w:r>
      <w:r w:rsidRPr="00283CAC">
        <w:rPr>
          <w:i/>
          <w:iCs/>
          <w:lang w:val="en-US"/>
        </w:rPr>
        <w:t>Validating AI Perception Scales and Establishing Baseline Attitudes Among Malaysian Physics Students</w:t>
      </w:r>
    </w:p>
    <w:p w14:paraId="3AFB5F9D" w14:textId="77777777" w:rsidR="00283CAC" w:rsidRPr="00283CAC" w:rsidRDefault="00283CAC" w:rsidP="003A1494">
      <w:pPr>
        <w:spacing w:after="0" w:line="240" w:lineRule="auto"/>
        <w:rPr>
          <w:lang w:val="en-US"/>
        </w:rPr>
      </w:pPr>
      <w:r w:rsidRPr="00283CAC">
        <w:rPr>
          <w:b/>
          <w:bCs/>
          <w:lang w:val="en-US"/>
        </w:rPr>
        <w:t>Conference Abstract:</w:t>
      </w:r>
    </w:p>
    <w:p w14:paraId="588FDE54" w14:textId="77777777" w:rsidR="00283CAC" w:rsidRPr="00283CAC" w:rsidRDefault="00283CAC" w:rsidP="003A1494">
      <w:pPr>
        <w:spacing w:after="0" w:line="240" w:lineRule="auto"/>
        <w:rPr>
          <w:lang w:val="en-US"/>
        </w:rPr>
      </w:pPr>
      <w:r w:rsidRPr="00283CAC">
        <w:rPr>
          <w:lang w:val="en-US"/>
        </w:rPr>
        <w:t xml:space="preserve">The increasing adoption of artificial intelligence (AI) in education necessitates valid instruments to measure students' psychological perceptions, particularly within STEM contexts. This study evaluates the psychometric properties of adapted versions of the Short GAAIS-10 and AI-EdTech Trust Scale among Malaysian matriculation Physics students and establishes baseline attitudes and trust levels. A cross-sectional survey was conducted with 88 students (58% female, 68% from Life Sciences) from Sarawak Matriculation College. Data were analyzed using </w:t>
      </w:r>
      <w:proofErr w:type="spellStart"/>
      <w:r w:rsidRPr="00283CAC">
        <w:rPr>
          <w:lang w:val="en-US"/>
        </w:rPr>
        <w:t>Jamovi</w:t>
      </w:r>
      <w:proofErr w:type="spellEnd"/>
      <w:r w:rsidRPr="00283CAC">
        <w:rPr>
          <w:lang w:val="en-US"/>
        </w:rPr>
        <w:t xml:space="preserve"> for reliability (Cronbach's α and McDonald's ω) and descriptive statistics. All instruments demonstrated excellent internal consistency, with α/ω values of 0.902/0.903 for Positive Attitudes, 0.825/0.828 for Negative Dependency Concerns, and 0.921/0.922 for AI-EdTech Trust. Descriptively, students reported high positive attitudes towards AI (M = 4.08, SD = 0.69) and high trust in AI for supporting Physics learning (M = 3.92, SD = 0.69), alongside moderate negative dependency concerns (M = 3.23, SD = 0.90). The majority of students reported using AI "Often" (56.8%), indicating high digital engagement. These findings confirm that the adapted instruments are reliable for assessing AI perceptions in Malaysian educational contexts. The results establish a robust baseline, indicating that Malaysian matriculation Physics students are digitally confident and receptive to AI integration, providing a foundation for more complex psychological investigations.</w:t>
      </w:r>
    </w:p>
    <w:p w14:paraId="2251239E" w14:textId="77777777" w:rsidR="00283CAC" w:rsidRPr="00283CAC" w:rsidRDefault="00283CAC" w:rsidP="003A1494">
      <w:pPr>
        <w:spacing w:after="0" w:line="240" w:lineRule="auto"/>
        <w:rPr>
          <w:lang w:val="en-US"/>
        </w:rPr>
      </w:pPr>
      <w:r w:rsidRPr="00283CAC">
        <w:rPr>
          <w:b/>
          <w:bCs/>
          <w:lang w:val="en-US"/>
        </w:rPr>
        <w:t>Keywords:</w:t>
      </w:r>
      <w:r w:rsidRPr="00283CAC">
        <w:rPr>
          <w:lang w:val="en-US"/>
        </w:rPr>
        <w:t> instrument validation, AI attitudes, trust in AI, STEM education, Malaysian students</w:t>
      </w:r>
    </w:p>
    <w:p w14:paraId="62F76294" w14:textId="02CC9D13" w:rsidR="00283CAC" w:rsidRDefault="00283CAC" w:rsidP="003A1494">
      <w:pPr>
        <w:spacing w:after="0" w:line="240" w:lineRule="auto"/>
      </w:pPr>
      <w:r>
        <w:br w:type="page"/>
      </w:r>
    </w:p>
    <w:p w14:paraId="572E5A4E" w14:textId="31DAECB7" w:rsidR="00283CAC" w:rsidRPr="00283CAC" w:rsidRDefault="00283CAC" w:rsidP="003A1494">
      <w:pPr>
        <w:spacing w:after="0" w:line="240" w:lineRule="auto"/>
        <w:rPr>
          <w:b/>
          <w:bCs/>
          <w:lang w:val="en-US"/>
        </w:rPr>
      </w:pPr>
      <w:r w:rsidRPr="00283CAC">
        <w:rPr>
          <w:b/>
          <w:bCs/>
          <w:lang w:val="en-US"/>
        </w:rPr>
        <w:lastRenderedPageBreak/>
        <w:t>Conference Presentation Structure (Slides)</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6946"/>
      </w:tblGrid>
      <w:tr w:rsidR="00283CAC" w:rsidRPr="00283CAC" w14:paraId="7BF3405D" w14:textId="77777777" w:rsidTr="00283CAC">
        <w:trPr>
          <w:tblHeader/>
        </w:trPr>
        <w:tc>
          <w:tcPr>
            <w:tcW w:w="1271" w:type="dxa"/>
            <w:tcMar>
              <w:top w:w="150" w:type="dxa"/>
              <w:left w:w="0" w:type="dxa"/>
              <w:bottom w:w="150" w:type="dxa"/>
              <w:right w:w="240" w:type="dxa"/>
            </w:tcMar>
            <w:vAlign w:val="center"/>
            <w:hideMark/>
          </w:tcPr>
          <w:p w14:paraId="37466129" w14:textId="77777777" w:rsidR="00283CAC" w:rsidRPr="00283CAC" w:rsidRDefault="00283CAC" w:rsidP="003A1494">
            <w:pPr>
              <w:tabs>
                <w:tab w:val="left" w:pos="666"/>
              </w:tabs>
              <w:spacing w:after="0" w:line="240" w:lineRule="auto"/>
              <w:ind w:left="142"/>
              <w:rPr>
                <w:lang w:val="en-US"/>
              </w:rPr>
            </w:pPr>
            <w:r w:rsidRPr="00283CAC">
              <w:rPr>
                <w:lang w:val="en-US"/>
              </w:rPr>
              <w:t>Slide</w:t>
            </w:r>
          </w:p>
        </w:tc>
        <w:tc>
          <w:tcPr>
            <w:tcW w:w="6946" w:type="dxa"/>
            <w:tcMar>
              <w:top w:w="150" w:type="dxa"/>
              <w:left w:w="240" w:type="dxa"/>
              <w:bottom w:w="150" w:type="dxa"/>
              <w:right w:w="240" w:type="dxa"/>
            </w:tcMar>
            <w:vAlign w:val="center"/>
            <w:hideMark/>
          </w:tcPr>
          <w:p w14:paraId="220A307F" w14:textId="77777777" w:rsidR="00283CAC" w:rsidRPr="00283CAC" w:rsidRDefault="00283CAC" w:rsidP="003A1494">
            <w:pPr>
              <w:spacing w:after="0" w:line="240" w:lineRule="auto"/>
              <w:ind w:left="-123" w:right="300"/>
              <w:rPr>
                <w:lang w:val="en-US"/>
              </w:rPr>
            </w:pPr>
            <w:r w:rsidRPr="00283CAC">
              <w:rPr>
                <w:lang w:val="en-US"/>
              </w:rPr>
              <w:t>Content</w:t>
            </w:r>
          </w:p>
        </w:tc>
      </w:tr>
      <w:tr w:rsidR="00283CAC" w:rsidRPr="00283CAC" w14:paraId="1BFC65B5" w14:textId="77777777" w:rsidTr="00283CAC">
        <w:tc>
          <w:tcPr>
            <w:tcW w:w="1271" w:type="dxa"/>
            <w:tcMar>
              <w:top w:w="150" w:type="dxa"/>
              <w:left w:w="0" w:type="dxa"/>
              <w:bottom w:w="150" w:type="dxa"/>
              <w:right w:w="240" w:type="dxa"/>
            </w:tcMar>
            <w:vAlign w:val="center"/>
            <w:hideMark/>
          </w:tcPr>
          <w:p w14:paraId="3DF933E2" w14:textId="77777777" w:rsidR="00283CAC" w:rsidRPr="00283CAC" w:rsidRDefault="00283CAC" w:rsidP="003A1494">
            <w:pPr>
              <w:tabs>
                <w:tab w:val="left" w:pos="666"/>
              </w:tabs>
              <w:spacing w:after="0" w:line="240" w:lineRule="auto"/>
              <w:ind w:left="142"/>
              <w:rPr>
                <w:lang w:val="en-US"/>
              </w:rPr>
            </w:pPr>
            <w:r w:rsidRPr="00283CAC">
              <w:rPr>
                <w:b/>
                <w:bCs/>
                <w:lang w:val="en-US"/>
              </w:rPr>
              <w:t>Slide 1</w:t>
            </w:r>
          </w:p>
        </w:tc>
        <w:tc>
          <w:tcPr>
            <w:tcW w:w="6946" w:type="dxa"/>
            <w:tcMar>
              <w:top w:w="150" w:type="dxa"/>
              <w:left w:w="240" w:type="dxa"/>
              <w:bottom w:w="150" w:type="dxa"/>
              <w:right w:w="0" w:type="dxa"/>
            </w:tcMar>
            <w:vAlign w:val="center"/>
            <w:hideMark/>
          </w:tcPr>
          <w:p w14:paraId="1C4847EF" w14:textId="77777777" w:rsidR="00283CAC" w:rsidRPr="00283CAC" w:rsidRDefault="00283CAC" w:rsidP="003A1494">
            <w:pPr>
              <w:spacing w:after="0" w:line="240" w:lineRule="auto"/>
              <w:ind w:left="-123" w:right="300"/>
              <w:rPr>
                <w:lang w:val="en-US"/>
              </w:rPr>
            </w:pPr>
            <w:r w:rsidRPr="00283CAC">
              <w:rPr>
                <w:lang w:val="en-US"/>
              </w:rPr>
              <w:t>Title, Authors, Affiliation</w:t>
            </w:r>
          </w:p>
        </w:tc>
      </w:tr>
      <w:tr w:rsidR="00283CAC" w:rsidRPr="00283CAC" w14:paraId="52A79CBB" w14:textId="77777777" w:rsidTr="00283CAC">
        <w:tc>
          <w:tcPr>
            <w:tcW w:w="1271" w:type="dxa"/>
            <w:tcMar>
              <w:top w:w="150" w:type="dxa"/>
              <w:left w:w="0" w:type="dxa"/>
              <w:bottom w:w="150" w:type="dxa"/>
              <w:right w:w="240" w:type="dxa"/>
            </w:tcMar>
            <w:vAlign w:val="center"/>
            <w:hideMark/>
          </w:tcPr>
          <w:p w14:paraId="3CD687FA" w14:textId="77777777" w:rsidR="00283CAC" w:rsidRPr="00283CAC" w:rsidRDefault="00283CAC" w:rsidP="003A1494">
            <w:pPr>
              <w:tabs>
                <w:tab w:val="left" w:pos="666"/>
              </w:tabs>
              <w:spacing w:after="0" w:line="240" w:lineRule="auto"/>
              <w:ind w:left="142"/>
              <w:rPr>
                <w:lang w:val="en-US"/>
              </w:rPr>
            </w:pPr>
            <w:r w:rsidRPr="00283CAC">
              <w:rPr>
                <w:b/>
                <w:bCs/>
                <w:lang w:val="en-US"/>
              </w:rPr>
              <w:t>Slide 2</w:t>
            </w:r>
          </w:p>
        </w:tc>
        <w:tc>
          <w:tcPr>
            <w:tcW w:w="6946" w:type="dxa"/>
            <w:tcMar>
              <w:top w:w="150" w:type="dxa"/>
              <w:left w:w="240" w:type="dxa"/>
              <w:bottom w:w="150" w:type="dxa"/>
              <w:right w:w="0" w:type="dxa"/>
            </w:tcMar>
            <w:vAlign w:val="center"/>
            <w:hideMark/>
          </w:tcPr>
          <w:p w14:paraId="0D2B56A4" w14:textId="77777777" w:rsidR="00283CAC" w:rsidRPr="00283CAC" w:rsidRDefault="00283CAC" w:rsidP="003A1494">
            <w:pPr>
              <w:spacing w:after="0" w:line="240" w:lineRule="auto"/>
              <w:ind w:left="-123" w:right="300"/>
              <w:rPr>
                <w:lang w:val="en-US"/>
              </w:rPr>
            </w:pPr>
            <w:r w:rsidRPr="00283CAC">
              <w:rPr>
                <w:lang w:val="en-US"/>
              </w:rPr>
              <w:t>Problem: AI is here, but do we have valid tools to measure how students </w:t>
            </w:r>
            <w:r w:rsidRPr="00283CAC">
              <w:rPr>
                <w:i/>
                <w:iCs/>
                <w:lang w:val="en-US"/>
              </w:rPr>
              <w:t>feel</w:t>
            </w:r>
            <w:r w:rsidRPr="00283CAC">
              <w:rPr>
                <w:lang w:val="en-US"/>
              </w:rPr>
              <w:t> about it in Malaysia?</w:t>
            </w:r>
          </w:p>
        </w:tc>
      </w:tr>
      <w:tr w:rsidR="00283CAC" w:rsidRPr="00283CAC" w14:paraId="3822C4F3" w14:textId="77777777" w:rsidTr="00283CAC">
        <w:tc>
          <w:tcPr>
            <w:tcW w:w="1271" w:type="dxa"/>
            <w:tcMar>
              <w:top w:w="150" w:type="dxa"/>
              <w:left w:w="0" w:type="dxa"/>
              <w:bottom w:w="150" w:type="dxa"/>
              <w:right w:w="240" w:type="dxa"/>
            </w:tcMar>
            <w:vAlign w:val="center"/>
            <w:hideMark/>
          </w:tcPr>
          <w:p w14:paraId="033492E5" w14:textId="77777777" w:rsidR="00283CAC" w:rsidRPr="00283CAC" w:rsidRDefault="00283CAC" w:rsidP="003A1494">
            <w:pPr>
              <w:tabs>
                <w:tab w:val="left" w:pos="666"/>
              </w:tabs>
              <w:spacing w:after="0" w:line="240" w:lineRule="auto"/>
              <w:ind w:left="142"/>
              <w:rPr>
                <w:lang w:val="en-US"/>
              </w:rPr>
            </w:pPr>
            <w:r w:rsidRPr="00283CAC">
              <w:rPr>
                <w:b/>
                <w:bCs/>
                <w:lang w:val="en-US"/>
              </w:rPr>
              <w:t>Slide 3</w:t>
            </w:r>
          </w:p>
        </w:tc>
        <w:tc>
          <w:tcPr>
            <w:tcW w:w="6946" w:type="dxa"/>
            <w:tcMar>
              <w:top w:w="150" w:type="dxa"/>
              <w:left w:w="240" w:type="dxa"/>
              <w:bottom w:w="150" w:type="dxa"/>
              <w:right w:w="0" w:type="dxa"/>
            </w:tcMar>
            <w:vAlign w:val="center"/>
            <w:hideMark/>
          </w:tcPr>
          <w:p w14:paraId="12F41052" w14:textId="77777777" w:rsidR="00283CAC" w:rsidRPr="00283CAC" w:rsidRDefault="00283CAC" w:rsidP="003A1494">
            <w:pPr>
              <w:spacing w:after="0" w:line="240" w:lineRule="auto"/>
              <w:ind w:left="-123" w:right="300"/>
              <w:rPr>
                <w:lang w:val="en-US"/>
              </w:rPr>
            </w:pPr>
            <w:r w:rsidRPr="00283CAC">
              <w:rPr>
                <w:lang w:val="en-US"/>
              </w:rPr>
              <w:t>Sample: N=88 (58% F, 68% Hayat, 56.8% use AI "Often")</w:t>
            </w:r>
          </w:p>
        </w:tc>
      </w:tr>
      <w:tr w:rsidR="00283CAC" w:rsidRPr="00283CAC" w14:paraId="4E9E93DB" w14:textId="77777777" w:rsidTr="00283CAC">
        <w:tc>
          <w:tcPr>
            <w:tcW w:w="1271" w:type="dxa"/>
            <w:tcMar>
              <w:top w:w="150" w:type="dxa"/>
              <w:left w:w="0" w:type="dxa"/>
              <w:bottom w:w="150" w:type="dxa"/>
              <w:right w:w="240" w:type="dxa"/>
            </w:tcMar>
            <w:vAlign w:val="center"/>
            <w:hideMark/>
          </w:tcPr>
          <w:p w14:paraId="28EA80BC" w14:textId="77777777" w:rsidR="00283CAC" w:rsidRPr="00283CAC" w:rsidRDefault="00283CAC" w:rsidP="003A1494">
            <w:pPr>
              <w:tabs>
                <w:tab w:val="left" w:pos="666"/>
              </w:tabs>
              <w:spacing w:after="0" w:line="240" w:lineRule="auto"/>
              <w:ind w:left="142"/>
              <w:rPr>
                <w:lang w:val="en-US"/>
              </w:rPr>
            </w:pPr>
            <w:r w:rsidRPr="00283CAC">
              <w:rPr>
                <w:b/>
                <w:bCs/>
                <w:lang w:val="en-US"/>
              </w:rPr>
              <w:t>Slide 4</w:t>
            </w:r>
          </w:p>
        </w:tc>
        <w:tc>
          <w:tcPr>
            <w:tcW w:w="6946" w:type="dxa"/>
            <w:tcMar>
              <w:top w:w="150" w:type="dxa"/>
              <w:left w:w="240" w:type="dxa"/>
              <w:bottom w:w="150" w:type="dxa"/>
              <w:right w:w="0" w:type="dxa"/>
            </w:tcMar>
            <w:vAlign w:val="center"/>
            <w:hideMark/>
          </w:tcPr>
          <w:p w14:paraId="475979B3" w14:textId="77777777" w:rsidR="00283CAC" w:rsidRPr="00283CAC" w:rsidRDefault="00283CAC" w:rsidP="003A1494">
            <w:pPr>
              <w:spacing w:after="0" w:line="240" w:lineRule="auto"/>
              <w:ind w:left="-123" w:right="300"/>
              <w:rPr>
                <w:lang w:val="en-US"/>
              </w:rPr>
            </w:pPr>
            <w:r w:rsidRPr="00283CAC">
              <w:rPr>
                <w:b/>
                <w:bCs/>
                <w:lang w:val="en-US"/>
              </w:rPr>
              <w:t>Reliability (The Core Contribution):</w:t>
            </w:r>
            <w:r w:rsidRPr="00283CAC">
              <w:rPr>
                <w:lang w:val="en-US"/>
              </w:rPr>
              <w:t> Table showing α/ω = 0.825–0.922. </w:t>
            </w:r>
            <w:r w:rsidRPr="00283CAC">
              <w:rPr>
                <w:i/>
                <w:iCs/>
                <w:lang w:val="en-US"/>
              </w:rPr>
              <w:t>Caption: All instruments exceed the 0.70 threshold, confirming they are valid for Malaysia.</w:t>
            </w:r>
          </w:p>
        </w:tc>
      </w:tr>
      <w:tr w:rsidR="00283CAC" w:rsidRPr="00283CAC" w14:paraId="36F73F05" w14:textId="77777777" w:rsidTr="00283CAC">
        <w:tc>
          <w:tcPr>
            <w:tcW w:w="1271" w:type="dxa"/>
            <w:tcMar>
              <w:top w:w="150" w:type="dxa"/>
              <w:left w:w="0" w:type="dxa"/>
              <w:bottom w:w="150" w:type="dxa"/>
              <w:right w:w="240" w:type="dxa"/>
            </w:tcMar>
            <w:vAlign w:val="center"/>
            <w:hideMark/>
          </w:tcPr>
          <w:p w14:paraId="349B0B81" w14:textId="77777777" w:rsidR="00283CAC" w:rsidRPr="00283CAC" w:rsidRDefault="00283CAC" w:rsidP="003A1494">
            <w:pPr>
              <w:tabs>
                <w:tab w:val="left" w:pos="666"/>
              </w:tabs>
              <w:spacing w:after="0" w:line="240" w:lineRule="auto"/>
              <w:ind w:left="142"/>
              <w:rPr>
                <w:lang w:val="en-US"/>
              </w:rPr>
            </w:pPr>
            <w:r w:rsidRPr="00283CAC">
              <w:rPr>
                <w:b/>
                <w:bCs/>
                <w:lang w:val="en-US"/>
              </w:rPr>
              <w:t>Slide 5</w:t>
            </w:r>
          </w:p>
        </w:tc>
        <w:tc>
          <w:tcPr>
            <w:tcW w:w="6946" w:type="dxa"/>
            <w:tcMar>
              <w:top w:w="150" w:type="dxa"/>
              <w:left w:w="240" w:type="dxa"/>
              <w:bottom w:w="150" w:type="dxa"/>
              <w:right w:w="0" w:type="dxa"/>
            </w:tcMar>
            <w:vAlign w:val="center"/>
            <w:hideMark/>
          </w:tcPr>
          <w:p w14:paraId="3B1530A0" w14:textId="77777777" w:rsidR="00283CAC" w:rsidRPr="00283CAC" w:rsidRDefault="00283CAC" w:rsidP="003A1494">
            <w:pPr>
              <w:spacing w:after="0" w:line="240" w:lineRule="auto"/>
              <w:ind w:left="-123" w:right="300"/>
              <w:rPr>
                <w:lang w:val="en-US"/>
              </w:rPr>
            </w:pPr>
            <w:r w:rsidRPr="00283CAC">
              <w:rPr>
                <w:b/>
                <w:bCs/>
                <w:lang w:val="en-US"/>
              </w:rPr>
              <w:t>Descriptive Baselines:</w:t>
            </w:r>
            <w:r w:rsidRPr="00283CAC">
              <w:rPr>
                <w:lang w:val="en-US"/>
              </w:rPr>
              <w:t> Bar chart showing Positive Attitude (4.08), Trust (3.92), Negative (3.23). </w:t>
            </w:r>
            <w:r w:rsidRPr="00283CAC">
              <w:rPr>
                <w:i/>
                <w:iCs/>
                <w:lang w:val="en-US"/>
              </w:rPr>
              <w:t>Caption: Students are digitally ready and trusting.</w:t>
            </w:r>
          </w:p>
        </w:tc>
      </w:tr>
      <w:tr w:rsidR="00283CAC" w:rsidRPr="00283CAC" w14:paraId="5502DA0A" w14:textId="77777777" w:rsidTr="00283CAC">
        <w:tc>
          <w:tcPr>
            <w:tcW w:w="1271" w:type="dxa"/>
            <w:tcMar>
              <w:top w:w="150" w:type="dxa"/>
              <w:left w:w="0" w:type="dxa"/>
              <w:bottom w:w="150" w:type="dxa"/>
              <w:right w:w="240" w:type="dxa"/>
            </w:tcMar>
            <w:vAlign w:val="center"/>
            <w:hideMark/>
          </w:tcPr>
          <w:p w14:paraId="463974F0" w14:textId="77777777" w:rsidR="00283CAC" w:rsidRPr="00283CAC" w:rsidRDefault="00283CAC" w:rsidP="003A1494">
            <w:pPr>
              <w:tabs>
                <w:tab w:val="left" w:pos="666"/>
              </w:tabs>
              <w:spacing w:after="0" w:line="240" w:lineRule="auto"/>
              <w:ind w:left="142"/>
              <w:rPr>
                <w:lang w:val="en-US"/>
              </w:rPr>
            </w:pPr>
            <w:r w:rsidRPr="00283CAC">
              <w:rPr>
                <w:b/>
                <w:bCs/>
                <w:lang w:val="en-US"/>
              </w:rPr>
              <w:t>Slide 6</w:t>
            </w:r>
          </w:p>
        </w:tc>
        <w:tc>
          <w:tcPr>
            <w:tcW w:w="6946" w:type="dxa"/>
            <w:tcMar>
              <w:top w:w="150" w:type="dxa"/>
              <w:left w:w="240" w:type="dxa"/>
              <w:bottom w:w="150" w:type="dxa"/>
              <w:right w:w="0" w:type="dxa"/>
            </w:tcMar>
            <w:vAlign w:val="center"/>
            <w:hideMark/>
          </w:tcPr>
          <w:p w14:paraId="2547F807" w14:textId="77777777" w:rsidR="00283CAC" w:rsidRPr="00283CAC" w:rsidRDefault="00283CAC" w:rsidP="003A1494">
            <w:pPr>
              <w:spacing w:after="0" w:line="240" w:lineRule="auto"/>
              <w:ind w:left="-123" w:right="300"/>
              <w:rPr>
                <w:lang w:val="en-US"/>
              </w:rPr>
            </w:pPr>
            <w:r w:rsidRPr="00283CAC">
              <w:rPr>
                <w:lang w:val="en-US"/>
              </w:rPr>
              <w:t>Conclusion: We have validated tools and established a baseline. Future research can now explore deeper psychological factors.</w:t>
            </w:r>
          </w:p>
        </w:tc>
      </w:tr>
      <w:tr w:rsidR="00283CAC" w:rsidRPr="00283CAC" w14:paraId="592AD12C" w14:textId="77777777" w:rsidTr="00283CAC">
        <w:tc>
          <w:tcPr>
            <w:tcW w:w="1271" w:type="dxa"/>
            <w:tcMar>
              <w:top w:w="150" w:type="dxa"/>
              <w:left w:w="0" w:type="dxa"/>
              <w:bottom w:w="150" w:type="dxa"/>
              <w:right w:w="240" w:type="dxa"/>
            </w:tcMar>
            <w:vAlign w:val="center"/>
            <w:hideMark/>
          </w:tcPr>
          <w:p w14:paraId="6973A5FF" w14:textId="77777777" w:rsidR="00283CAC" w:rsidRPr="00283CAC" w:rsidRDefault="00283CAC" w:rsidP="003A1494">
            <w:pPr>
              <w:tabs>
                <w:tab w:val="left" w:pos="666"/>
              </w:tabs>
              <w:spacing w:after="0" w:line="240" w:lineRule="auto"/>
              <w:ind w:left="142"/>
              <w:rPr>
                <w:lang w:val="en-US"/>
              </w:rPr>
            </w:pPr>
            <w:r w:rsidRPr="00283CAC">
              <w:rPr>
                <w:b/>
                <w:bCs/>
                <w:lang w:val="en-US"/>
              </w:rPr>
              <w:t>Slide 7</w:t>
            </w:r>
          </w:p>
        </w:tc>
        <w:tc>
          <w:tcPr>
            <w:tcW w:w="6946" w:type="dxa"/>
            <w:tcMar>
              <w:top w:w="150" w:type="dxa"/>
              <w:left w:w="240" w:type="dxa"/>
              <w:bottom w:w="150" w:type="dxa"/>
              <w:right w:w="0" w:type="dxa"/>
            </w:tcMar>
            <w:vAlign w:val="center"/>
            <w:hideMark/>
          </w:tcPr>
          <w:p w14:paraId="14B404DA" w14:textId="77777777" w:rsidR="00283CAC" w:rsidRPr="00283CAC" w:rsidRDefault="00283CAC" w:rsidP="003A1494">
            <w:pPr>
              <w:spacing w:after="0" w:line="240" w:lineRule="auto"/>
              <w:ind w:left="-123" w:right="300"/>
              <w:rPr>
                <w:lang w:val="en-US"/>
              </w:rPr>
            </w:pPr>
            <w:r w:rsidRPr="00283CAC">
              <w:rPr>
                <w:lang w:val="en-US"/>
              </w:rPr>
              <w:t>Q&amp;A</w:t>
            </w:r>
          </w:p>
        </w:tc>
      </w:tr>
    </w:tbl>
    <w:p w14:paraId="2EB3A0E7" w14:textId="77777777" w:rsidR="00283CAC" w:rsidRDefault="00283CAC" w:rsidP="003A1494">
      <w:pPr>
        <w:spacing w:after="0" w:line="240" w:lineRule="auto"/>
      </w:pPr>
    </w:p>
    <w:p w14:paraId="316C6482" w14:textId="36B7EBD8" w:rsidR="00283CAC" w:rsidRDefault="00283CAC" w:rsidP="003A1494">
      <w:pPr>
        <w:spacing w:after="0" w:line="240" w:lineRule="auto"/>
      </w:pPr>
      <w:r>
        <w:br w:type="page"/>
      </w:r>
    </w:p>
    <w:p w14:paraId="5F14ECD1" w14:textId="77777777" w:rsidR="003A1494" w:rsidRPr="003A1494" w:rsidRDefault="003A1494" w:rsidP="003A1494">
      <w:pPr>
        <w:spacing w:after="0" w:line="240" w:lineRule="auto"/>
        <w:rPr>
          <w:b/>
          <w:bCs/>
          <w:lang w:val="en-US"/>
        </w:rPr>
      </w:pPr>
      <w:r w:rsidRPr="003A1494">
        <w:rPr>
          <w:b/>
          <w:bCs/>
          <w:lang w:val="en-US"/>
        </w:rPr>
        <w:lastRenderedPageBreak/>
        <w:t>Stage 2: The High-Impact Journal Paper (The Anxiety Paradox + Moderators)</w:t>
      </w:r>
    </w:p>
    <w:p w14:paraId="40CDE96A" w14:textId="77777777" w:rsidR="003A1494" w:rsidRPr="003A1494" w:rsidRDefault="003A1494" w:rsidP="003A1494">
      <w:pPr>
        <w:spacing w:after="0" w:line="240" w:lineRule="auto"/>
        <w:rPr>
          <w:lang w:val="en-US"/>
        </w:rPr>
      </w:pPr>
      <w:r w:rsidRPr="003A1494">
        <w:rPr>
          <w:b/>
          <w:bCs/>
          <w:lang w:val="en-US"/>
        </w:rPr>
        <w:t>Title:</w:t>
      </w:r>
      <w:r w:rsidRPr="003A1494">
        <w:rPr>
          <w:lang w:val="en-US"/>
        </w:rPr>
        <w:t> </w:t>
      </w:r>
      <w:r w:rsidRPr="003A1494">
        <w:rPr>
          <w:i/>
          <w:iCs/>
          <w:lang w:val="en-US"/>
        </w:rPr>
        <w:t>The AI Trust-Anxiety Paradox: Societal Fears Outweigh Learning Confidence in STEM Education</w:t>
      </w:r>
    </w:p>
    <w:p w14:paraId="36805908" w14:textId="77777777" w:rsidR="003A1494" w:rsidRPr="003A1494" w:rsidRDefault="003A1494" w:rsidP="003A1494">
      <w:pPr>
        <w:spacing w:after="0" w:line="240" w:lineRule="auto"/>
        <w:rPr>
          <w:lang w:val="en-US"/>
        </w:rPr>
      </w:pPr>
      <w:r w:rsidRPr="003A1494">
        <w:rPr>
          <w:b/>
          <w:bCs/>
          <w:lang w:val="en-US"/>
        </w:rPr>
        <w:t>Journal:</w:t>
      </w:r>
      <w:r w:rsidRPr="003A1494">
        <w:rPr>
          <w:lang w:val="en-US"/>
        </w:rPr>
        <w:t> </w:t>
      </w:r>
      <w:r w:rsidRPr="003A1494">
        <w:rPr>
          <w:i/>
          <w:iCs/>
          <w:lang w:val="en-US"/>
        </w:rPr>
        <w:t>Computers &amp; Education</w:t>
      </w:r>
      <w:r w:rsidRPr="003A1494">
        <w:rPr>
          <w:lang w:val="en-US"/>
        </w:rPr>
        <w:t> / </w:t>
      </w:r>
      <w:r w:rsidRPr="003A1494">
        <w:rPr>
          <w:i/>
          <w:iCs/>
          <w:lang w:val="en-US"/>
        </w:rPr>
        <w:t>British Journal of Educational Technology</w:t>
      </w:r>
    </w:p>
    <w:p w14:paraId="74E4535B" w14:textId="061978FA" w:rsidR="003A1494" w:rsidRPr="003A1494" w:rsidRDefault="003A1494" w:rsidP="003A1494">
      <w:pPr>
        <w:spacing w:after="0" w:line="240" w:lineRule="auto"/>
        <w:rPr>
          <w:lang w:val="en-US"/>
        </w:rPr>
      </w:pPr>
    </w:p>
    <w:p w14:paraId="765EC6E3" w14:textId="77777777" w:rsidR="003A1494" w:rsidRPr="003A1494" w:rsidRDefault="003A1494" w:rsidP="003A1494">
      <w:pPr>
        <w:spacing w:after="0" w:line="240" w:lineRule="auto"/>
        <w:rPr>
          <w:b/>
          <w:bCs/>
          <w:lang w:val="en-US"/>
        </w:rPr>
      </w:pPr>
      <w:r w:rsidRPr="003A1494">
        <w:rPr>
          <w:b/>
          <w:bCs/>
          <w:lang w:val="en-US"/>
        </w:rPr>
        <w:t>Abstract (Journal Version)</w:t>
      </w:r>
    </w:p>
    <w:p w14:paraId="2D00E3FC" w14:textId="77777777" w:rsidR="003A1494" w:rsidRPr="003A1494" w:rsidRDefault="003A1494" w:rsidP="003A1494">
      <w:pPr>
        <w:spacing w:after="0" w:line="240" w:lineRule="auto"/>
        <w:rPr>
          <w:lang w:val="en-US"/>
        </w:rPr>
      </w:pPr>
      <w:r w:rsidRPr="003A1494">
        <w:rPr>
          <w:lang w:val="en-US"/>
        </w:rPr>
        <w:t>Students' psychological responses to AI are often characterized as uniform "trust" or "anxiety," yet the multidimensional nature of these constructs remains underexplored in STEM education. This study investigates the relationship between AI trust and multidimensional anxiety (Learning, Job Replacement, and Control/Misuse) among 88 Malaysian Physics students, while examining the moderating roles of AI usage frequency and gender. Using validated scales (AI-EdTech Trust Scale, AIAS), data were analyzed using repeated measures ANOVA, Welch's ANOVA, and independent samples t-tests. The results reveal a striking paradox: while students report high trust (M = 3.92), they exhibit a significant disparity in anxiety dimensions (</w:t>
      </w:r>
      <w:proofErr w:type="gramStart"/>
      <w:r w:rsidRPr="003A1494">
        <w:rPr>
          <w:lang w:val="en-US"/>
        </w:rPr>
        <w:t>F(</w:t>
      </w:r>
      <w:proofErr w:type="gramEnd"/>
      <w:r w:rsidRPr="003A1494">
        <w:rPr>
          <w:lang w:val="en-US"/>
        </w:rPr>
        <w:t>1.48, 129.00) = 55.7, p &lt; .001, η²p = .390). Learning Anxiety (M = 2.62) was significantly lower than both Job Replacement Anxiety (M = 3.59) and Control/Misuse Anxiety (M = 3.64, p &lt; .001 for both), with no difference between the latter two (p = .817). AI usage frequency significantly predicted higher trust (</w:t>
      </w:r>
      <w:proofErr w:type="gramStart"/>
      <w:r w:rsidRPr="003A1494">
        <w:rPr>
          <w:lang w:val="en-US"/>
        </w:rPr>
        <w:t>F(</w:t>
      </w:r>
      <w:proofErr w:type="gramEnd"/>
      <w:r w:rsidRPr="003A1494">
        <w:rPr>
          <w:lang w:val="en-US"/>
        </w:rPr>
        <w:t>3, 8.65) = 7.833, p = .008), while gender showed no moderating effects (all p &gt; .05). We term this the "Trust-Anxiety Paradox": students are confident in learning AI but deeply anxious about its societal consequences. The findings suggest that AI literacy initiatives must pivot from technical onboarding to addressing existential societal fears regarding job displacement and ethical misuse. Theoretical and practical implications for educational technology adoption are discussed.</w:t>
      </w:r>
    </w:p>
    <w:p w14:paraId="1636F538" w14:textId="77777777" w:rsidR="003A1494" w:rsidRPr="003A1494" w:rsidRDefault="003A1494" w:rsidP="003A1494">
      <w:pPr>
        <w:spacing w:after="0" w:line="240" w:lineRule="auto"/>
        <w:rPr>
          <w:lang w:val="en-US"/>
        </w:rPr>
      </w:pPr>
      <w:r w:rsidRPr="003A1494">
        <w:rPr>
          <w:b/>
          <w:bCs/>
          <w:lang w:val="en-US"/>
        </w:rPr>
        <w:t>Keywords:</w:t>
      </w:r>
      <w:r w:rsidRPr="003A1494">
        <w:rPr>
          <w:lang w:val="en-US"/>
        </w:rPr>
        <w:t> AI anxiety, trust in AI, STEM education, technology adoption, educational psychology</w:t>
      </w:r>
    </w:p>
    <w:p w14:paraId="556A216F" w14:textId="1A42B5C9" w:rsidR="003A1494" w:rsidRPr="003A1494" w:rsidRDefault="003A1494" w:rsidP="003A1494">
      <w:pPr>
        <w:spacing w:after="0" w:line="240" w:lineRule="auto"/>
        <w:rPr>
          <w:lang w:val="en-US"/>
        </w:rPr>
      </w:pPr>
    </w:p>
    <w:p w14:paraId="407622CE" w14:textId="77777777" w:rsidR="003A1494" w:rsidRDefault="003A1494" w:rsidP="003A1494">
      <w:pPr>
        <w:spacing w:after="0" w:line="240" w:lineRule="auto"/>
        <w:rPr>
          <w:b/>
          <w:bCs/>
          <w:lang w:val="en-US"/>
        </w:rPr>
      </w:pPr>
      <w:r>
        <w:rPr>
          <w:b/>
          <w:bCs/>
          <w:lang w:val="en-US"/>
        </w:rPr>
        <w:br w:type="page"/>
      </w:r>
    </w:p>
    <w:p w14:paraId="63919316" w14:textId="0C44A4E2" w:rsidR="003A1494" w:rsidRPr="003A1494" w:rsidRDefault="003A1494" w:rsidP="003A1494">
      <w:pPr>
        <w:spacing w:after="0" w:line="240" w:lineRule="auto"/>
        <w:rPr>
          <w:b/>
          <w:bCs/>
          <w:lang w:val="en-US"/>
        </w:rPr>
      </w:pPr>
      <w:r w:rsidRPr="003A1494">
        <w:rPr>
          <w:b/>
          <w:bCs/>
          <w:lang w:val="en-US"/>
        </w:rPr>
        <w:lastRenderedPageBreak/>
        <w:t>Journal Paper Structure (Detailed Outline)</w:t>
      </w:r>
    </w:p>
    <w:tbl>
      <w:tblPr>
        <w:tblW w:w="8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6803"/>
      </w:tblGrid>
      <w:tr w:rsidR="003A1494" w:rsidRPr="003A1494" w14:paraId="396FCF94" w14:textId="77777777" w:rsidTr="003A1494">
        <w:trPr>
          <w:tblHeader/>
        </w:trPr>
        <w:tc>
          <w:tcPr>
            <w:tcW w:w="0" w:type="auto"/>
            <w:tcMar>
              <w:top w:w="150" w:type="dxa"/>
              <w:left w:w="0" w:type="dxa"/>
              <w:bottom w:w="150" w:type="dxa"/>
              <w:right w:w="240" w:type="dxa"/>
            </w:tcMar>
            <w:vAlign w:val="center"/>
            <w:hideMark/>
          </w:tcPr>
          <w:p w14:paraId="62C4A52E" w14:textId="77777777" w:rsidR="003A1494" w:rsidRPr="003A1494" w:rsidRDefault="003A1494" w:rsidP="003A1494">
            <w:pPr>
              <w:spacing w:after="0" w:line="240" w:lineRule="auto"/>
              <w:rPr>
                <w:lang w:val="en-US"/>
              </w:rPr>
            </w:pPr>
            <w:r w:rsidRPr="003A1494">
              <w:rPr>
                <w:lang w:val="en-US"/>
              </w:rPr>
              <w:t>Section</w:t>
            </w:r>
          </w:p>
        </w:tc>
        <w:tc>
          <w:tcPr>
            <w:tcW w:w="6803" w:type="dxa"/>
            <w:tcMar>
              <w:top w:w="150" w:type="dxa"/>
              <w:left w:w="240" w:type="dxa"/>
              <w:bottom w:w="150" w:type="dxa"/>
              <w:right w:w="240" w:type="dxa"/>
            </w:tcMar>
            <w:vAlign w:val="center"/>
            <w:hideMark/>
          </w:tcPr>
          <w:p w14:paraId="2D01CF05" w14:textId="77777777" w:rsidR="003A1494" w:rsidRPr="003A1494" w:rsidRDefault="003A1494" w:rsidP="003A1494">
            <w:pPr>
              <w:spacing w:after="0" w:line="240" w:lineRule="auto"/>
              <w:rPr>
                <w:lang w:val="en-US"/>
              </w:rPr>
            </w:pPr>
            <w:r w:rsidRPr="003A1494">
              <w:rPr>
                <w:lang w:val="en-US"/>
              </w:rPr>
              <w:t>Content Focus</w:t>
            </w:r>
          </w:p>
        </w:tc>
      </w:tr>
      <w:tr w:rsidR="003A1494" w:rsidRPr="003A1494" w14:paraId="5C57B2CA" w14:textId="77777777" w:rsidTr="003A1494">
        <w:tc>
          <w:tcPr>
            <w:tcW w:w="0" w:type="auto"/>
            <w:tcMar>
              <w:top w:w="150" w:type="dxa"/>
              <w:left w:w="0" w:type="dxa"/>
              <w:bottom w:w="150" w:type="dxa"/>
              <w:right w:w="240" w:type="dxa"/>
            </w:tcMar>
            <w:vAlign w:val="center"/>
            <w:hideMark/>
          </w:tcPr>
          <w:p w14:paraId="117B35AA" w14:textId="77777777" w:rsidR="003A1494" w:rsidRPr="003A1494" w:rsidRDefault="003A1494" w:rsidP="003A1494">
            <w:pPr>
              <w:spacing w:after="0" w:line="240" w:lineRule="auto"/>
              <w:rPr>
                <w:lang w:val="en-US"/>
              </w:rPr>
            </w:pPr>
            <w:r w:rsidRPr="003A1494">
              <w:rPr>
                <w:b/>
                <w:bCs/>
                <w:lang w:val="en-US"/>
              </w:rPr>
              <w:t>1. Introduction</w:t>
            </w:r>
          </w:p>
        </w:tc>
        <w:tc>
          <w:tcPr>
            <w:tcW w:w="6803" w:type="dxa"/>
            <w:tcMar>
              <w:top w:w="150" w:type="dxa"/>
              <w:left w:w="240" w:type="dxa"/>
              <w:bottom w:w="150" w:type="dxa"/>
              <w:right w:w="0" w:type="dxa"/>
            </w:tcMar>
            <w:vAlign w:val="center"/>
            <w:hideMark/>
          </w:tcPr>
          <w:p w14:paraId="3EC66684" w14:textId="77777777" w:rsidR="003A1494" w:rsidRPr="003A1494" w:rsidRDefault="003A1494" w:rsidP="003A1494">
            <w:pPr>
              <w:spacing w:after="0" w:line="240" w:lineRule="auto"/>
              <w:rPr>
                <w:lang w:val="en-US"/>
              </w:rPr>
            </w:pPr>
            <w:r w:rsidRPr="003A1494">
              <w:rPr>
                <w:lang w:val="en-US"/>
              </w:rPr>
              <w:t>AI in STEM education; the gap between trust and anxiety; multidimensionality of AI anxiety; the "familiarity breeds trust" theory; the need to examine moderators like usage and gender.</w:t>
            </w:r>
          </w:p>
        </w:tc>
      </w:tr>
      <w:tr w:rsidR="003A1494" w:rsidRPr="003A1494" w14:paraId="1177CAAE" w14:textId="77777777" w:rsidTr="003A1494">
        <w:tc>
          <w:tcPr>
            <w:tcW w:w="0" w:type="auto"/>
            <w:tcMar>
              <w:top w:w="150" w:type="dxa"/>
              <w:left w:w="0" w:type="dxa"/>
              <w:bottom w:w="150" w:type="dxa"/>
              <w:right w:w="240" w:type="dxa"/>
            </w:tcMar>
            <w:vAlign w:val="center"/>
            <w:hideMark/>
          </w:tcPr>
          <w:p w14:paraId="2B72CB3F" w14:textId="77777777" w:rsidR="003A1494" w:rsidRPr="003A1494" w:rsidRDefault="003A1494" w:rsidP="003A1494">
            <w:pPr>
              <w:spacing w:after="0" w:line="240" w:lineRule="auto"/>
              <w:rPr>
                <w:lang w:val="en-US"/>
              </w:rPr>
            </w:pPr>
            <w:r w:rsidRPr="003A1494">
              <w:rPr>
                <w:b/>
                <w:bCs/>
                <w:lang w:val="en-US"/>
              </w:rPr>
              <w:t>2. Methodology</w:t>
            </w:r>
          </w:p>
        </w:tc>
        <w:tc>
          <w:tcPr>
            <w:tcW w:w="6803" w:type="dxa"/>
            <w:tcMar>
              <w:top w:w="150" w:type="dxa"/>
              <w:left w:w="240" w:type="dxa"/>
              <w:bottom w:w="150" w:type="dxa"/>
              <w:right w:w="0" w:type="dxa"/>
            </w:tcMar>
            <w:vAlign w:val="center"/>
            <w:hideMark/>
          </w:tcPr>
          <w:p w14:paraId="6DEBFDE2" w14:textId="77777777" w:rsidR="003A1494" w:rsidRPr="003A1494" w:rsidRDefault="003A1494" w:rsidP="003A1494">
            <w:pPr>
              <w:spacing w:after="0" w:line="240" w:lineRule="auto"/>
              <w:rPr>
                <w:lang w:val="en-US"/>
              </w:rPr>
            </w:pPr>
            <w:r w:rsidRPr="003A1494">
              <w:rPr>
                <w:lang w:val="en-US"/>
              </w:rPr>
              <w:t>Sample (N=88); Instruments (Trust Scale, AIAS - note that reliability was already established previously, cite the conference paper or briefly state α &gt; 0.90); Procedure; Analysis (Repeated Measures ANOVA, Welch's ANOVA, t-tests).</w:t>
            </w:r>
          </w:p>
        </w:tc>
      </w:tr>
      <w:tr w:rsidR="003A1494" w:rsidRPr="003A1494" w14:paraId="42ED2940" w14:textId="77777777" w:rsidTr="003A1494">
        <w:tc>
          <w:tcPr>
            <w:tcW w:w="0" w:type="auto"/>
            <w:tcMar>
              <w:top w:w="150" w:type="dxa"/>
              <w:left w:w="0" w:type="dxa"/>
              <w:bottom w:w="150" w:type="dxa"/>
              <w:right w:w="240" w:type="dxa"/>
            </w:tcMar>
            <w:vAlign w:val="center"/>
            <w:hideMark/>
          </w:tcPr>
          <w:p w14:paraId="3BA72730" w14:textId="77777777" w:rsidR="003A1494" w:rsidRPr="003A1494" w:rsidRDefault="003A1494" w:rsidP="003A1494">
            <w:pPr>
              <w:spacing w:after="0" w:line="240" w:lineRule="auto"/>
              <w:rPr>
                <w:lang w:val="en-US"/>
              </w:rPr>
            </w:pPr>
            <w:r w:rsidRPr="003A1494">
              <w:rPr>
                <w:b/>
                <w:bCs/>
                <w:lang w:val="en-US"/>
              </w:rPr>
              <w:t>3. Results</w:t>
            </w:r>
          </w:p>
        </w:tc>
        <w:tc>
          <w:tcPr>
            <w:tcW w:w="6803" w:type="dxa"/>
            <w:tcMar>
              <w:top w:w="150" w:type="dxa"/>
              <w:left w:w="240" w:type="dxa"/>
              <w:bottom w:w="150" w:type="dxa"/>
              <w:right w:w="0" w:type="dxa"/>
            </w:tcMar>
            <w:vAlign w:val="center"/>
            <w:hideMark/>
          </w:tcPr>
          <w:p w14:paraId="16973C33" w14:textId="77777777" w:rsidR="003A1494" w:rsidRPr="003A1494" w:rsidRDefault="003A1494" w:rsidP="003A1494">
            <w:pPr>
              <w:spacing w:after="0" w:line="240" w:lineRule="auto"/>
              <w:rPr>
                <w:lang w:val="en-US"/>
              </w:rPr>
            </w:pPr>
          </w:p>
        </w:tc>
      </w:tr>
      <w:tr w:rsidR="003A1494" w:rsidRPr="003A1494" w14:paraId="08A0A5D1" w14:textId="77777777" w:rsidTr="003A1494">
        <w:tc>
          <w:tcPr>
            <w:tcW w:w="0" w:type="auto"/>
            <w:tcMar>
              <w:top w:w="150" w:type="dxa"/>
              <w:left w:w="0" w:type="dxa"/>
              <w:bottom w:w="150" w:type="dxa"/>
              <w:right w:w="240" w:type="dxa"/>
            </w:tcMar>
            <w:vAlign w:val="center"/>
            <w:hideMark/>
          </w:tcPr>
          <w:p w14:paraId="1F5442FC" w14:textId="77777777" w:rsidR="003A1494" w:rsidRPr="003A1494" w:rsidRDefault="003A1494" w:rsidP="003A1494">
            <w:pPr>
              <w:spacing w:after="0" w:line="240" w:lineRule="auto"/>
              <w:rPr>
                <w:lang w:val="en-US"/>
              </w:rPr>
            </w:pPr>
            <w:r w:rsidRPr="003A1494">
              <w:rPr>
                <w:i/>
                <w:iCs/>
                <w:lang w:val="en-US"/>
              </w:rPr>
              <w:t>3.1 Descriptive</w:t>
            </w:r>
          </w:p>
        </w:tc>
        <w:tc>
          <w:tcPr>
            <w:tcW w:w="6803" w:type="dxa"/>
            <w:tcMar>
              <w:top w:w="150" w:type="dxa"/>
              <w:left w:w="240" w:type="dxa"/>
              <w:bottom w:w="150" w:type="dxa"/>
              <w:right w:w="0" w:type="dxa"/>
            </w:tcMar>
            <w:vAlign w:val="center"/>
            <w:hideMark/>
          </w:tcPr>
          <w:p w14:paraId="7E9A8300" w14:textId="77777777" w:rsidR="003A1494" w:rsidRPr="003A1494" w:rsidRDefault="003A1494" w:rsidP="003A1494">
            <w:pPr>
              <w:spacing w:after="0" w:line="240" w:lineRule="auto"/>
              <w:rPr>
                <w:lang w:val="en-US"/>
              </w:rPr>
            </w:pPr>
            <w:r w:rsidRPr="003A1494">
              <w:rPr>
                <w:lang w:val="en-US"/>
              </w:rPr>
              <w:t>Trust (M=3.92); Anxiety dimensions (Learning=2.62, Job=3.59, Control=3.64).</w:t>
            </w:r>
          </w:p>
        </w:tc>
      </w:tr>
      <w:tr w:rsidR="003A1494" w:rsidRPr="003A1494" w14:paraId="66FABAEF" w14:textId="77777777" w:rsidTr="003A1494">
        <w:tc>
          <w:tcPr>
            <w:tcW w:w="0" w:type="auto"/>
            <w:tcMar>
              <w:top w:w="150" w:type="dxa"/>
              <w:left w:w="0" w:type="dxa"/>
              <w:bottom w:w="150" w:type="dxa"/>
              <w:right w:w="240" w:type="dxa"/>
            </w:tcMar>
            <w:vAlign w:val="center"/>
            <w:hideMark/>
          </w:tcPr>
          <w:p w14:paraId="1605FE7F" w14:textId="77777777" w:rsidR="003A1494" w:rsidRPr="003A1494" w:rsidRDefault="003A1494" w:rsidP="003A1494">
            <w:pPr>
              <w:spacing w:after="0" w:line="240" w:lineRule="auto"/>
              <w:rPr>
                <w:lang w:val="en-US"/>
              </w:rPr>
            </w:pPr>
            <w:r w:rsidRPr="003A1494">
              <w:rPr>
                <w:i/>
                <w:iCs/>
                <w:lang w:val="en-US"/>
              </w:rPr>
              <w:t>3.2 The Paradox (ANOVA)</w:t>
            </w:r>
          </w:p>
        </w:tc>
        <w:tc>
          <w:tcPr>
            <w:tcW w:w="6803" w:type="dxa"/>
            <w:tcMar>
              <w:top w:w="150" w:type="dxa"/>
              <w:left w:w="240" w:type="dxa"/>
              <w:bottom w:w="150" w:type="dxa"/>
              <w:right w:w="0" w:type="dxa"/>
            </w:tcMar>
            <w:vAlign w:val="center"/>
            <w:hideMark/>
          </w:tcPr>
          <w:p w14:paraId="7F01111E" w14:textId="77777777" w:rsidR="003A1494" w:rsidRPr="003A1494" w:rsidRDefault="003A1494" w:rsidP="003A1494">
            <w:pPr>
              <w:spacing w:after="0" w:line="240" w:lineRule="auto"/>
              <w:rPr>
                <w:lang w:val="en-US"/>
              </w:rPr>
            </w:pPr>
            <w:r w:rsidRPr="003A1494">
              <w:rPr>
                <w:lang w:val="en-US"/>
              </w:rPr>
              <w:t xml:space="preserve">Mauchly's W = 0.651, p &lt; .001; Greenhouse-Geisser </w:t>
            </w:r>
            <w:proofErr w:type="gramStart"/>
            <w:r w:rsidRPr="003A1494">
              <w:rPr>
                <w:lang w:val="en-US"/>
              </w:rPr>
              <w:t>F(</w:t>
            </w:r>
            <w:proofErr w:type="gramEnd"/>
            <w:r w:rsidRPr="003A1494">
              <w:rPr>
                <w:lang w:val="en-US"/>
              </w:rPr>
              <w:t>1.48, 129) = 55.7, p &lt; .001, η²p = .390. Report pairwise comparisons (Learning &lt; Job/Control, p&lt;.001).</w:t>
            </w:r>
          </w:p>
        </w:tc>
      </w:tr>
      <w:tr w:rsidR="003A1494" w:rsidRPr="003A1494" w14:paraId="3C415A26" w14:textId="77777777" w:rsidTr="003A1494">
        <w:tc>
          <w:tcPr>
            <w:tcW w:w="0" w:type="auto"/>
            <w:tcMar>
              <w:top w:w="150" w:type="dxa"/>
              <w:left w:w="0" w:type="dxa"/>
              <w:bottom w:w="150" w:type="dxa"/>
              <w:right w:w="240" w:type="dxa"/>
            </w:tcMar>
            <w:vAlign w:val="center"/>
            <w:hideMark/>
          </w:tcPr>
          <w:p w14:paraId="3BE25996" w14:textId="77777777" w:rsidR="003A1494" w:rsidRPr="003A1494" w:rsidRDefault="003A1494" w:rsidP="003A1494">
            <w:pPr>
              <w:spacing w:after="0" w:line="240" w:lineRule="auto"/>
              <w:rPr>
                <w:lang w:val="en-US"/>
              </w:rPr>
            </w:pPr>
            <w:r w:rsidRPr="003A1494">
              <w:rPr>
                <w:i/>
                <w:iCs/>
                <w:lang w:val="en-US"/>
              </w:rPr>
              <w:t>3.3 Moderator: Usage</w:t>
            </w:r>
          </w:p>
        </w:tc>
        <w:tc>
          <w:tcPr>
            <w:tcW w:w="6803" w:type="dxa"/>
            <w:tcMar>
              <w:top w:w="150" w:type="dxa"/>
              <w:left w:w="240" w:type="dxa"/>
              <w:bottom w:w="150" w:type="dxa"/>
              <w:right w:w="0" w:type="dxa"/>
            </w:tcMar>
            <w:vAlign w:val="center"/>
            <w:hideMark/>
          </w:tcPr>
          <w:p w14:paraId="7593A582" w14:textId="77777777" w:rsidR="003A1494" w:rsidRPr="003A1494" w:rsidRDefault="003A1494" w:rsidP="003A1494">
            <w:pPr>
              <w:spacing w:after="0" w:line="240" w:lineRule="auto"/>
              <w:rPr>
                <w:lang w:val="en-US"/>
              </w:rPr>
            </w:pPr>
            <w:r w:rsidRPr="003A1494">
              <w:rPr>
                <w:lang w:val="en-US"/>
              </w:rPr>
              <w:t xml:space="preserve">Welch's ANOVA: Trust by Usage </w:t>
            </w:r>
            <w:proofErr w:type="gramStart"/>
            <w:r w:rsidRPr="003A1494">
              <w:rPr>
                <w:lang w:val="en-US"/>
              </w:rPr>
              <w:t>F(</w:t>
            </w:r>
            <w:proofErr w:type="gramEnd"/>
            <w:r w:rsidRPr="003A1494">
              <w:rPr>
                <w:lang w:val="en-US"/>
              </w:rPr>
              <w:t>3, 8.65) = 7.833, p = .008. Post-hoc: "Often" &amp; "Very Often" &gt; "Sometimes" (p&lt;.001).</w:t>
            </w:r>
          </w:p>
        </w:tc>
      </w:tr>
      <w:tr w:rsidR="003A1494" w:rsidRPr="003A1494" w14:paraId="705E4229" w14:textId="77777777" w:rsidTr="003A1494">
        <w:tc>
          <w:tcPr>
            <w:tcW w:w="0" w:type="auto"/>
            <w:tcMar>
              <w:top w:w="150" w:type="dxa"/>
              <w:left w:w="0" w:type="dxa"/>
              <w:bottom w:w="150" w:type="dxa"/>
              <w:right w:w="240" w:type="dxa"/>
            </w:tcMar>
            <w:vAlign w:val="center"/>
            <w:hideMark/>
          </w:tcPr>
          <w:p w14:paraId="322C2944" w14:textId="77777777" w:rsidR="003A1494" w:rsidRPr="003A1494" w:rsidRDefault="003A1494" w:rsidP="003A1494">
            <w:pPr>
              <w:spacing w:after="0" w:line="240" w:lineRule="auto"/>
              <w:rPr>
                <w:lang w:val="en-US"/>
              </w:rPr>
            </w:pPr>
            <w:r w:rsidRPr="003A1494">
              <w:rPr>
                <w:i/>
                <w:iCs/>
                <w:lang w:val="en-US"/>
              </w:rPr>
              <w:t>3.4 Moderator: Gender</w:t>
            </w:r>
          </w:p>
        </w:tc>
        <w:tc>
          <w:tcPr>
            <w:tcW w:w="6803" w:type="dxa"/>
            <w:tcMar>
              <w:top w:w="150" w:type="dxa"/>
              <w:left w:w="240" w:type="dxa"/>
              <w:bottom w:w="150" w:type="dxa"/>
              <w:right w:w="0" w:type="dxa"/>
            </w:tcMar>
            <w:vAlign w:val="center"/>
            <w:hideMark/>
          </w:tcPr>
          <w:p w14:paraId="6337D7CA" w14:textId="77777777" w:rsidR="003A1494" w:rsidRPr="003A1494" w:rsidRDefault="003A1494" w:rsidP="003A1494">
            <w:pPr>
              <w:spacing w:after="0" w:line="240" w:lineRule="auto"/>
              <w:rPr>
                <w:lang w:val="en-US"/>
              </w:rPr>
            </w:pPr>
            <w:r w:rsidRPr="003A1494">
              <w:rPr>
                <w:lang w:val="en-US"/>
              </w:rPr>
              <w:t>T-tests: All p &gt; .05, d &lt; 0.36.</w:t>
            </w:r>
          </w:p>
        </w:tc>
      </w:tr>
      <w:tr w:rsidR="003A1494" w:rsidRPr="003A1494" w14:paraId="2C151C48" w14:textId="77777777" w:rsidTr="003A1494">
        <w:tc>
          <w:tcPr>
            <w:tcW w:w="0" w:type="auto"/>
            <w:tcMar>
              <w:top w:w="150" w:type="dxa"/>
              <w:left w:w="0" w:type="dxa"/>
              <w:bottom w:w="150" w:type="dxa"/>
              <w:right w:w="240" w:type="dxa"/>
            </w:tcMar>
            <w:vAlign w:val="center"/>
            <w:hideMark/>
          </w:tcPr>
          <w:p w14:paraId="6B1D20AB" w14:textId="77777777" w:rsidR="003A1494" w:rsidRPr="003A1494" w:rsidRDefault="003A1494" w:rsidP="003A1494">
            <w:pPr>
              <w:spacing w:after="0" w:line="240" w:lineRule="auto"/>
              <w:rPr>
                <w:lang w:val="en-US"/>
              </w:rPr>
            </w:pPr>
            <w:r w:rsidRPr="003A1494">
              <w:rPr>
                <w:b/>
                <w:bCs/>
                <w:lang w:val="en-US"/>
              </w:rPr>
              <w:t>4. Discussion</w:t>
            </w:r>
          </w:p>
        </w:tc>
        <w:tc>
          <w:tcPr>
            <w:tcW w:w="6803" w:type="dxa"/>
            <w:tcMar>
              <w:top w:w="150" w:type="dxa"/>
              <w:left w:w="240" w:type="dxa"/>
              <w:bottom w:w="150" w:type="dxa"/>
              <w:right w:w="0" w:type="dxa"/>
            </w:tcMar>
            <w:vAlign w:val="center"/>
            <w:hideMark/>
          </w:tcPr>
          <w:p w14:paraId="577B3109" w14:textId="77777777" w:rsidR="003A1494" w:rsidRPr="003A1494" w:rsidRDefault="003A1494" w:rsidP="003A1494">
            <w:pPr>
              <w:spacing w:after="0" w:line="240" w:lineRule="auto"/>
              <w:rPr>
                <w:lang w:val="en-US"/>
              </w:rPr>
            </w:pPr>
            <w:r w:rsidRPr="003A1494">
              <w:rPr>
                <w:lang w:val="en-US"/>
              </w:rPr>
              <w:t>Introduce the "Trust-Anxiety Paradox"; explain why learning anxiety is low (digital natives); explain why job/control anxiety is high (media narratives, societal uncertainty); discuss why usage increases trust (familiarity) but not anxiety; discuss why gender doesn't matter (digital divide closing).</w:t>
            </w:r>
          </w:p>
        </w:tc>
      </w:tr>
      <w:tr w:rsidR="003A1494" w:rsidRPr="003A1494" w14:paraId="59D5E863" w14:textId="77777777" w:rsidTr="003A1494">
        <w:tc>
          <w:tcPr>
            <w:tcW w:w="0" w:type="auto"/>
            <w:tcMar>
              <w:top w:w="150" w:type="dxa"/>
              <w:left w:w="0" w:type="dxa"/>
              <w:bottom w:w="150" w:type="dxa"/>
              <w:right w:w="240" w:type="dxa"/>
            </w:tcMar>
            <w:vAlign w:val="center"/>
            <w:hideMark/>
          </w:tcPr>
          <w:p w14:paraId="40EAD338" w14:textId="77777777" w:rsidR="003A1494" w:rsidRPr="003A1494" w:rsidRDefault="003A1494" w:rsidP="003A1494">
            <w:pPr>
              <w:spacing w:after="0" w:line="240" w:lineRule="auto"/>
              <w:rPr>
                <w:lang w:val="en-US"/>
              </w:rPr>
            </w:pPr>
            <w:r w:rsidRPr="003A1494">
              <w:rPr>
                <w:b/>
                <w:bCs/>
                <w:lang w:val="en-US"/>
              </w:rPr>
              <w:t>5. Conclusion</w:t>
            </w:r>
          </w:p>
        </w:tc>
        <w:tc>
          <w:tcPr>
            <w:tcW w:w="6803" w:type="dxa"/>
            <w:tcMar>
              <w:top w:w="150" w:type="dxa"/>
              <w:left w:w="240" w:type="dxa"/>
              <w:bottom w:w="150" w:type="dxa"/>
              <w:right w:w="0" w:type="dxa"/>
            </w:tcMar>
            <w:vAlign w:val="center"/>
            <w:hideMark/>
          </w:tcPr>
          <w:p w14:paraId="0BB5D5C0" w14:textId="77777777" w:rsidR="003A1494" w:rsidRPr="003A1494" w:rsidRDefault="003A1494" w:rsidP="003A1494">
            <w:pPr>
              <w:spacing w:after="0" w:line="240" w:lineRule="auto"/>
              <w:rPr>
                <w:lang w:val="en-US"/>
              </w:rPr>
            </w:pPr>
            <w:r w:rsidRPr="003A1494">
              <w:rPr>
                <w:lang w:val="en-US"/>
              </w:rPr>
              <w:t>Limitations (N=88, single site); Implications (Educators must address job security and ethics, not just technical skills); Future Research (cross-cultural comparisons, longitudinal studies).</w:t>
            </w:r>
          </w:p>
        </w:tc>
      </w:tr>
    </w:tbl>
    <w:p w14:paraId="7E40FC4C" w14:textId="7FFB7B8E" w:rsidR="003A1494" w:rsidRDefault="003A1494" w:rsidP="003A1494">
      <w:pPr>
        <w:spacing w:after="0" w:line="240" w:lineRule="auto"/>
        <w:rPr>
          <w:lang w:val="en-US"/>
        </w:rPr>
      </w:pPr>
    </w:p>
    <w:p w14:paraId="760170DB" w14:textId="77777777" w:rsidR="003A1494" w:rsidRPr="003A1494" w:rsidRDefault="003A1494" w:rsidP="003A1494">
      <w:pPr>
        <w:spacing w:after="0" w:line="240" w:lineRule="auto"/>
        <w:rPr>
          <w:lang w:val="en-US"/>
        </w:rPr>
      </w:pPr>
    </w:p>
    <w:p w14:paraId="1E1BE3C0" w14:textId="77777777" w:rsidR="003A1494" w:rsidRPr="003A1494" w:rsidRDefault="003A1494" w:rsidP="003A1494">
      <w:pPr>
        <w:spacing w:after="0" w:line="240" w:lineRule="auto"/>
        <w:rPr>
          <w:b/>
          <w:bCs/>
          <w:lang w:val="en-US"/>
        </w:rPr>
      </w:pPr>
      <w:r w:rsidRPr="003A1494">
        <w:rPr>
          <w:b/>
          <w:bCs/>
          <w:lang w:val="en-US"/>
        </w:rPr>
        <w:t>The Key Differentiator for the Journal Paper</w:t>
      </w:r>
    </w:p>
    <w:p w14:paraId="2EFD0535" w14:textId="77777777" w:rsidR="003A1494" w:rsidRPr="003A1494" w:rsidRDefault="003A1494" w:rsidP="003A1494">
      <w:pPr>
        <w:spacing w:after="0" w:line="240" w:lineRule="auto"/>
        <w:rPr>
          <w:lang w:val="en-US"/>
        </w:rPr>
      </w:pPr>
      <w:r w:rsidRPr="003A1494">
        <w:rPr>
          <w:lang w:val="en-US"/>
        </w:rPr>
        <w:t>In this journal paper, </w:t>
      </w:r>
      <w:r w:rsidRPr="003A1494">
        <w:rPr>
          <w:b/>
          <w:bCs/>
          <w:lang w:val="en-US"/>
        </w:rPr>
        <w:t>do not</w:t>
      </w:r>
      <w:r w:rsidRPr="003A1494">
        <w:rPr>
          <w:lang w:val="en-US"/>
        </w:rPr>
        <w:t> spend more than 1 sentence on reliability. Just say: </w:t>
      </w:r>
      <w:r w:rsidRPr="003A1494">
        <w:rPr>
          <w:i/>
          <w:iCs/>
          <w:lang w:val="en-US"/>
        </w:rPr>
        <w:t>"The adapted scales demonstrated excellent reliability (α &gt; 0.90 for all subscales; see [Author, Conference, Year] for full validation)."</w:t>
      </w:r>
    </w:p>
    <w:p w14:paraId="3BBD8E88" w14:textId="77777777" w:rsidR="003A1494" w:rsidRPr="003A1494" w:rsidRDefault="003A1494" w:rsidP="003A1494">
      <w:pPr>
        <w:spacing w:after="0" w:line="240" w:lineRule="auto"/>
        <w:rPr>
          <w:lang w:val="en-US"/>
        </w:rPr>
      </w:pPr>
      <w:r w:rsidRPr="003A1494">
        <w:rPr>
          <w:b/>
          <w:bCs/>
          <w:lang w:val="en-US"/>
        </w:rPr>
        <w:t>Jump straight to the inferential statistics.</w:t>
      </w:r>
      <w:r w:rsidRPr="003A1494">
        <w:rPr>
          <w:lang w:val="en-US"/>
        </w:rPr>
        <w:t> The journal editor wants to see the </w:t>
      </w:r>
      <w:r w:rsidRPr="003A1494">
        <w:rPr>
          <w:i/>
          <w:iCs/>
          <w:lang w:val="en-US"/>
        </w:rPr>
        <w:t>F</w:t>
      </w:r>
      <w:r w:rsidRPr="003A1494">
        <w:rPr>
          <w:lang w:val="en-US"/>
        </w:rPr>
        <w:t> and *p* values, the effect sizes, and the theoretical interpretation. Give them the paradox immediately.</w:t>
      </w:r>
    </w:p>
    <w:p w14:paraId="48DF7C42" w14:textId="77777777" w:rsidR="007A7A9F" w:rsidRDefault="007A7A9F" w:rsidP="003A1494">
      <w:pPr>
        <w:spacing w:after="0" w:line="240" w:lineRule="auto"/>
      </w:pPr>
    </w:p>
    <w:sectPr w:rsidR="007A7A9F" w:rsidSect="008470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AC"/>
    <w:rsid w:val="00040527"/>
    <w:rsid w:val="0004130B"/>
    <w:rsid w:val="000960E9"/>
    <w:rsid w:val="00283CAC"/>
    <w:rsid w:val="002B2BF0"/>
    <w:rsid w:val="002C6B14"/>
    <w:rsid w:val="003A1494"/>
    <w:rsid w:val="00413051"/>
    <w:rsid w:val="005B6A18"/>
    <w:rsid w:val="00634BB7"/>
    <w:rsid w:val="00700AAF"/>
    <w:rsid w:val="007A7A9F"/>
    <w:rsid w:val="007B654F"/>
    <w:rsid w:val="008470BF"/>
    <w:rsid w:val="009D4164"/>
    <w:rsid w:val="00AC0E41"/>
    <w:rsid w:val="00B5751D"/>
    <w:rsid w:val="00B70B52"/>
    <w:rsid w:val="00B7349D"/>
    <w:rsid w:val="00BD13A6"/>
    <w:rsid w:val="00CC09BB"/>
    <w:rsid w:val="00CC68F8"/>
    <w:rsid w:val="00D70534"/>
    <w:rsid w:val="00DF18A2"/>
    <w:rsid w:val="00EE4754"/>
    <w:rsid w:val="00EE47DF"/>
    <w:rsid w:val="00F4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459E"/>
  <w15:chartTrackingRefBased/>
  <w15:docId w15:val="{887C30F2-F719-4558-9C55-6F26695C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BF0"/>
    <w:rPr>
      <w:rFonts w:ascii="Arial" w:hAnsi="Arial"/>
      <w:sz w:val="22"/>
      <w:lang w:val="en-GB"/>
    </w:rPr>
  </w:style>
  <w:style w:type="paragraph" w:styleId="Heading1">
    <w:name w:val="heading 1"/>
    <w:basedOn w:val="Normal"/>
    <w:next w:val="Normal"/>
    <w:link w:val="Heading1Char"/>
    <w:uiPriority w:val="9"/>
    <w:qFormat/>
    <w:rsid w:val="00283C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C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CA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CA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83CA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83C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3CA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3CA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3CA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CA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83CA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83CA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83CAC"/>
    <w:rPr>
      <w:rFonts w:eastAsiaTheme="majorEastAsia" w:cstheme="majorBidi"/>
      <w:i/>
      <w:iCs/>
      <w:color w:val="2F5496" w:themeColor="accent1" w:themeShade="BF"/>
      <w:sz w:val="22"/>
      <w:lang w:val="en-GB"/>
    </w:rPr>
  </w:style>
  <w:style w:type="character" w:customStyle="1" w:styleId="Heading5Char">
    <w:name w:val="Heading 5 Char"/>
    <w:basedOn w:val="DefaultParagraphFont"/>
    <w:link w:val="Heading5"/>
    <w:uiPriority w:val="9"/>
    <w:semiHidden/>
    <w:rsid w:val="00283CAC"/>
    <w:rPr>
      <w:rFonts w:eastAsiaTheme="majorEastAsia" w:cstheme="majorBidi"/>
      <w:color w:val="2F5496" w:themeColor="accent1" w:themeShade="BF"/>
      <w:sz w:val="22"/>
      <w:lang w:val="en-GB"/>
    </w:rPr>
  </w:style>
  <w:style w:type="character" w:customStyle="1" w:styleId="Heading6Char">
    <w:name w:val="Heading 6 Char"/>
    <w:basedOn w:val="DefaultParagraphFont"/>
    <w:link w:val="Heading6"/>
    <w:uiPriority w:val="9"/>
    <w:semiHidden/>
    <w:rsid w:val="00283CAC"/>
    <w:rPr>
      <w:rFonts w:eastAsiaTheme="majorEastAsia" w:cstheme="majorBidi"/>
      <w:i/>
      <w:iCs/>
      <w:color w:val="595959" w:themeColor="text1" w:themeTint="A6"/>
      <w:sz w:val="22"/>
      <w:lang w:val="en-GB"/>
    </w:rPr>
  </w:style>
  <w:style w:type="character" w:customStyle="1" w:styleId="Heading7Char">
    <w:name w:val="Heading 7 Char"/>
    <w:basedOn w:val="DefaultParagraphFont"/>
    <w:link w:val="Heading7"/>
    <w:uiPriority w:val="9"/>
    <w:semiHidden/>
    <w:rsid w:val="00283CAC"/>
    <w:rPr>
      <w:rFonts w:eastAsiaTheme="majorEastAsia" w:cstheme="majorBidi"/>
      <w:color w:val="595959" w:themeColor="text1" w:themeTint="A6"/>
      <w:sz w:val="22"/>
      <w:lang w:val="en-GB"/>
    </w:rPr>
  </w:style>
  <w:style w:type="character" w:customStyle="1" w:styleId="Heading8Char">
    <w:name w:val="Heading 8 Char"/>
    <w:basedOn w:val="DefaultParagraphFont"/>
    <w:link w:val="Heading8"/>
    <w:uiPriority w:val="9"/>
    <w:semiHidden/>
    <w:rsid w:val="00283CAC"/>
    <w:rPr>
      <w:rFonts w:eastAsiaTheme="majorEastAsia" w:cstheme="majorBidi"/>
      <w:i/>
      <w:iCs/>
      <w:color w:val="272727" w:themeColor="text1" w:themeTint="D8"/>
      <w:sz w:val="22"/>
      <w:lang w:val="en-GB"/>
    </w:rPr>
  </w:style>
  <w:style w:type="character" w:customStyle="1" w:styleId="Heading9Char">
    <w:name w:val="Heading 9 Char"/>
    <w:basedOn w:val="DefaultParagraphFont"/>
    <w:link w:val="Heading9"/>
    <w:uiPriority w:val="9"/>
    <w:semiHidden/>
    <w:rsid w:val="00283CAC"/>
    <w:rPr>
      <w:rFonts w:eastAsiaTheme="majorEastAsia" w:cstheme="majorBidi"/>
      <w:color w:val="272727" w:themeColor="text1" w:themeTint="D8"/>
      <w:sz w:val="22"/>
      <w:lang w:val="en-GB"/>
    </w:rPr>
  </w:style>
  <w:style w:type="paragraph" w:styleId="Title">
    <w:name w:val="Title"/>
    <w:basedOn w:val="Normal"/>
    <w:next w:val="Normal"/>
    <w:link w:val="TitleChar"/>
    <w:uiPriority w:val="10"/>
    <w:qFormat/>
    <w:rsid w:val="00283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CA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83C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CA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83CAC"/>
    <w:pPr>
      <w:spacing w:before="160"/>
      <w:jc w:val="center"/>
    </w:pPr>
    <w:rPr>
      <w:i/>
      <w:iCs/>
      <w:color w:val="404040" w:themeColor="text1" w:themeTint="BF"/>
    </w:rPr>
  </w:style>
  <w:style w:type="character" w:customStyle="1" w:styleId="QuoteChar">
    <w:name w:val="Quote Char"/>
    <w:basedOn w:val="DefaultParagraphFont"/>
    <w:link w:val="Quote"/>
    <w:uiPriority w:val="29"/>
    <w:rsid w:val="00283CAC"/>
    <w:rPr>
      <w:rFonts w:ascii="Arial" w:hAnsi="Arial"/>
      <w:i/>
      <w:iCs/>
      <w:color w:val="404040" w:themeColor="text1" w:themeTint="BF"/>
      <w:sz w:val="22"/>
      <w:lang w:val="en-GB"/>
    </w:rPr>
  </w:style>
  <w:style w:type="paragraph" w:styleId="ListParagraph">
    <w:name w:val="List Paragraph"/>
    <w:basedOn w:val="Normal"/>
    <w:uiPriority w:val="34"/>
    <w:qFormat/>
    <w:rsid w:val="00283CAC"/>
    <w:pPr>
      <w:ind w:left="720"/>
      <w:contextualSpacing/>
    </w:pPr>
  </w:style>
  <w:style w:type="character" w:styleId="IntenseEmphasis">
    <w:name w:val="Intense Emphasis"/>
    <w:basedOn w:val="DefaultParagraphFont"/>
    <w:uiPriority w:val="21"/>
    <w:qFormat/>
    <w:rsid w:val="00283CAC"/>
    <w:rPr>
      <w:i/>
      <w:iCs/>
      <w:color w:val="2F5496" w:themeColor="accent1" w:themeShade="BF"/>
    </w:rPr>
  </w:style>
  <w:style w:type="paragraph" w:styleId="IntenseQuote">
    <w:name w:val="Intense Quote"/>
    <w:basedOn w:val="Normal"/>
    <w:next w:val="Normal"/>
    <w:link w:val="IntenseQuoteChar"/>
    <w:uiPriority w:val="30"/>
    <w:qFormat/>
    <w:rsid w:val="00283C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CAC"/>
    <w:rPr>
      <w:rFonts w:ascii="Arial" w:hAnsi="Arial"/>
      <w:i/>
      <w:iCs/>
      <w:color w:val="2F5496" w:themeColor="accent1" w:themeShade="BF"/>
      <w:sz w:val="22"/>
      <w:lang w:val="en-GB"/>
    </w:rPr>
  </w:style>
  <w:style w:type="character" w:styleId="IntenseReference">
    <w:name w:val="Intense Reference"/>
    <w:basedOn w:val="DefaultParagraphFont"/>
    <w:uiPriority w:val="32"/>
    <w:qFormat/>
    <w:rsid w:val="00283C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958</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 R</dc:creator>
  <cp:keywords/>
  <dc:description/>
  <cp:lastModifiedBy>SHAFIQ R</cp:lastModifiedBy>
  <cp:revision>1</cp:revision>
  <dcterms:created xsi:type="dcterms:W3CDTF">2026-06-21T15:48:00Z</dcterms:created>
  <dcterms:modified xsi:type="dcterms:W3CDTF">2026-06-21T15:51:00Z</dcterms:modified>
</cp:coreProperties>
</file>