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40" w:lineRule="auto"/>
        <w:jc w:val="center"/>
      </w:pPr>
      <w:r>
        <w:rPr>
          <w:rFonts w:ascii="Arial" w:cs="Arial" w:eastAsia="Arial" w:hAnsi="Arial"/>
          <w:b/>
          <w:bCs/>
          <w:sz w:val="28"/>
          <w:szCs w:val="28"/>
        </w:rPr>
        <w:t xml:space="preserve">Validating AI Perception Scales and Establishing Baseline Attitudes Among Malaysian Physics Students</w:t>
      </w:r>
    </w:p>
    <w:p>
      <w:pPr>
        <w:spacing w:after="200" w:before="240" w:line="240" w:lineRule="auto"/>
        <w:jc w:val="center"/>
      </w:pPr>
      <w:r>
        <w:rPr>
          <w:rFonts w:ascii="Arial" w:cs="Arial" w:eastAsia="Arial" w:hAnsi="Arial"/>
          <w:b/>
          <w:bCs/>
          <w:sz w:val="20"/>
          <w:szCs w:val="20"/>
        </w:rPr>
        <w:t xml:space="preserve">ABSTRACT</w:t>
      </w:r>
    </w:p>
    <w:p>
      <w:pPr>
        <w:spacing w:after="200" w:line="240" w:lineRule="auto"/>
        <w:jc w:val="both"/>
      </w:pPr>
      <w:r>
        <w:rPr>
          <w:rFonts w:ascii="Arial" w:cs="Arial" w:eastAsia="Arial" w:hAnsi="Arial"/>
          <w:b w:val="false"/>
          <w:bCs w:val="false"/>
          <w:i w:val="false"/>
          <w:iCs w:val="false"/>
          <w:sz w:val="20"/>
          <w:szCs w:val="20"/>
        </w:rPr>
        <w:t xml:space="preserve">The growing presence of artificial intelligence (AI) tools such as ChatGPT and Gemini in science education has heightened the need for psychometrically sound instruments capable of capturing students’ psychological responses toward these technologies, particularly within Physics problem-solving contexts. This study evaluated the internal consistency of adapted versions of the Short GAAIS-10 and the AI-EdTech Trust Scale, and established baseline levels of attitude and trust toward AI among Malaysian matriculation Physics students. A quantitative cross-sectional survey was administered to 88 students (58% female) at a Sarawak Matriculation College, and responses were analyzed using Jamovi to compute Cronbach’s alpha, McDonald’s omega, and descriptive statistics. All three subscales demonstrated excellent internal consistency: Positive Attitude (α = .902, ω = .903), Negative Attitude (α = .825, ω = .828), and AI-EdTech Trust (α = .921, ω = .922). Descriptive analysis showed that students reported high positive attitudes toward AI (M = 4.08, SD = 0.69) and high trust in AI for supporting Physics learning (M = 3.92, SD = 0.69), alongside moderate negative attitude scores (M = 3.23, SD = 0.90). More than half of the respondents (56.8%) reported using AI “Often.” These findings confirm that the adapted instruments are reliable for assessing AI perceptions among Malaysian matriculation students and establish a positive baseline of digital readiness and receptivity toward AI integration in Physics education, providing a foundation for more complex psychological investigations in future research.</w:t>
      </w:r>
    </w:p>
    <w:p>
      <w:pPr>
        <w:spacing w:after="200" w:line="240" w:lineRule="auto"/>
        <w:jc w:val="both"/>
      </w:pPr>
      <w:r>
        <w:rPr>
          <w:rFonts w:ascii="Arial" w:cs="Arial" w:eastAsia="Arial" w:hAnsi="Arial"/>
          <w:b/>
          <w:bCs/>
          <w:i w:val="false"/>
          <w:iCs w:val="false"/>
          <w:sz w:val="20"/>
          <w:szCs w:val="20"/>
        </w:rPr>
        <w:t xml:space="preserve">Keywords: </w:t>
      </w:r>
      <w:r>
        <w:rPr>
          <w:rFonts w:ascii="Arial" w:cs="Arial" w:eastAsia="Arial" w:hAnsi="Arial"/>
          <w:b w:val="false"/>
          <w:bCs w:val="false"/>
          <w:i w:val="false"/>
          <w:iCs w:val="false"/>
          <w:sz w:val="20"/>
          <w:szCs w:val="20"/>
        </w:rPr>
        <w:t xml:space="preserve">Instrument Validation, AI Attitudes, Trust in AI, STEM Education, Malaysian Students</w:t>
      </w:r>
    </w:p>
    <w:p>
      <w:pPr>
        <w:spacing w:after="200" w:before="240" w:line="240" w:lineRule="auto"/>
        <w:jc w:val="center"/>
      </w:pPr>
      <w:r>
        <w:rPr>
          <w:rFonts w:ascii="Arial" w:cs="Arial" w:eastAsia="Arial" w:hAnsi="Arial"/>
          <w:b/>
          <w:bCs/>
          <w:sz w:val="20"/>
          <w:szCs w:val="20"/>
        </w:rPr>
        <w:t xml:space="preserve">INTRODUCTION</w:t>
      </w:r>
    </w:p>
    <w:p>
      <w:pPr>
        <w:spacing w:after="200" w:line="240" w:lineRule="auto"/>
        <w:jc w:val="both"/>
      </w:pPr>
      <w:r>
        <w:rPr>
          <w:rFonts w:ascii="Arial" w:cs="Arial" w:eastAsia="Arial" w:hAnsi="Arial"/>
          <w:b w:val="false"/>
          <w:bCs w:val="false"/>
          <w:i w:val="false"/>
          <w:iCs w:val="false"/>
          <w:sz w:val="20"/>
          <w:szCs w:val="20"/>
        </w:rPr>
        <w:t xml:space="preserve">Artificial intelligence (AI) tools such as ChatGPT and Gemini have become increasingly embedded in everyday learning, including Physics education, where they are used to explain concepts, generate practice problems, and support problem-solving. Empirical investigations of these tools in Physics contexts reveal a mixed picture. Dahlkemper et al. (2023) found that Physics students rated the linguistic quality of ChatGPT responses as comparable to expert solutions even when the underlying content was inaccurate, suggesting that students may be susceptible to an illusion of understanding when evaluating AI-generated explanations. Similarly, Sirnoorkar et al. (2024) showed that while AI-generated solutions to a Physics problem mimicked the structure and vocabulary of expert reasoning, they lacked the metacognitive awareness to recognize their own conceptual gaps, unlike a portion of the student participants in the same study. Kortemeyer (2023) further demonstrated that an AI agent could pass an introductory Physics course despite exhibiting beginner-level misconceptions and inconsistent problem-solving. Collectively, these findings indicate that Physics students must learn to calibrate their trust in AI tools rather than accept their outputs uncritically, which makes the measurement of students’ attitudes and trust toward AI an important precursor to understanding how these tools are actually used in Physics learning.</w:t>
      </w:r>
    </w:p>
    <w:p>
      <w:pPr>
        <w:spacing w:after="200" w:line="240" w:lineRule="auto"/>
        <w:jc w:val="both"/>
      </w:pPr>
      <w:r>
        <w:rPr>
          <w:rFonts w:ascii="Arial" w:cs="Arial" w:eastAsia="Arial" w:hAnsi="Arial"/>
          <w:b w:val="false"/>
          <w:bCs w:val="false"/>
          <w:i w:val="false"/>
          <w:iCs w:val="false"/>
          <w:sz w:val="20"/>
          <w:szCs w:val="20"/>
        </w:rPr>
        <w:t xml:space="preserve">Beyond the immediate accuracy of AI outputs, the psychological responses that students hold toward AI, namely their attitudes and trust, are recognized as central determinants of whether a technology is adopted and used effectively. Trust has been described as a multidimensional construct that depends on the type of task being performed and the nature of the technology being evaluated (Glikson &amp; Woolley, 2020). Within technology acceptance research, trust has consistently been shown to shape perceived usefulness and behavioral attitudes, which in turn predict intention to use AI tools (Choung et al., 2022). Extending this logic to a secondary-school setting, Wen et al. (2024) integrated the Unified Theory of Acceptance and Use of Technology with AI anxiety dimensions and found that anxiety-related concerns indirectly suppressed behavioral intention through their effect on core acceptance variables. These findings reinforce the view that attitude, trust, and anxiety are interrelated constructs that jointly determine whether students embrace or resist AI-supported learning, and that all three constructs warrant systematic measurement, beginning with attitude and trust before extending into a more complex examination of anxiety.</w:t>
      </w:r>
    </w:p>
    <w:p>
      <w:pPr>
        <w:spacing w:after="80" w:before="200" w:line="240" w:lineRule="auto"/>
        <w:jc w:val="left"/>
      </w:pPr>
      <w:r>
        <w:rPr>
          <w:rFonts w:ascii="Arial" w:cs="Arial" w:eastAsia="Arial" w:hAnsi="Arial"/>
          <w:b/>
          <w:bCs/>
          <w:sz w:val="20"/>
          <w:szCs w:val="20"/>
        </w:rPr>
        <w:t xml:space="preserve">Figure 1. Conceptual Framework Linking Attitude, Trust, and AI Adoption in Physics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808080" w:sz="6"/>
              <w:left w:val="dashed" w:color="808080" w:sz="6"/>
              <w:bottom w:val="dashed" w:color="808080" w:sz="6"/>
              <w:right w:val="dashed" w:color="808080" w:sz="6"/>
            </w:tcBorders>
            <w:shd w:fill="F2F2F2" w:val="clear"/>
            <w:tcMar>
              <w:top w:type="dxa" w:w="200"/>
              <w:left w:type="dxa" w:w="300"/>
              <w:bottom w:type="dxa" w:w="200"/>
              <w:right w:type="dxa" w:w="300"/>
            </w:tcMar>
            <w:vAlign w:val="center"/>
          </w:tcPr>
          <w:p>
            <w:pPr>
              <w:spacing w:after="80"/>
              <w:jc w:val="center"/>
            </w:pPr>
            <w:r>
              <w:rPr>
                <w:rFonts w:ascii="Arial" w:cs="Arial" w:eastAsia="Arial" w:hAnsi="Arial"/>
                <w:b/>
                <w:bCs/>
                <w:color w:val="595959"/>
                <w:sz w:val="20"/>
                <w:szCs w:val="20"/>
              </w:rPr>
              <w:t xml:space="preserve">[ Figure 1: PLACEHOLDER ]</w:t>
            </w:r>
          </w:p>
          <w:p>
            <w:pPr>
              <w:jc w:val="center"/>
            </w:pPr>
            <w:r>
              <w:rPr>
                <w:rFonts w:ascii="Arial" w:cs="Arial" w:eastAsia="Arial" w:hAnsi="Arial"/>
                <w:i/>
                <w:iCs/>
                <w:color w:val="595959"/>
                <w:sz w:val="20"/>
                <w:szCs w:val="20"/>
              </w:rPr>
              <w:t xml:space="preserve">Insert conceptual diagram here: arrows linking Positive Attitude and Negative Attitude (Short GAAIS-10) and AI-EdTech Trust to AI Adoption/Use Behavior, consistent with Choung et al. (2022) and Glikson and Woolley (2020).</w:t>
            </w:r>
          </w:p>
        </w:tc>
      </w:tr>
    </w:tbl>
    <w:p>
      <w:pPr>
        <w:spacing w:after="120"/>
      </w:pPr>
      <w:r>
        <w:rPr>
          <w:rFonts w:ascii="Arial" w:cs="Arial" w:eastAsia="Arial" w:hAnsi="Arial"/>
          <w:sz w:val="20"/>
          <w:szCs w:val="20"/>
        </w:rPr>
        <w:t xml:space="preserve"/>
      </w:r>
    </w:p>
    <w:p>
      <w:pPr>
        <w:spacing w:after="200" w:line="240" w:lineRule="auto"/>
        <w:jc w:val="both"/>
      </w:pPr>
      <w:r>
        <w:rPr>
          <w:rFonts w:ascii="Arial" w:cs="Arial" w:eastAsia="Arial" w:hAnsi="Arial"/>
          <w:b w:val="false"/>
          <w:bCs w:val="false"/>
          <w:i w:val="false"/>
          <w:iCs w:val="false"/>
          <w:sz w:val="20"/>
          <w:szCs w:val="20"/>
        </w:rPr>
        <w:t xml:space="preserve">Despite this body of research, validated instruments for measuring AI attitudes and trust remain scarce within the Malaysian education system, and almost no published work has focused specifically on matriculation-level Physics students. Dahri et al. (2024) examined ChatGPT acceptance among 300 Malaysian preservice teachers using an extended Technology Acceptance Model and found that trust significantly predicted attitude, which in turn predicted behavioral intention. While this study offers valuable insight into trust-attitude relationships within a Malaysian sample, its population of preservice teachers differs substantially from STEM matriculation students preparing for tertiary education in Physical Science and Life Science streams. This gap leaves Malaysian Physics educators without a validated, locally relevant tool for assessing how their students perceive and trust AI before designing instructional interventions that incorporate these technologies.</w:t>
      </w:r>
    </w:p>
    <w:p>
      <w:pPr>
        <w:spacing w:after="200" w:line="240" w:lineRule="auto"/>
        <w:jc w:val="both"/>
      </w:pPr>
      <w:r>
        <w:rPr>
          <w:rFonts w:ascii="Arial" w:cs="Arial" w:eastAsia="Arial" w:hAnsi="Arial"/>
          <w:b w:val="false"/>
          <w:bCs w:val="false"/>
          <w:i w:val="false"/>
          <w:iCs w:val="false"/>
          <w:sz w:val="20"/>
          <w:szCs w:val="20"/>
        </w:rPr>
        <w:t xml:space="preserve">This study therefore had three objectives: (1) to evaluate the internal consistency (reliability) of an adapted Short GAAIS-10 and an adapted AI-EdTech Trust Scale among Malaysian matriculation Physics students; (2) to identify the demographic profile and AI usage frequency of the respondents; and (3) to determine the level of positive attitudes, negative attitudes, and trust toward AI within this population.</w:t>
      </w:r>
    </w:p>
    <w:p>
      <w:pPr>
        <w:spacing w:after="200" w:before="240" w:line="240" w:lineRule="auto"/>
        <w:jc w:val="center"/>
      </w:pPr>
      <w:r>
        <w:rPr>
          <w:rFonts w:ascii="Arial" w:cs="Arial" w:eastAsia="Arial" w:hAnsi="Arial"/>
          <w:b/>
          <w:bCs/>
          <w:sz w:val="20"/>
          <w:szCs w:val="20"/>
        </w:rPr>
        <w:t xml:space="preserve">METHODOLOGY</w:t>
      </w:r>
    </w:p>
    <w:p>
      <w:pPr>
        <w:spacing w:after="200" w:line="240" w:lineRule="auto"/>
        <w:jc w:val="both"/>
      </w:pPr>
      <w:r>
        <w:rPr>
          <w:rFonts w:ascii="Arial" w:cs="Arial" w:eastAsia="Arial" w:hAnsi="Arial"/>
          <w:b w:val="false"/>
          <w:bCs w:val="false"/>
          <w:i w:val="false"/>
          <w:iCs w:val="false"/>
          <w:sz w:val="20"/>
          <w:szCs w:val="20"/>
        </w:rPr>
        <w:t xml:space="preserve">This study employed a quantitative, cross-sectional survey design to evaluate the psychometric properties of two adapted AI perception instruments and to establish baseline descriptive levels of attitude and trust among the target population.</w:t>
      </w:r>
    </w:p>
    <w:p>
      <w:pPr>
        <w:spacing w:after="200" w:line="240" w:lineRule="auto"/>
        <w:jc w:val="both"/>
      </w:pPr>
      <w:r>
        <w:rPr>
          <w:rFonts w:ascii="Arial" w:cs="Arial" w:eastAsia="Arial" w:hAnsi="Arial"/>
          <w:b w:val="false"/>
          <w:bCs w:val="false"/>
          <w:i w:val="false"/>
          <w:iCs w:val="false"/>
          <w:sz w:val="20"/>
          <w:szCs w:val="20"/>
        </w:rPr>
        <w:t xml:space="preserve">A convenience sample of 88 Physics students was recruited from a Sarawak Matriculation College. The sample consisted of 51 female students (58.0%) and 37 male students (42.0%). In terms of academic stream, 60 students (68.2%) were enrolled in the Life Science module and 28 students (31.8%) were enrolled in the Physical Science module. Regarding self-reported AI usage frequency, 50 students (56.8%) indicated that they used AI tools “Often,” 23 students (26.1%) indicated “Sometimes,” 12 students (13.6%) indicated “Very Often,” and 3 students (3.4%) indicated “Rarely.” The demographic profile of participants is presented in Table 1.</w:t>
      </w:r>
    </w:p>
    <w:p>
      <w:pPr>
        <w:spacing w:after="80" w:before="200" w:line="240" w:lineRule="auto"/>
        <w:jc w:val="left"/>
      </w:pPr>
      <w:r>
        <w:rPr>
          <w:rFonts w:ascii="Arial" w:cs="Arial" w:eastAsia="Arial" w:hAnsi="Arial"/>
          <w:b/>
          <w:bCs/>
          <w:sz w:val="20"/>
          <w:szCs w:val="20"/>
        </w:rPr>
        <w:t xml:space="preserve">Table 1. Demographic Profile of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rPr>
          <w:tblHeader/>
        </w:trPr>
        <w:tc>
          <w:tcPr>
            <w:tcW w:type="dxa" w:w="45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Characteristic</w:t>
            </w:r>
          </w:p>
        </w:tc>
        <w:tc>
          <w:tcPr>
            <w:tcW w:type="dxa" w:w="25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w:t>
            </w:r>
          </w:p>
        </w:tc>
        <w:tc>
          <w:tcPr>
            <w:tcW w:type="dxa" w:w="2026"/>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Gender: Female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51</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Gender: Male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37</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42.0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Module: Life Science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Module: Physical Science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28</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31.8</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Usage: Often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56.8</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Usage: Sometimes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26.1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Usage: Very Often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13.6</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Usage: Rarely</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3.4</w:t>
            </w:r>
          </w:p>
        </w:tc>
      </w:tr>
    </w:tbl>
    <w:p>
      <w:pPr>
        <w:spacing w:after="200" w:line="240" w:lineRule="auto"/>
        <w:jc w:val="left"/>
      </w:pPr>
      <w:r>
        <w:rPr>
          <w:rFonts w:ascii="Arial" w:cs="Arial" w:eastAsia="Arial" w:hAnsi="Arial"/>
          <w:b w:val="false"/>
          <w:bCs w:val="false"/>
          <w:i w:val="false"/>
          <w:iCs w:val="false"/>
          <w:sz w:val="20"/>
          <w:szCs w:val="20"/>
        </w:rPr>
        <w:t xml:space="preserve">Note. N = 88.</w:t>
      </w:r>
    </w:p>
    <w:p>
      <w:pPr>
        <w:spacing w:after="200" w:line="240" w:lineRule="auto"/>
        <w:jc w:val="both"/>
      </w:pPr>
      <w:r>
        <w:rPr>
          <w:rFonts w:ascii="Arial" w:cs="Arial" w:eastAsia="Arial" w:hAnsi="Arial"/>
          <w:b w:val="false"/>
          <w:bCs w:val="false"/>
          <w:i w:val="false"/>
          <w:iCs w:val="false"/>
          <w:sz w:val="20"/>
          <w:szCs w:val="20"/>
        </w:rPr>
        <w:t xml:space="preserve">Two instruments were adapted for this study using a domain contextualization approach, in which item wordings that referred to general life, work, or population contexts were systematically modified to refer specifically to Physics learning, on the grounds that face validity and ecological relevance are important for capturing accurate psychological responses from a subject-specific student population. For the Short GAAIS-10 (Schepman &amp; Rodway, 2026), all ten items from the original General Attitudes towards Artificial Intelligence Scale (Schepman &amp; Rodway, 2020) were retained; items in both the Positive and Negative subscales were modified by substituting general referents with Physics-specific equivalents, for example “in my daily life” was changed to “in my daily physics learning,” “in my own job” was changed to “in my own physics learning,” and “I think artificial intelligence is dangerous” was extended to “I think artificial intelligence is dangerous for authentic physics learning.” For the AI-EdTech Trust Scale (Nazaretsky et al., 2025), ten of the original 20 items were selected: six items from the Perceived Usefulness factor (C1 to C6) and four items from the Perceived Trust factor (C7 to C10); items from the Perceived Obstacles, Perceived Readiness, and behavioral intention factors were excluded because they measure antecedents or consequences of trust rather than trust itself, while the retained items were further modified by substituting subject-general language with Physics-specific terminology, for example “writing essays” was changed to “calculations” and “teachers” was changed to “my physics teacher.” Items B1 to B5 measured Positive Attitude toward AI, while items B6 to B10 measured Negative Attitude and were reverse scored prior to analysis such that higher scores on both subscales indicate more favorable or tolerant orientations toward AI; items C1 to C10 measured Trust in AI for Physics learning. All items used a 5-point Likert scale ranging from Strongly Disagree (1) to Strongly Agree (5).</w:t>
      </w:r>
    </w:p>
    <w:p>
      <w:pPr>
        <w:spacing w:after="200" w:line="240" w:lineRule="auto"/>
        <w:jc w:val="both"/>
      </w:pPr>
      <w:r>
        <w:rPr>
          <w:rFonts w:ascii="Arial" w:cs="Arial" w:eastAsia="Arial" w:hAnsi="Arial"/>
          <w:b w:val="false"/>
          <w:bCs w:val="false"/>
          <w:i w:val="false"/>
          <w:iCs w:val="false"/>
          <w:sz w:val="20"/>
          <w:szCs w:val="20"/>
        </w:rPr>
        <w:t xml:space="preserve">Data were collected online through a structured Google Forms questionnaire distributed to matriculation Physics students during [Month/Semester, Year]. All 88 questionnaires distributed were returned fully completed, representing a 100% response rate. Participation was voluntary, and students were informed of the purpose of the study prior to completing the survey.</w:t>
      </w:r>
    </w:p>
    <w:p>
      <w:pPr>
        <w:spacing w:after="200" w:line="240" w:lineRule="auto"/>
        <w:jc w:val="both"/>
      </w:pPr>
      <w:r>
        <w:rPr>
          <w:rFonts w:ascii="Arial" w:cs="Arial" w:eastAsia="Arial" w:hAnsi="Arial"/>
          <w:b w:val="false"/>
          <w:bCs w:val="false"/>
          <w:i w:val="false"/>
          <w:iCs w:val="false"/>
          <w:sz w:val="20"/>
          <w:szCs w:val="20"/>
        </w:rPr>
        <w:t xml:space="preserve">Data were analyzed using Jamovi. Internal consistency of each subscale was assessed using Cronbach’s alpha and McDonald’s omega, with coefficients above .70 considered indicative of acceptable reliability and coefficients above .90 considered excellent. Descriptive statistics, including means and standard deviations, were computed for each construct to establish baseline levels of attitude and trust.</w:t>
      </w:r>
    </w:p>
    <w:p>
      <w:pPr>
        <w:spacing w:after="80" w:before="200" w:line="240" w:lineRule="auto"/>
        <w:jc w:val="left"/>
      </w:pPr>
      <w:r>
        <w:rPr>
          <w:rFonts w:ascii="Arial" w:cs="Arial" w:eastAsia="Arial" w:hAnsi="Arial"/>
          <w:b/>
          <w:bCs/>
          <w:sz w:val="20"/>
          <w:szCs w:val="20"/>
        </w:rPr>
        <w:t xml:space="preserve">Figure 2. Research Procedure 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808080" w:sz="6"/>
              <w:left w:val="dashed" w:color="808080" w:sz="6"/>
              <w:bottom w:val="dashed" w:color="808080" w:sz="6"/>
              <w:right w:val="dashed" w:color="808080" w:sz="6"/>
            </w:tcBorders>
            <w:shd w:fill="F2F2F2" w:val="clear"/>
            <w:tcMar>
              <w:top w:type="dxa" w:w="200"/>
              <w:left w:type="dxa" w:w="300"/>
              <w:bottom w:type="dxa" w:w="200"/>
              <w:right w:type="dxa" w:w="300"/>
            </w:tcMar>
            <w:vAlign w:val="center"/>
          </w:tcPr>
          <w:p>
            <w:pPr>
              <w:spacing w:after="80"/>
              <w:jc w:val="center"/>
            </w:pPr>
            <w:r>
              <w:rPr>
                <w:rFonts w:ascii="Arial" w:cs="Arial" w:eastAsia="Arial" w:hAnsi="Arial"/>
                <w:b/>
                <w:bCs/>
                <w:color w:val="595959"/>
                <w:sz w:val="20"/>
                <w:szCs w:val="20"/>
              </w:rPr>
              <w:t xml:space="preserve">[ Figure 2: PLACEHOLDER ]</w:t>
            </w:r>
          </w:p>
          <w:p>
            <w:pPr>
              <w:jc w:val="center"/>
            </w:pPr>
            <w:r>
              <w:rPr>
                <w:rFonts w:ascii="Arial" w:cs="Arial" w:eastAsia="Arial" w:hAnsi="Arial"/>
                <w:i/>
                <w:iCs/>
                <w:color w:val="595959"/>
                <w:sz w:val="20"/>
                <w:szCs w:val="20"/>
              </w:rPr>
              <w:t xml:space="preserve">Insert flowchart here: Instrument Adaptation (Short GAAIS-10 + AI-EdTech Trust Scale) → Online Distribution via Google Forms → Data Screening → Jamovi Analysis (Reliability: α, ω; Descriptives: M, SD).</w:t>
            </w:r>
          </w:p>
        </w:tc>
      </w:tr>
    </w:tbl>
    <w:p>
      <w:pPr>
        <w:spacing w:after="120"/>
      </w:pPr>
      <w:r>
        <w:rPr>
          <w:rFonts w:ascii="Arial" w:cs="Arial" w:eastAsia="Arial" w:hAnsi="Arial"/>
          <w:sz w:val="20"/>
          <w:szCs w:val="20"/>
        </w:rPr>
        <w:t xml:space="preserve"/>
      </w:r>
    </w:p>
    <w:p>
      <w:pPr>
        <w:spacing w:after="200" w:before="240" w:line="240" w:lineRule="auto"/>
        <w:jc w:val="center"/>
      </w:pPr>
      <w:r>
        <w:rPr>
          <w:rFonts w:ascii="Arial" w:cs="Arial" w:eastAsia="Arial" w:hAnsi="Arial"/>
          <w:b/>
          <w:bCs/>
          <w:sz w:val="20"/>
          <w:szCs w:val="20"/>
        </w:rPr>
        <w:t xml:space="preserve">RESEARCH FINDINGS</w:t>
      </w:r>
    </w:p>
    <w:p>
      <w:pPr>
        <w:spacing w:after="200" w:line="240" w:lineRule="auto"/>
        <w:jc w:val="both"/>
      </w:pPr>
      <w:r>
        <w:rPr>
          <w:rFonts w:ascii="Arial" w:cs="Arial" w:eastAsia="Arial" w:hAnsi="Arial"/>
          <w:b w:val="false"/>
          <w:bCs w:val="false"/>
          <w:i w:val="false"/>
          <w:iCs w:val="false"/>
          <w:sz w:val="20"/>
          <w:szCs w:val="20"/>
        </w:rPr>
        <w:t xml:space="preserve">This section presents the findings in relation to the three research objectives: the reliability of the adapted instruments, the demographic and usage profile of respondents, and the baseline levels of attitude and trust toward AI.</w:t>
      </w:r>
    </w:p>
    <w:p>
      <w:pPr>
        <w:spacing w:after="200" w:line="240" w:lineRule="auto"/>
        <w:jc w:val="both"/>
      </w:pPr>
      <w:r>
        <w:rPr>
          <w:rFonts w:ascii="Arial" w:cs="Arial" w:eastAsia="Arial" w:hAnsi="Arial"/>
          <w:b w:val="false"/>
          <w:bCs w:val="false"/>
          <w:i w:val="false"/>
          <w:iCs w:val="false"/>
          <w:sz w:val="20"/>
          <w:szCs w:val="20"/>
        </w:rPr>
        <w:t xml:space="preserve">All three subscales demonstrated excellent internal consistency, with Cronbach’s alpha and McDonald’s omega coefficients exceeding the conventional .70 threshold for acceptable reliability and approaching or exceeding .90, indicating strong reliability for use within this population. The Positive Attitude subscale (5 items) achieved a Cronbach’s alpha of .902 and a McDonald’s omega of .903. The Negative Attitude subscale (5 items) achieved a Cronbach’s alpha of .825 and a McDonald’s omega of .828. The AI-EdTech Trust scale (10 items) achieved the highest reliability of the three subscales, with a Cronbach’s alpha of .921 and a McDonald’s omega of .922. These results are summarized in Table 2.</w:t>
      </w:r>
    </w:p>
    <w:p>
      <w:pPr>
        <w:spacing w:after="80" w:before="200" w:line="240" w:lineRule="auto"/>
        <w:jc w:val="left"/>
      </w:pPr>
      <w:r>
        <w:rPr>
          <w:rFonts w:ascii="Arial" w:cs="Arial" w:eastAsia="Arial" w:hAnsi="Arial"/>
          <w:b/>
          <w:bCs/>
          <w:sz w:val="20"/>
          <w:szCs w:val="20"/>
        </w:rPr>
        <w:t xml:space="preserve">Table 2. Reliability Analysis of Adapted Instruments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800"/>
        <w:gridCol w:w="1800"/>
        <w:gridCol w:w="1600"/>
      </w:tblGrid>
      <w:tr>
        <w:trPr>
          <w:tblHeader/>
        </w:trPr>
        <w:tc>
          <w:tcPr>
            <w:tcW w:type="dxa" w:w="3826"/>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Instrument/Subscale</w:t>
            </w:r>
          </w:p>
        </w:tc>
        <w:tc>
          <w:tcPr>
            <w:tcW w:type="dxa" w:w="18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Items</w:t>
            </w:r>
          </w:p>
        </w:tc>
        <w:tc>
          <w:tcPr>
            <w:tcW w:type="dxa" w:w="18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Cronbach’s α</w:t>
            </w:r>
          </w:p>
        </w:tc>
        <w:tc>
          <w:tcPr>
            <w:tcW w:type="dxa" w:w="16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McDonald’s ω</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Positive Attitude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.903</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Negative Attitude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.825</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.828</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AI-EdTech Trust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.921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.922</w:t>
            </w:r>
          </w:p>
        </w:tc>
      </w:tr>
    </w:tbl>
    <w:p>
      <w:pPr>
        <w:spacing w:after="80" w:before="200" w:line="240" w:lineRule="auto"/>
        <w:jc w:val="left"/>
      </w:pPr>
      <w:r>
        <w:rPr>
          <w:rFonts w:ascii="Arial" w:cs="Arial" w:eastAsia="Arial" w:hAnsi="Arial"/>
          <w:b/>
          <w:bCs/>
          <w:sz w:val="20"/>
          <w:szCs w:val="20"/>
        </w:rPr>
        <w:t xml:space="preserve">Figure 3. Cronbach’s Alpha and McDonald’s Omega by Subscale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808080" w:sz="6"/>
              <w:left w:val="dashed" w:color="808080" w:sz="6"/>
              <w:bottom w:val="dashed" w:color="808080" w:sz="6"/>
              <w:right w:val="dashed" w:color="808080" w:sz="6"/>
            </w:tcBorders>
            <w:shd w:fill="F2F2F2" w:val="clear"/>
            <w:tcMar>
              <w:top w:type="dxa" w:w="200"/>
              <w:left w:type="dxa" w:w="300"/>
              <w:bottom w:type="dxa" w:w="200"/>
              <w:right w:type="dxa" w:w="300"/>
            </w:tcMar>
            <w:vAlign w:val="center"/>
          </w:tcPr>
          <w:p>
            <w:pPr>
              <w:spacing w:after="80"/>
              <w:jc w:val="center"/>
            </w:pPr>
            <w:r>
              <w:rPr>
                <w:rFonts w:ascii="Arial" w:cs="Arial" w:eastAsia="Arial" w:hAnsi="Arial"/>
                <w:b/>
                <w:bCs/>
                <w:color w:val="595959"/>
                <w:sz w:val="20"/>
                <w:szCs w:val="20"/>
              </w:rPr>
              <w:t xml:space="preserve">[ Figure 3: PLACEHOLDER ]</w:t>
            </w:r>
          </w:p>
          <w:p>
            <w:pPr>
              <w:jc w:val="center"/>
            </w:pPr>
            <w:r>
              <w:rPr>
                <w:rFonts w:ascii="Arial" w:cs="Arial" w:eastAsia="Arial" w:hAnsi="Arial"/>
                <w:i/>
                <w:iCs/>
                <w:color w:val="595959"/>
                <w:sz w:val="20"/>
                <w:szCs w:val="20"/>
              </w:rPr>
              <w:t xml:space="preserve">Insert clustered bar chart here: three subscales (Positive Attitude, Negative Attitude, AI-EdTech Trust) on the x-axis, alpha and omega values (0-1 scale) on the y-axis, with a reference line at .70.</w:t>
            </w:r>
          </w:p>
        </w:tc>
      </w:tr>
    </w:tbl>
    <w:p>
      <w:pPr>
        <w:spacing w:after="120"/>
      </w:pPr>
      <w:r>
        <w:rPr>
          <w:rFonts w:ascii="Arial" w:cs="Arial" w:eastAsia="Arial" w:hAnsi="Arial"/>
          <w:sz w:val="20"/>
          <w:szCs w:val="20"/>
        </w:rPr>
        <w:t xml:space="preserve"/>
      </w:r>
    </w:p>
    <w:p>
      <w:pPr>
        <w:spacing w:after="200" w:line="240" w:lineRule="auto"/>
        <w:jc w:val="both"/>
      </w:pPr>
      <w:r>
        <w:rPr>
          <w:rFonts w:ascii="Arial" w:cs="Arial" w:eastAsia="Arial" w:hAnsi="Arial"/>
          <w:b w:val="false"/>
          <w:bCs w:val="false"/>
          <w:i w:val="false"/>
          <w:iCs w:val="false"/>
          <w:sz w:val="20"/>
          <w:szCs w:val="20"/>
        </w:rPr>
        <w:t xml:space="preserve">Descriptive analysis showed that students held high positive attitudes toward AI (M = 4.08, SD = 0.69) and reported high trust in AI as a tool for supporting Physics learning (M = 3.92, SD = 0.69). Scores on the Negative Attitude subscale were moderate (M = 3.23, SD = 0.90). This mean sits close to the scale midpoint of 3.0, which means it cannot be read unambiguously as indicating organized skepticism about AI risks; it may equally reflect a state of ambivalence in which students hold unresolved or mixed evaluations of the negative aspects of AI. These findings, summarized in Table 3, describe a broadly favorable but interpretively nuanced baseline orientation toward AI among this population.</w:t>
      </w:r>
    </w:p>
    <w:p>
      <w:pPr>
        <w:spacing w:after="80" w:before="200" w:line="240" w:lineRule="auto"/>
        <w:jc w:val="left"/>
      </w:pPr>
      <w:r>
        <w:rPr>
          <w:rFonts w:ascii="Arial" w:cs="Arial" w:eastAsia="Arial" w:hAnsi="Arial"/>
          <w:b/>
          <w:bCs/>
          <w:sz w:val="20"/>
          <w:szCs w:val="20"/>
        </w:rPr>
        <w:t xml:space="preserve">Table 3. Descriptive Statistics of Attitudes and Trust Toward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800"/>
        <w:gridCol w:w="1800"/>
        <w:gridCol w:w="1600"/>
      </w:tblGrid>
      <w:tr>
        <w:trPr>
          <w:tblHeader/>
        </w:trPr>
        <w:tc>
          <w:tcPr>
            <w:tcW w:type="dxa" w:w="3826"/>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Construct</w:t>
            </w:r>
          </w:p>
        </w:tc>
        <w:tc>
          <w:tcPr>
            <w:tcW w:type="dxa" w:w="18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w:t>
            </w:r>
          </w:p>
        </w:tc>
        <w:tc>
          <w:tcPr>
            <w:tcW w:type="dxa" w:w="18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SD</w:t>
            </w:r>
          </w:p>
        </w:tc>
        <w:tc>
          <w:tcPr>
            <w:tcW w:type="dxa" w:w="1600"/>
            <w:tcBorders>
              <w:top w:val="single" w:color="999999" w:sz="4"/>
              <w:left w:val="single" w:color="999999" w:sz="4"/>
              <w:bottom w:val="single" w:color="999999" w:sz="4"/>
              <w:right w:val="single" w:color="999999" w:sz="4"/>
            </w:tcBorders>
            <w:shd w:fill="E8EE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Interpretation</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Positive Attitude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4.08</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0.69</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Negative Attitude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0.90</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Moderate</w:t>
            </w:r>
          </w:p>
        </w:tc>
      </w:tr>
      <w:t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AI-EdTech Trust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0.69</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bl>
    <w:p>
      <w:pPr>
        <w:spacing w:after="80" w:before="200" w:line="240" w:lineRule="auto"/>
        <w:jc w:val="left"/>
      </w:pPr>
      <w:r>
        <w:rPr>
          <w:rFonts w:ascii="Arial" w:cs="Arial" w:eastAsia="Arial" w:hAnsi="Arial"/>
          <w:b/>
          <w:bCs/>
          <w:sz w:val="20"/>
          <w:szCs w:val="20"/>
        </w:rPr>
        <w:t xml:space="preserve">Figure 4. Mean Scores for Positive Attitude, Negative Attitude, and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808080" w:sz="6"/>
              <w:left w:val="dashed" w:color="808080" w:sz="6"/>
              <w:bottom w:val="dashed" w:color="808080" w:sz="6"/>
              <w:right w:val="dashed" w:color="808080" w:sz="6"/>
            </w:tcBorders>
            <w:shd w:fill="F2F2F2" w:val="clear"/>
            <w:tcMar>
              <w:top w:type="dxa" w:w="200"/>
              <w:left w:type="dxa" w:w="300"/>
              <w:bottom w:type="dxa" w:w="200"/>
              <w:right w:type="dxa" w:w="300"/>
            </w:tcMar>
            <w:vAlign w:val="center"/>
          </w:tcPr>
          <w:p>
            <w:pPr>
              <w:spacing w:after="80"/>
              <w:jc w:val="center"/>
            </w:pPr>
            <w:r>
              <w:rPr>
                <w:rFonts w:ascii="Arial" w:cs="Arial" w:eastAsia="Arial" w:hAnsi="Arial"/>
                <w:b/>
                <w:bCs/>
                <w:color w:val="595959"/>
                <w:sz w:val="20"/>
                <w:szCs w:val="20"/>
              </w:rPr>
              <w:t xml:space="preserve">[ Figure 4: PLACEHOLDER ]</w:t>
            </w:r>
          </w:p>
          <w:p>
            <w:pPr>
              <w:jc w:val="center"/>
            </w:pPr>
            <w:r>
              <w:rPr>
                <w:rFonts w:ascii="Arial" w:cs="Arial" w:eastAsia="Arial" w:hAnsi="Arial"/>
                <w:i/>
                <w:iCs/>
                <w:color w:val="595959"/>
                <w:sz w:val="20"/>
                <w:szCs w:val="20"/>
              </w:rPr>
              <w:t xml:space="preserve">Insert bar chart here: three constructs on the x-axis (Positive Attitude, Negative Attitude, AI-EdTech Trust), mean score (1-5 scale) on the y-axis, with error bars representing standard deviation.</w:t>
            </w:r>
          </w:p>
        </w:tc>
      </w:tr>
    </w:tbl>
    <w:p>
      <w:pPr>
        <w:spacing w:after="120"/>
      </w:pPr>
      <w:r>
        <w:rPr>
          <w:rFonts w:ascii="Arial" w:cs="Arial" w:eastAsia="Arial" w:hAnsi="Arial"/>
          <w:sz w:val="20"/>
          <w:szCs w:val="20"/>
        </w:rPr>
        <w:t xml:space="preserve"/>
      </w:r>
    </w:p>
    <w:p>
      <w:pPr>
        <w:spacing w:after="200" w:before="240" w:line="240" w:lineRule="auto"/>
        <w:jc w:val="center"/>
      </w:pPr>
      <w:r>
        <w:rPr>
          <w:rFonts w:ascii="Arial" w:cs="Arial" w:eastAsia="Arial" w:hAnsi="Arial"/>
          <w:b/>
          <w:bCs/>
          <w:sz w:val="20"/>
          <w:szCs w:val="20"/>
        </w:rPr>
        <w:t xml:space="preserve">DISCUSSION AND CONCLUSION</w:t>
      </w:r>
    </w:p>
    <w:p>
      <w:pPr>
        <w:spacing w:after="200" w:line="240" w:lineRule="auto"/>
        <w:jc w:val="both"/>
      </w:pPr>
      <w:r>
        <w:rPr>
          <w:rFonts w:ascii="Arial" w:cs="Arial" w:eastAsia="Arial" w:hAnsi="Arial"/>
          <w:b w:val="false"/>
          <w:bCs w:val="false"/>
          <w:i w:val="false"/>
          <w:iCs w:val="false"/>
          <w:sz w:val="20"/>
          <w:szCs w:val="20"/>
        </w:rPr>
        <w:t xml:space="preserve">The central finding of this study is not simply that students hold favorable attitudes toward AI or that the adapted instruments are reliable. Rather, when the pattern of results across all three constructs is considered together, alongside the instrument-level psychometric data and the usage frequency profile, a theoretically coherent picture emerges of what might be characterized as calibrated receptivity. This profile, comprising high positive attitude (M = 4.08), high trust (M = 3.92), and a moderate negative attitude (M = 3.23) whose meaning warrants careful interpretation, within a population of predominantly frequent users (56.8%) cannot be adequately understood by examining any one finding in isolation. The combination indicates that students in this sample have developed a working orientation toward AI that is simultaneously open and critical, receptive and cautious, and it is the co-occurrence of these dispositions, rather than any single mean score, that carries the most substantive implications for Physics education research and practice.</w:t>
      </w:r>
    </w:p>
    <w:p>
      <w:pPr>
        <w:spacing w:after="200" w:line="240" w:lineRule="auto"/>
        <w:jc w:val="both"/>
      </w:pPr>
      <w:r>
        <w:rPr>
          <w:rFonts w:ascii="Arial" w:cs="Arial" w:eastAsia="Arial" w:hAnsi="Arial"/>
          <w:b w:val="false"/>
          <w:bCs w:val="false"/>
          <w:i w:val="false"/>
          <w:iCs w:val="false"/>
          <w:sz w:val="20"/>
          <w:szCs w:val="20"/>
        </w:rPr>
        <w:t xml:space="preserve">The psychometric structure of the findings extends beyond confirming that the instruments are suitable for this population. The strong internal consistency of both the Positive Attitude subscale (α = .902) and the Negative Attitude subscale (α = .825) simultaneously confirms that these students hold organized, coherent attitudes in both directions at once, a pattern that Schepman and Rodway (2026) explicitly identified as a substantive feature of public AI attitudes rather than a measurement artifact. The ambivalence captured by the bidimensional structure of the Short GAAIS-10 is not ambiguity or indifference; it is a psychologically organized state in which positive and negative schemas about AI coexist and reinforce each other. The fact that both subscales achieve high reliability in a Malaysian matriculation Physics sample demonstrates that this attitudinal duality is not confined to the general adult populations of Western validation samples but generalizes to domain-specific STEM learners in a Southeast Asian educational context. Equally informative is the notably higher composite reliability of the AI-EdTech Trust Scale (α = .921) relative to the individual factor alphas (α = .74 and .66) reported in the original multi-course STEM validation by Nazaretsky et al. (2025). This convergence of usefulness- and trust-related perceptions into a more unified construct at the measurement level provides empirical support for the theoretical argument advanced by Glikson and Woolley (2020) that trust in AI is inherently task- and context-dependent. When items are framed specifically around Physics learning support rather than distributed across heterogeneous disciplinary contexts, students appear to activate a more coherent and integrated psychological schema of trust, a finding that has practical implications for how trust instruments should be adapted for subject-specific applications.</w:t>
      </w:r>
    </w:p>
    <w:p>
      <w:pPr>
        <w:spacing w:after="200" w:line="240" w:lineRule="auto"/>
        <w:jc w:val="both"/>
      </w:pPr>
      <w:r>
        <w:rPr>
          <w:rFonts w:ascii="Arial" w:cs="Arial" w:eastAsia="Arial" w:hAnsi="Arial"/>
          <w:b w:val="false"/>
          <w:bCs w:val="false"/>
          <w:i w:val="false"/>
          <w:iCs w:val="false"/>
          <w:sz w:val="20"/>
          <w:szCs w:val="20"/>
        </w:rPr>
        <w:t xml:space="preserve">The descriptive findings, read in combination with the usage frequency data, complicate a straightforward interpretation of the results as simply reflecting digital readiness or technology enthusiasm. If frequent AI use led primarily to comfort and lowered critical awareness, one would expect negative attitude scores to be low among students who use AI tools “Often.” Instead, the co-occurrence of high positive attitude, high trust, and moderate negative attitude in a sample dominated by frequent users is more consistent with the distinction Bewersdorff et al. (2025) draw between the affective and critical dimensions of AI-related experience: greater familiarity appears to be associated not only with higher confidence but also with a more complex appraisal of AI. This is an important finding, but what the moderate negative attitude score specifically represents requires careful consideration. A mean of 3.23 on a 5-point scale is close enough to the scale midpoint of 3.0 that it cannot be read with confidence as indicating organized skepticism about AI risks. It may represent mild but coherent critical awareness of over-reliance concerns, but it may equally reflect genuine ambivalence: students who associate AI positively with their learning experiences while holding simultaneously unresolved doubts about its risks, without having consolidated a clear negative evaluative position in either direction. Schepman and Rodway (2026) explicitly identified the co-existence of positive and negative AI orientations as a substantive feature of AI attitudes, and the present data are consistent with that characterization. The high internal consistency of the Negative Attitude subscale (α = .825, ω = .828) confirms that whatever students’ orientation is, it is structured and patterned rather than random; critically, however, internal consistency cannot distinguish between organized mild skepticism and organized ambivalence, and mean scores alone cannot resolve this interpretive question. Item-level analysis or qualitative follow-up with this population would be needed to determine whether students are consistently choosing near-neutral responses because they are genuinely uncertain, or because they endorse a mild but coherent critical view. Dahri et al. (2024) demonstrated within a Malaysian context that trust significantly predicts attitude, and the high scores on both constructs in the present study replicate that relationship directionally, while the moderate negative attitude scores indicate that high trust and positive attitude in this sample do not produce uncritical acceptance of AI, regardless of whether the underlying orientation is best described as cautious awareness or unresolved ambivalence. Henderson et al. (2025) similarly found that students rated AI-generated feedback as helpful but maintained greater trust in human teacher feedback for consequential academic judgments, a pattern that is consistent with both a calibrated and an ambivalent reading.</w:t>
      </w:r>
    </w:p>
    <w:p>
      <w:pPr>
        <w:spacing w:after="200" w:line="240" w:lineRule="auto"/>
        <w:jc w:val="both"/>
      </w:pPr>
      <w:r>
        <w:rPr>
          <w:rFonts w:ascii="Arial" w:cs="Arial" w:eastAsia="Arial" w:hAnsi="Arial"/>
          <w:b w:val="false"/>
          <w:bCs w:val="false"/>
          <w:i w:val="false"/>
          <w:iCs w:val="false"/>
          <w:sz w:val="20"/>
          <w:szCs w:val="20"/>
        </w:rPr>
        <w:t xml:space="preserve">Physics education provides a particularly meaningful context for examining these competing interpretations of the moderate negative attitude scores. The discipline carries distinctive epistemic norms: answers are demonstrably correct or incorrect, and reasoning processes can be evaluated against established physical principles. This means that students working with AI in Physics contexts have clearer criteria for detecting AI errors than students in more interpretive disciplines, yet they also face the risk that linguistically fluent AI outputs may obscure underlying conceptual errors. Dahlkemper et al. (2023) demonstrated precisely this vulnerability, finding that Physics students rated the linguistic quality of AI-generated explanations comparably to expert solutions even when the content was factually wrong, while Sirnoorkar et al. (2024) showed that only a subset of students applied the metacognitive strategies needed to identify gaps in AI-generated physical reasoning. These findings suggest one plausible reading of the moderate negative attitude scores: that Physics-specific experience with AI may cultivate a degree of calibrated skepticism about AI accuracy. However, they are equally consistent with the ambivalence interpretation, since students who have encountered AI errors in Physics may remain genuinely uncertain about how to evaluate AI tools overall rather than arriving at a settled critical stance. Both readings have direct consequences for how the present baseline should inform future research within technology acceptance frameworks. Wen et al. (2024) demonstrated that AI anxiety can suppress behavioral intention to use AI even when attitudinal variables are positive, suggesting that the relationship between favorable attitudes, trust, and actual AI use behavior is not automatic. The negative attitude construct identified here occupies a theoretically important intermediate position regardless of which interpretation is correct: it is too moderate to constitute rejection but sufficiently organized to function either as a psychologically adaptive buffer against over-reliance, or as unresolved ambivalence that could consolidate into anxiety-related concerns under conditions of increased AI dependence. Whether and how negative attitude connects to the anxiety constructs documented by Wang and Wang (2024) and Wen et al. (2024) in follow-up research is therefore not an optional extension of the present work but its logical next step, and one that the validated instruments and baseline values established in this study make tractable.</w:t>
      </w:r>
    </w:p>
    <w:p>
      <w:pPr>
        <w:spacing w:after="200" w:line="240" w:lineRule="auto"/>
        <w:jc w:val="both"/>
      </w:pPr>
      <w:r>
        <w:rPr>
          <w:rFonts w:ascii="Arial" w:cs="Arial" w:eastAsia="Arial" w:hAnsi="Arial"/>
          <w:b w:val="false"/>
          <w:bCs w:val="false"/>
          <w:i w:val="false"/>
          <w:iCs w:val="false"/>
          <w:sz w:val="20"/>
          <w:szCs w:val="20"/>
        </w:rPr>
        <w:t xml:space="preserve">This study achieved its three objectives: the adapted Short GAAIS-10 and AI-EdTech Trust Scale were confirmed as reliable instruments for Malaysian matriculation Physics students, the demographic and usage profile of the sample was established, and the baseline attitudinal and trust levels were determined. The broader contribution, however, lies in what the combined pattern of results implies. The profile of high positive attitude, high trust, and moderate negative attitude documented here suggests that effective AI integration in Physics education will require more than simply leveraging students’ existing favorable dispositions; it will require pedagogical attention to the nature of the psychological orientation underlying the moderate negative attitude score, since the distinction between organized skepticism and genuine ambivalence carries different implications for how AI literacy instruction should be designed. Future research should replicate this validation across multiple matriculation colleges and academic streams with larger and more diverse samples, extend the measurement framework to include AI anxiety as an additional construct, and investigate the structural relationships among positive attitude, negative attitude, trust, and anxiety to determine whether the moderate negative attitude observed here represents disciplinarily specific calibration, unresolved ambivalence, or an early marker of anxiety-related inhibition. These questions are now empirically addressable because of the validated instruments and baseline provided by this study. Its primary limitation remains the single-site design and moderate sample size (N = 88), which restrict the generalizability of the current findings and reinforce the priority of multi-site replication in future work.</w:t>
      </w:r>
    </w:p>
    <w:p>
      <w:pPr>
        <w:spacing w:after="200" w:before="240" w:line="240" w:lineRule="auto"/>
        <w:jc w:val="center"/>
      </w:pPr>
      <w:r>
        <w:rPr>
          <w:rFonts w:ascii="Arial" w:cs="Arial" w:eastAsia="Arial" w:hAnsi="Arial"/>
          <w:b/>
          <w:bCs/>
          <w:sz w:val="20"/>
          <w:szCs w:val="20"/>
        </w:rPr>
        <w:t xml:space="preserve">REFERENCES</w:t>
      </w:r>
    </w:p>
    <w:p>
      <w:pPr>
        <w:spacing w:after="160" w:line="240" w:lineRule="auto"/>
        <w:ind w:left="720" w:hanging="720"/>
        <w:jc w:val="left"/>
      </w:pPr>
      <w:r>
        <w:rPr>
          <w:rFonts w:ascii="Arial" w:cs="Arial" w:eastAsia="Arial" w:hAnsi="Arial"/>
          <w:sz w:val="20"/>
          <w:szCs w:val="20"/>
        </w:rPr>
        <w:t xml:space="preserve">Bewersdorff, A., Nerdel, C., &amp; Zhai, X. (2025). How AI literacy correlates with affective, behavioral, cognitive, and contextual variables: A systematic review. Computers and Education: Artificial Intelligence, 9, Article 100493. https://doi.org/10.1016/j.caeai.2025.100493</w:t>
      </w:r>
    </w:p>
    <w:p>
      <w:pPr>
        <w:spacing w:after="160" w:line="240" w:lineRule="auto"/>
        <w:ind w:left="720" w:hanging="720"/>
        <w:jc w:val="left"/>
      </w:pPr>
      <w:r>
        <w:rPr>
          <w:rFonts w:ascii="Arial" w:cs="Arial" w:eastAsia="Arial" w:hAnsi="Arial"/>
          <w:sz w:val="20"/>
          <w:szCs w:val="20"/>
        </w:rPr>
        <w:t xml:space="preserve">Choung, H., David, P., &amp; Ross, A. (2022). Trust in AI and its role in the acceptance of AI technologies. International Journal of Human–Computer Interaction, 39(9), 1727–1739. https://doi.org/10.1080/10447318.2022.2050543</w:t>
      </w:r>
    </w:p>
    <w:p>
      <w:pPr>
        <w:spacing w:after="160" w:line="240" w:lineRule="auto"/>
        <w:ind w:left="720" w:hanging="720"/>
        <w:jc w:val="left"/>
      </w:pPr>
      <w:r>
        <w:rPr>
          <w:rFonts w:ascii="Arial" w:cs="Arial" w:eastAsia="Arial" w:hAnsi="Arial"/>
          <w:sz w:val="20"/>
          <w:szCs w:val="20"/>
        </w:rPr>
        <w:t xml:space="preserve">Dahlkemper, M. N., Lahme, S. Z., &amp; Klein, P. (2023). How do physics students evaluate artificial intelligence responses on comprehension questions? A study on the perceived scientific accuracy and linguistic quality of ChatGPT. Physical Review Physics Education Research, 19(1), Article 010142. https://doi.org/10.1103/PhysRevPhysEducRes.19.010142</w:t>
      </w:r>
    </w:p>
    <w:p>
      <w:pPr>
        <w:spacing w:after="160" w:line="240" w:lineRule="auto"/>
        <w:ind w:left="720" w:hanging="720"/>
        <w:jc w:val="left"/>
      </w:pPr>
      <w:r>
        <w:rPr>
          <w:rFonts w:ascii="Arial" w:cs="Arial" w:eastAsia="Arial" w:hAnsi="Arial"/>
          <w:sz w:val="20"/>
          <w:szCs w:val="20"/>
        </w:rPr>
        <w:t xml:space="preserve">Dahri, N. A., Yahaya, N., Al-Rahmi, W. M., Aldraiweesh, A., Alturki, U., Almutairy, S., Shutaleva, A., &amp; Soomro, R. B. (2024). Extended TAM based acceptance of AI-powered ChatGPT for supporting metacognitive self-regulated learning in education: A mixed-methods study. Heliyon, 10(8), Article e29317. https://doi.org/10.1016/j.heliyon.2024.e29317</w:t>
      </w:r>
    </w:p>
    <w:p>
      <w:pPr>
        <w:spacing w:after="160" w:line="240" w:lineRule="auto"/>
        <w:ind w:left="720" w:hanging="720"/>
        <w:jc w:val="left"/>
      </w:pPr>
      <w:r>
        <w:rPr>
          <w:rFonts w:ascii="Arial" w:cs="Arial" w:eastAsia="Arial" w:hAnsi="Arial"/>
          <w:sz w:val="20"/>
          <w:szCs w:val="20"/>
        </w:rPr>
        <w:t xml:space="preserve">Glikson, E., &amp; Woolley, A. W. (2020). Human trust in artificial intelligence: Review of empirical research. Academy of Management Annals, 14(2), 627–660. https://doi.org/10.5465/annals.2018.0057</w:t>
      </w:r>
    </w:p>
    <w:p>
      <w:pPr>
        <w:spacing w:after="160" w:line="240" w:lineRule="auto"/>
        <w:ind w:left="720" w:hanging="720"/>
        <w:jc w:val="left"/>
      </w:pPr>
      <w:r>
        <w:rPr>
          <w:rFonts w:ascii="Arial" w:cs="Arial" w:eastAsia="Arial" w:hAnsi="Arial"/>
          <w:sz w:val="20"/>
          <w:szCs w:val="20"/>
        </w:rPr>
        <w:t xml:space="preserve">Henderson, M., Bearman, M., Chung, J., Fawns, T., Buckingham Shum, S., Matthews, K. E., &amp; de Mello Heredia, J. (2025). Comparing Generative AI and teacher feedback: Student perceptions of usefulness and trustworthiness. Assessment &amp; Evaluation in Higher Education. Advance online publication. https://doi.org/10.1080/02602938.2025.2502582</w:t>
      </w:r>
    </w:p>
    <w:p>
      <w:pPr>
        <w:spacing w:after="160" w:line="240" w:lineRule="auto"/>
        <w:ind w:left="720" w:hanging="720"/>
        <w:jc w:val="left"/>
      </w:pPr>
      <w:r>
        <w:rPr>
          <w:rFonts w:ascii="Arial" w:cs="Arial" w:eastAsia="Arial" w:hAnsi="Arial"/>
          <w:sz w:val="20"/>
          <w:szCs w:val="20"/>
        </w:rPr>
        <w:t xml:space="preserve">Kortemeyer, G. (2023). Could an artificial-intelligence agent pass an introductory physics course? Physical Review Physics Education Research, 19(1), Article 010132. https://doi.org/10.1103/PhysRevPhysEducRes.19.010132</w:t>
      </w:r>
    </w:p>
    <w:p>
      <w:pPr>
        <w:spacing w:after="160" w:line="240" w:lineRule="auto"/>
        <w:ind w:left="720" w:hanging="720"/>
        <w:jc w:val="left"/>
      </w:pPr>
      <w:r>
        <w:rPr>
          <w:rFonts w:ascii="Arial" w:cs="Arial" w:eastAsia="Arial" w:hAnsi="Arial"/>
          <w:sz w:val="20"/>
          <w:szCs w:val="20"/>
        </w:rPr>
        <w:t xml:space="preserve">Nazaretsky, T., Mejia-Domenzain, P., Swamy, V., Frej, J., &amp; Käser, T. (2025). The critical role of trust in adopting AI-powered educational technology for learning: An instrument for measuring student perceptions. Computers and Education: Artificial Intelligence, 8, Article 100368. https://doi.org/10.1016/j.caeai.2025.100368</w:t>
      </w:r>
    </w:p>
    <w:p>
      <w:pPr>
        <w:spacing w:after="160" w:line="240" w:lineRule="auto"/>
        <w:ind w:left="720" w:hanging="720"/>
        <w:jc w:val="left"/>
      </w:pPr>
      <w:r>
        <w:rPr>
          <w:rFonts w:ascii="Arial" w:cs="Arial" w:eastAsia="Arial" w:hAnsi="Arial"/>
          <w:sz w:val="20"/>
          <w:szCs w:val="20"/>
        </w:rPr>
        <w:t xml:space="preserve">Schepman, A., &amp; Rodway, P. (2020). Initial validation of the general attitudes towards Artificial Intelligence Scale. Computers in Human Behavior Reports, 1, Article 100014. https://doi.org/10.1016/j.chbr.2020.100014</w:t>
      </w:r>
    </w:p>
    <w:p>
      <w:pPr>
        <w:spacing w:after="160" w:line="240" w:lineRule="auto"/>
        <w:ind w:left="720" w:hanging="720"/>
        <w:jc w:val="left"/>
      </w:pPr>
      <w:r>
        <w:rPr>
          <w:rFonts w:ascii="Arial" w:cs="Arial" w:eastAsia="Arial" w:hAnsi="Arial"/>
          <w:sz w:val="20"/>
          <w:szCs w:val="20"/>
        </w:rPr>
        <w:t xml:space="preserve">Schepman, A., &amp; Rodway, P. (2026). Validation of the Short General Attitudes Towards Artificial Intelligence Scale: The Short GAAIS-10. International Journal of Human–Computer Interaction. Advance online publication. https://doi.org/10.1080/10447318.2025.2610446</w:t>
      </w:r>
    </w:p>
    <w:p>
      <w:pPr>
        <w:spacing w:after="160" w:line="240" w:lineRule="auto"/>
        <w:ind w:left="720" w:hanging="720"/>
        <w:jc w:val="left"/>
      </w:pPr>
      <w:r>
        <w:rPr>
          <w:rFonts w:ascii="Arial" w:cs="Arial" w:eastAsia="Arial" w:hAnsi="Arial"/>
          <w:sz w:val="20"/>
          <w:szCs w:val="20"/>
        </w:rPr>
        <w:t xml:space="preserve">Sirnoorkar, A., Zollman, D., Laverty, J. T., Magana, A. J., Rebello, S., &amp; Bryan, L. A. (2024). Student and AI responses to physics problems examined through the lenses of sensemaking and mechanistic reasoning. Computers and Education: Artificial Intelligence, 5, Article 100318. https://doi.org/10.1016/j.caeai.2024.100318</w:t>
      </w:r>
    </w:p>
    <w:p>
      <w:pPr>
        <w:spacing w:after="160" w:line="240" w:lineRule="auto"/>
        <w:ind w:left="720" w:hanging="720"/>
        <w:jc w:val="left"/>
      </w:pPr>
      <w:r>
        <w:rPr>
          <w:rFonts w:ascii="Arial" w:cs="Arial" w:eastAsia="Arial" w:hAnsi="Arial"/>
          <w:sz w:val="20"/>
          <w:szCs w:val="20"/>
        </w:rPr>
        <w:t xml:space="preserve">Wang, Y., &amp; Wang, H. (2024). Mediating effects of artificial intelligence on the relationship between academic engagement and mental health among Chinese college students. Frontiers in Psychology, 15, Article 1477470. https://doi.org/10.3389/fpsyg.2024.1477470</w:t>
      </w:r>
    </w:p>
    <w:p>
      <w:pPr>
        <w:spacing w:after="160" w:line="240" w:lineRule="auto"/>
        <w:ind w:left="720" w:hanging="720"/>
        <w:jc w:val="left"/>
      </w:pPr>
      <w:r>
        <w:rPr>
          <w:rFonts w:ascii="Arial" w:cs="Arial" w:eastAsia="Arial" w:hAnsi="Arial"/>
          <w:sz w:val="20"/>
          <w:szCs w:val="20"/>
        </w:rPr>
        <w:t xml:space="preserve">Wen, F., Li, Y., Zhou, Y., An, X., &amp; Zou, Q. (2024). A study on the relationship between AI anxiety and AI behavioral intention of secondary school students learning English as a foreign language. Journal of Educational Technology Development and Exchange, 17(1), Article 7.</w:t>
      </w:r>
    </w:p>
    <w:p>
      <w:pPr>
        <w:spacing w:after="160" w:line="240" w:lineRule="auto"/>
        <w:ind w:left="720" w:hanging="720"/>
        <w:jc w:val="left"/>
      </w:pPr>
      <w:r>
        <w:rPr>
          <w:rFonts w:ascii="Arial" w:cs="Arial" w:eastAsia="Arial" w:hAnsi="Arial"/>
          <w:sz w:val="20"/>
          <w:szCs w:val="20"/>
        </w:rPr>
        <w:t xml:space="preserve">Yotov, K., Gaftandzhieva, S., Hadzhikolev, E., Hadzhikoleva, S., &amp; Gorgorova, M. (2026). AI in education through the learners’ eyes: Practical experience, perceptions, and challenges. Frontiers in Education, 11, Article 1717886. https://doi.org/10.3389/feduc.2026.1717886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2026-06-22T06:27:31.782Z</dcterms:created>
  <dcterms:modified xsi:type="dcterms:W3CDTF">2026-06-22T06:27:31.794Z</dcterms:modified>
</cp:coreProperties>
</file>

<file path=docProps/custom.xml><?xml version="1.0" encoding="utf-8"?>
<Properties xmlns="http://schemas.openxmlformats.org/officeDocument/2006/custom-properties" xmlns:vt="http://schemas.openxmlformats.org/officeDocument/2006/docPropsVTypes"/>
</file>