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Pr="001224BE" w:rsidRDefault="00460DA3" w:rsidP="001224BE">
      <w:pPr>
        <w:spacing w:after="0"/>
        <w:jc w:val="center"/>
        <w:rPr>
          <w:b/>
          <w:bCs/>
          <w:sz w:val="24"/>
          <w:szCs w:val="32"/>
        </w:rPr>
      </w:pPr>
      <w:r w:rsidRPr="001224BE">
        <w:rPr>
          <w:b/>
          <w:bCs/>
          <w:sz w:val="24"/>
          <w:szCs w:val="32"/>
        </w:rPr>
        <w:t>Some Biomechanical Aspects Regarding the Salah of a Muslim</w:t>
      </w:r>
    </w:p>
    <w:p w:rsidR="00735362" w:rsidRPr="00460DA3" w:rsidRDefault="00460DA3" w:rsidP="006E0A3B">
      <w:pPr>
        <w:spacing w:after="0"/>
        <w:jc w:val="both"/>
        <w:rPr>
          <w:b/>
          <w:bCs/>
        </w:rPr>
      </w:pPr>
      <w:r w:rsidRPr="00460DA3">
        <w:rPr>
          <w:b/>
          <w:bCs/>
        </w:rPr>
        <w:t xml:space="preserve">Part 1: </w:t>
      </w:r>
      <w:r w:rsidR="007D5835" w:rsidRPr="00460DA3">
        <w:rPr>
          <w:b/>
          <w:bCs/>
        </w:rPr>
        <w:t>Standing (Qiyam)</w:t>
      </w:r>
    </w:p>
    <w:p w:rsidR="007D5835" w:rsidRDefault="00F05BE9" w:rsidP="006E0A3B">
      <w:pPr>
        <w:spacing w:after="0"/>
        <w:jc w:val="both"/>
      </w:pPr>
      <w:r>
        <w:rPr>
          <w:noProof/>
        </w:rPr>
        <w:drawing>
          <wp:inline distT="0" distB="0" distL="0" distR="0">
            <wp:extent cx="2838450" cy="1609725"/>
            <wp:effectExtent l="0" t="0" r="0" b="9525"/>
            <wp:docPr id="2054039461" name="Picture 1" descr="Posisi kaki ketika berdiri tegak... - Kisah Zakat Malays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si kaki ketika berdiri tegak... - Kisah Zakat Malaysi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p>
    <w:p w:rsidR="00F05BE9" w:rsidRDefault="00F05BE9" w:rsidP="006E0A3B">
      <w:pPr>
        <w:spacing w:after="0" w:line="240" w:lineRule="auto"/>
        <w:jc w:val="both"/>
      </w:pPr>
      <w:r>
        <w:t xml:space="preserve">But why? Why is this the recommended position? </w:t>
      </w:r>
    </w:p>
    <w:p w:rsidR="00527A9E" w:rsidRDefault="00527A9E" w:rsidP="006E0A3B">
      <w:pPr>
        <w:spacing w:after="0" w:line="240" w:lineRule="auto"/>
        <w:jc w:val="both"/>
      </w:pPr>
      <w:r>
        <w:t xml:space="preserve">When you twist and have your feet in “V” position, it </w:t>
      </w:r>
      <w:r w:rsidR="00460C93">
        <w:t>increases</w:t>
      </w:r>
      <w:r>
        <w:t xml:space="preserve"> torque</w:t>
      </w:r>
      <w:r w:rsidR="00460C93">
        <w:t xml:space="preserve"> (torsion)</w:t>
      </w:r>
      <w:r>
        <w:t xml:space="preserve"> on your knees. </w:t>
      </w:r>
    </w:p>
    <w:p w:rsidR="00545248" w:rsidRDefault="00545248" w:rsidP="006E0A3B">
      <w:pPr>
        <w:spacing w:after="0" w:line="240" w:lineRule="auto"/>
        <w:jc w:val="both"/>
      </w:pPr>
    </w:p>
    <w:p w:rsidR="00527A9E" w:rsidRPr="00527A9E" w:rsidRDefault="00527A9E" w:rsidP="006E0A3B">
      <w:pPr>
        <w:spacing w:after="0" w:line="240" w:lineRule="auto"/>
        <w:jc w:val="both"/>
      </w:pPr>
      <w:r w:rsidRPr="00527A9E">
        <w:t>Step 1: Identify the Forces</w:t>
      </w:r>
    </w:p>
    <w:p w:rsidR="00527A9E" w:rsidRPr="00527A9E" w:rsidRDefault="00527A9E" w:rsidP="006E0A3B">
      <w:pPr>
        <w:spacing w:after="0" w:line="240" w:lineRule="auto"/>
        <w:jc w:val="both"/>
      </w:pPr>
      <w:r w:rsidRPr="00527A9E">
        <w:t>The primary force acting on the body in the Qiyam position is body weight (gravitational force). This force is represented as:</w:t>
      </w:r>
    </w:p>
    <w:p w:rsidR="00527A9E" w:rsidRPr="00527A9E" w:rsidRDefault="001224BE" w:rsidP="006E0A3B">
      <w:pPr>
        <w:spacing w:after="0" w:line="240" w:lineRule="auto"/>
        <w:jc w:val="both"/>
        <w:rPr>
          <w:rFonts w:eastAsiaTheme="minorEastAsia"/>
        </w:rPr>
      </w:pPr>
      <m:oMathPara>
        <m:oMath>
          <m:r>
            <w:rPr>
              <w:rFonts w:ascii="Cambria Math" w:hAnsi="Cambria Math"/>
            </w:rPr>
            <m:t xml:space="preserve">F = m </m:t>
          </m:r>
          <m:r>
            <m:rPr>
              <m:sty m:val="p"/>
            </m:rPr>
            <w:rPr>
              <w:rFonts w:ascii="Cambria Math" w:hAnsi="Cambria Math"/>
            </w:rPr>
            <m:t>⋅</m:t>
          </m:r>
          <m:r>
            <w:rPr>
              <w:rFonts w:ascii="Cambria Math" w:hAnsi="Cambria Math"/>
            </w:rPr>
            <m:t>g</m:t>
          </m:r>
        </m:oMath>
      </m:oMathPara>
    </w:p>
    <w:p w:rsidR="00527A9E" w:rsidRPr="00527A9E" w:rsidRDefault="00527A9E" w:rsidP="006E0A3B">
      <w:pPr>
        <w:spacing w:after="0" w:line="240" w:lineRule="auto"/>
        <w:jc w:val="both"/>
      </w:pPr>
      <w:r w:rsidRPr="00527A9E">
        <w:t>Where:</w:t>
      </w:r>
    </w:p>
    <w:p w:rsidR="00527A9E" w:rsidRPr="00527A9E" w:rsidRDefault="00527A9E" w:rsidP="006E0A3B">
      <w:pPr>
        <w:numPr>
          <w:ilvl w:val="0"/>
          <w:numId w:val="1"/>
        </w:numPr>
        <w:spacing w:after="0" w:line="240" w:lineRule="auto"/>
        <w:jc w:val="both"/>
      </w:pPr>
      <w:r w:rsidRPr="00527A9E">
        <w:t>m = body mass (in kg)</w:t>
      </w:r>
    </w:p>
    <w:p w:rsidR="00527A9E" w:rsidRPr="001224BE" w:rsidRDefault="00527A9E" w:rsidP="006E0A3B">
      <w:pPr>
        <w:numPr>
          <w:ilvl w:val="0"/>
          <w:numId w:val="1"/>
        </w:numPr>
        <w:spacing w:after="0" w:line="240" w:lineRule="auto"/>
        <w:jc w:val="both"/>
        <w:rPr>
          <w:rFonts w:eastAsiaTheme="minorEastAsia"/>
        </w:rPr>
      </w:pPr>
      <w:r w:rsidRPr="00527A9E">
        <w:t>g</w:t>
      </w:r>
      <w:r w:rsidRPr="001224BE">
        <w:t xml:space="preserve"> </w:t>
      </w:r>
      <w:r w:rsidRPr="00527A9E">
        <w:t>= acceleration due to gravity (</w:t>
      </w:r>
      <m:oMath>
        <m:r>
          <w:rPr>
            <w:rFonts w:ascii="Cambria Math" w:hAnsi="Cambria Math"/>
          </w:rPr>
          <m:t>9.81m</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527A9E">
        <w:t>)</w:t>
      </w:r>
    </w:p>
    <w:p w:rsidR="00545248" w:rsidRPr="00527A9E" w:rsidRDefault="00545248" w:rsidP="006E0A3B">
      <w:pPr>
        <w:spacing w:after="0" w:line="240" w:lineRule="auto"/>
        <w:ind w:left="720"/>
        <w:jc w:val="both"/>
        <w:rPr>
          <w:rFonts w:eastAsiaTheme="minorEastAsia"/>
        </w:rPr>
      </w:pPr>
    </w:p>
    <w:p w:rsidR="00E056D4" w:rsidRDefault="00527A9E" w:rsidP="0064717D">
      <w:pPr>
        <w:spacing w:after="0" w:line="240" w:lineRule="auto"/>
        <w:jc w:val="both"/>
      </w:pPr>
      <w:r w:rsidRPr="00527A9E">
        <w:t xml:space="preserve">Step 2: </w:t>
      </w:r>
      <w:r w:rsidR="0064717D" w:rsidRPr="0064717D">
        <w:t>Moment Arm (r) Calculation Based on the Knee-Toe Angle</w:t>
      </w:r>
    </w:p>
    <w:p w:rsidR="0064717D" w:rsidRDefault="0064717D" w:rsidP="0064717D">
      <w:pPr>
        <w:spacing w:after="0" w:line="240" w:lineRule="auto"/>
        <w:jc w:val="both"/>
      </w:pPr>
      <w:r>
        <w:t>T</w:t>
      </w:r>
      <w:r w:rsidRPr="0064717D">
        <w:t xml:space="preserve">he </w:t>
      </w:r>
      <w:r w:rsidRPr="0064717D">
        <w:rPr>
          <w:b/>
          <w:bCs/>
        </w:rPr>
        <w:t>moment arm</w:t>
      </w:r>
      <w:r w:rsidRPr="0064717D">
        <w:t xml:space="preserve"> can be determined by considering the geometry of the leg and the angle between the knee and the toes. If the knee is flexed at an angle θ (between the knee and the toes), the </w:t>
      </w:r>
      <w:r w:rsidRPr="0064717D">
        <w:rPr>
          <w:b/>
          <w:bCs/>
        </w:rPr>
        <w:t>moment arm</w:t>
      </w:r>
      <w:r w:rsidRPr="0064717D">
        <w:t xml:space="preserve"> can be expressed as:</w:t>
      </w:r>
    </w:p>
    <w:p w:rsidR="0064717D" w:rsidRPr="0064717D" w:rsidRDefault="0064717D" w:rsidP="0064717D">
      <w:pPr>
        <w:spacing w:after="0" w:line="240" w:lineRule="auto"/>
        <w:jc w:val="both"/>
        <w:rPr>
          <w:rFonts w:eastAsiaTheme="minorEastAsia"/>
        </w:rPr>
      </w:pPr>
      <m:oMathPara>
        <m:oMath>
          <m:r>
            <w:rPr>
              <w:rFonts w:ascii="Cambria Math" w:hAnsi="Cambria Math"/>
            </w:rPr>
            <m:t>r=l sin </m:t>
          </m:r>
          <m:r>
            <m:rPr>
              <m:sty m:val="p"/>
            </m:rPr>
            <w:rPr>
              <w:rFonts w:ascii="Cambria Math" w:hAnsi="Cambria Math"/>
            </w:rPr>
            <m:t>θ</m:t>
          </m:r>
        </m:oMath>
      </m:oMathPara>
    </w:p>
    <w:p w:rsidR="0064717D" w:rsidRPr="0064717D" w:rsidRDefault="0064717D" w:rsidP="0064717D">
      <w:pPr>
        <w:spacing w:after="0" w:line="240" w:lineRule="auto"/>
        <w:jc w:val="both"/>
        <w:rPr>
          <w:rFonts w:eastAsiaTheme="minorEastAsia"/>
        </w:rPr>
      </w:pPr>
      <w:r>
        <w:rPr>
          <w:rFonts w:eastAsiaTheme="minorEastAsia"/>
        </w:rPr>
        <w:t xml:space="preserve">Where l is the length of the tibia and </w:t>
      </w:r>
      <m:oMath>
        <m:r>
          <m:rPr>
            <m:sty m:val="p"/>
          </m:rPr>
          <w:rPr>
            <w:rFonts w:ascii="Cambria Math" w:eastAsiaTheme="minorEastAsia" w:hAnsi="Cambria Math"/>
          </w:rPr>
          <m:t>θ</m:t>
        </m:r>
      </m:oMath>
      <w:r>
        <w:rPr>
          <w:rFonts w:eastAsiaTheme="minorEastAsia"/>
        </w:rPr>
        <w:t xml:space="preserve"> is the angle between knee and toes. </w:t>
      </w:r>
    </w:p>
    <w:p w:rsidR="0064717D" w:rsidRPr="00527A9E" w:rsidRDefault="0064717D" w:rsidP="0064717D">
      <w:pPr>
        <w:spacing w:after="0" w:line="240" w:lineRule="auto"/>
        <w:jc w:val="both"/>
      </w:pPr>
    </w:p>
    <w:p w:rsidR="00527A9E" w:rsidRPr="00527A9E" w:rsidRDefault="00527A9E" w:rsidP="006E0A3B">
      <w:pPr>
        <w:spacing w:after="0" w:line="240" w:lineRule="auto"/>
        <w:jc w:val="both"/>
      </w:pPr>
      <w:r w:rsidRPr="00527A9E">
        <w:t>Step 3: Apply the Torque</w:t>
      </w:r>
      <w:r w:rsidR="0064717D">
        <w:t xml:space="preserve"> (Torsional st</w:t>
      </w:r>
      <w:r w:rsidR="00780EF2">
        <w:t>ress</w:t>
      </w:r>
      <w:r w:rsidR="0064717D">
        <w:t>)</w:t>
      </w:r>
      <w:r w:rsidRPr="00527A9E">
        <w:t xml:space="preserve"> Formula</w:t>
      </w:r>
    </w:p>
    <w:p w:rsidR="00527A9E" w:rsidRPr="00527A9E" w:rsidRDefault="00527A9E" w:rsidP="006E0A3B">
      <w:pPr>
        <w:spacing w:after="0" w:line="240" w:lineRule="auto"/>
        <w:jc w:val="both"/>
      </w:pPr>
      <w:r w:rsidRPr="00527A9E">
        <w:t>Torque (τ) around the knee joint can be calculated using the formula:</w:t>
      </w:r>
    </w:p>
    <w:p w:rsidR="00545248" w:rsidRPr="001224BE" w:rsidRDefault="001224BE" w:rsidP="006E0A3B">
      <w:pPr>
        <w:spacing w:after="0" w:line="240" w:lineRule="auto"/>
        <w:jc w:val="both"/>
        <w:rPr>
          <w:rFonts w:eastAsiaTheme="minorEastAsia"/>
        </w:rPr>
      </w:pPr>
      <m:oMathPara>
        <m:oMath>
          <m:r>
            <m:rPr>
              <m:sty m:val="p"/>
            </m:rPr>
            <w:rPr>
              <w:rFonts w:ascii="Cambria Math" w:hAnsi="Cambria Math"/>
            </w:rPr>
            <m:t>τ</m:t>
          </m:r>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w:rPr>
              <w:rFonts w:ascii="Cambria Math" w:hAnsi="Cambria Math"/>
            </w:rPr>
            <m:t>=rF sin </m:t>
          </m:r>
          <m:r>
            <m:rPr>
              <m:sty m:val="p"/>
            </m:rPr>
            <w:rPr>
              <w:rFonts w:ascii="Cambria Math" w:eastAsiaTheme="minorEastAsia" w:hAnsi="Cambria Math"/>
            </w:rPr>
            <m:t>θ</m:t>
          </m:r>
        </m:oMath>
      </m:oMathPara>
    </w:p>
    <w:p w:rsidR="00527A9E" w:rsidRPr="00527A9E" w:rsidRDefault="00527A9E" w:rsidP="006E0A3B">
      <w:pPr>
        <w:spacing w:after="0" w:line="240" w:lineRule="auto"/>
        <w:jc w:val="both"/>
      </w:pPr>
      <w:r w:rsidRPr="00527A9E">
        <w:t>Where:</w:t>
      </w:r>
    </w:p>
    <w:p w:rsidR="00527A9E" w:rsidRPr="00527A9E" w:rsidRDefault="00527A9E" w:rsidP="006E0A3B">
      <w:pPr>
        <w:numPr>
          <w:ilvl w:val="0"/>
          <w:numId w:val="4"/>
        </w:numPr>
        <w:spacing w:after="0" w:line="240" w:lineRule="auto"/>
        <w:jc w:val="both"/>
      </w:pPr>
      <w:r w:rsidRPr="00527A9E">
        <w:t>τ = torque around the knee joint (in Newton-meters, Nm)</w:t>
      </w:r>
    </w:p>
    <w:p w:rsidR="00527A9E" w:rsidRPr="00527A9E" w:rsidRDefault="00527A9E" w:rsidP="006E0A3B">
      <w:pPr>
        <w:numPr>
          <w:ilvl w:val="0"/>
          <w:numId w:val="4"/>
        </w:numPr>
        <w:spacing w:after="0" w:line="240" w:lineRule="auto"/>
        <w:jc w:val="both"/>
      </w:pPr>
      <w:r w:rsidRPr="00527A9E">
        <w:t>r = distance from the knee joint to the center of mass (in meters)</w:t>
      </w:r>
    </w:p>
    <w:p w:rsidR="00527A9E" w:rsidRPr="00527A9E" w:rsidRDefault="00527A9E" w:rsidP="006E0A3B">
      <w:pPr>
        <w:numPr>
          <w:ilvl w:val="0"/>
          <w:numId w:val="4"/>
        </w:numPr>
        <w:spacing w:after="0" w:line="240" w:lineRule="auto"/>
        <w:jc w:val="both"/>
      </w:pPr>
      <w:r w:rsidRPr="00527A9E">
        <w:t xml:space="preserve">F = applied force (in Newtons) = </w:t>
      </w:r>
      <w:r w:rsidR="00460DA3" w:rsidRPr="001224BE">
        <w:t>mg</w:t>
      </w:r>
    </w:p>
    <w:p w:rsidR="00527A9E" w:rsidRPr="00780EF2" w:rsidRDefault="00527A9E" w:rsidP="006E0A3B">
      <w:pPr>
        <w:numPr>
          <w:ilvl w:val="0"/>
          <w:numId w:val="4"/>
        </w:numPr>
        <w:spacing w:after="0" w:line="240" w:lineRule="auto"/>
        <w:jc w:val="both"/>
      </w:pPr>
      <w:r w:rsidRPr="00527A9E">
        <w:t xml:space="preserve">θ = </w:t>
      </w:r>
      <w:r w:rsidR="00780EF2">
        <w:rPr>
          <w:rFonts w:eastAsiaTheme="minorEastAsia"/>
        </w:rPr>
        <w:t>angle between knee and toes.</w:t>
      </w:r>
    </w:p>
    <w:p w:rsidR="00780EF2" w:rsidRPr="00527A9E" w:rsidRDefault="00780EF2" w:rsidP="00780EF2">
      <w:pPr>
        <w:spacing w:after="0" w:line="240" w:lineRule="auto"/>
        <w:ind w:left="720"/>
        <w:jc w:val="both"/>
      </w:pPr>
    </w:p>
    <w:p w:rsidR="00527A9E" w:rsidRPr="00527A9E" w:rsidRDefault="00527A9E" w:rsidP="006E0A3B">
      <w:pPr>
        <w:spacing w:after="0" w:line="240" w:lineRule="auto"/>
        <w:jc w:val="both"/>
      </w:pPr>
      <w:r w:rsidRPr="00527A9E">
        <w:t>Step 5: Calculation</w:t>
      </w:r>
    </w:p>
    <w:tbl>
      <w:tblPr>
        <w:tblStyle w:val="TableGrid"/>
        <w:tblW w:w="0" w:type="auto"/>
        <w:tblLook w:val="04A0" w:firstRow="1" w:lastRow="0" w:firstColumn="1" w:lastColumn="0" w:noHBand="0" w:noVBand="1"/>
      </w:tblPr>
      <w:tblGrid>
        <w:gridCol w:w="4675"/>
        <w:gridCol w:w="4675"/>
      </w:tblGrid>
      <w:tr w:rsidR="00780EF2" w:rsidTr="00780EF2">
        <w:tc>
          <w:tcPr>
            <w:tcW w:w="4675" w:type="dxa"/>
          </w:tcPr>
          <w:p w:rsidR="00780EF2" w:rsidRPr="00780EF2" w:rsidRDefault="00780EF2" w:rsidP="006E0A3B">
            <w:pPr>
              <w:jc w:val="both"/>
              <w:rPr>
                <w:rFonts w:eastAsiaTheme="minorEastAsia"/>
              </w:rPr>
            </w:pPr>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o</m:t>
                    </m:r>
                  </m:sup>
                </m:sSup>
              </m:oMath>
            </m:oMathPara>
          </w:p>
        </w:tc>
        <w:tc>
          <w:tcPr>
            <w:tcW w:w="4675" w:type="dxa"/>
          </w:tcPr>
          <w:p w:rsidR="00780EF2" w:rsidRPr="00780EF2" w:rsidRDefault="00780EF2" w:rsidP="006E0A3B">
            <w:pPr>
              <w:jc w:val="both"/>
              <w:rPr>
                <w:rFonts w:eastAsiaTheme="minorEastAsia"/>
              </w:rPr>
            </w:pPr>
            <m:oMathPara>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o</m:t>
                    </m:r>
                  </m:sup>
                </m:sSup>
              </m:oMath>
            </m:oMathPara>
          </w:p>
        </w:tc>
      </w:tr>
      <w:tr w:rsidR="00780EF2" w:rsidTr="00780EF2">
        <w:tc>
          <w:tcPr>
            <w:tcW w:w="4675" w:type="dxa"/>
          </w:tcPr>
          <w:p w:rsidR="00416F83" w:rsidRPr="00416F83" w:rsidRDefault="00416F83" w:rsidP="00416F83">
            <w:pPr>
              <w:jc w:val="both"/>
              <w:rPr>
                <w:rFonts w:eastAsiaTheme="minorEastAsia"/>
              </w:rPr>
            </w:pPr>
            <m:oMathPara>
              <m:oMath>
                <m:r>
                  <m:rPr>
                    <m:sty m:val="p"/>
                  </m:rPr>
                  <w:rPr>
                    <w:rFonts w:ascii="Cambria Math" w:hAnsi="Cambria Math"/>
                  </w:rPr>
                  <m:t>τ</m:t>
                </m:r>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w:rPr>
                    <w:rFonts w:ascii="Cambria Math" w:hAnsi="Cambria Math"/>
                  </w:rPr>
                  <m:t>=rF sin </m:t>
                </m:r>
                <m:r>
                  <m:rPr>
                    <m:sty m:val="p"/>
                  </m:rPr>
                  <w:rPr>
                    <w:rFonts w:ascii="Cambria Math" w:eastAsiaTheme="minorEastAsia" w:hAnsi="Cambria Math"/>
                  </w:rPr>
                  <m:t>θ</m:t>
                </m:r>
                <m:r>
                  <w:rPr>
                    <w:rFonts w:ascii="Cambria Math" w:eastAsiaTheme="minorEastAsia" w:hAnsi="Cambria Math"/>
                  </w:rPr>
                  <m:t>=0.0175rF</m:t>
                </m:r>
              </m:oMath>
            </m:oMathPara>
          </w:p>
          <w:p w:rsidR="00780EF2" w:rsidRDefault="00780EF2" w:rsidP="006E0A3B">
            <w:pPr>
              <w:jc w:val="both"/>
            </w:pPr>
          </w:p>
        </w:tc>
        <w:tc>
          <w:tcPr>
            <w:tcW w:w="4675" w:type="dxa"/>
          </w:tcPr>
          <w:p w:rsidR="00780EF2" w:rsidRDefault="00416F83" w:rsidP="006E0A3B">
            <w:pPr>
              <w:jc w:val="both"/>
            </w:pPr>
            <m:oMathPara>
              <m:oMath>
                <m:r>
                  <w:rPr>
                    <w:rFonts w:ascii="Cambria Math" w:hAnsi="Cambria Math"/>
                  </w:rPr>
                  <m:t>τ</m:t>
                </m:r>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r>
                  <w:rPr>
                    <w:rFonts w:ascii="Cambria Math" w:hAnsi="Cambria Math"/>
                  </w:rPr>
                  <m:t>=rF sin </m:t>
                </m:r>
                <m:r>
                  <w:rPr>
                    <w:rFonts w:ascii="Cambria Math" w:eastAsiaTheme="minorEastAsia" w:hAnsi="Cambria Math"/>
                  </w:rPr>
                  <m:t>θ</m:t>
                </m:r>
                <m:r>
                  <w:rPr>
                    <w:rFonts w:ascii="Cambria Math" w:eastAsiaTheme="minorEastAsia" w:hAnsi="Cambria Math"/>
                  </w:rPr>
                  <m:t>=0.</m:t>
                </m:r>
                <m:r>
                  <w:rPr>
                    <w:rFonts w:ascii="Cambria Math" w:eastAsiaTheme="minorEastAsia" w:hAnsi="Cambria Math"/>
                  </w:rPr>
                  <m:t>25882</m:t>
                </m:r>
                <m:r>
                  <w:rPr>
                    <w:rFonts w:ascii="Cambria Math" w:eastAsiaTheme="minorEastAsia" w:hAnsi="Cambria Math"/>
                  </w:rPr>
                  <m:t>rF</m:t>
                </m:r>
              </m:oMath>
            </m:oMathPara>
          </w:p>
        </w:tc>
      </w:tr>
    </w:tbl>
    <w:p w:rsidR="00780EF2" w:rsidRDefault="00780EF2" w:rsidP="006E0A3B">
      <w:pPr>
        <w:spacing w:after="0"/>
        <w:jc w:val="both"/>
      </w:pPr>
    </w:p>
    <w:p w:rsidR="00293580" w:rsidRPr="001224BE" w:rsidRDefault="00293580" w:rsidP="006E0A3B">
      <w:pPr>
        <w:spacing w:after="0"/>
        <w:jc w:val="both"/>
      </w:pPr>
      <w:r w:rsidRPr="001224BE">
        <w:t>Take home points:</w:t>
      </w:r>
    </w:p>
    <w:p w:rsidR="00293580" w:rsidRPr="001224BE" w:rsidRDefault="00293580" w:rsidP="006E0A3B">
      <w:pPr>
        <w:pStyle w:val="ListParagraph"/>
        <w:numPr>
          <w:ilvl w:val="0"/>
          <w:numId w:val="6"/>
        </w:numPr>
        <w:spacing w:after="0"/>
        <w:jc w:val="both"/>
      </w:pPr>
      <w:r w:rsidRPr="001224BE">
        <w:t>K</w:t>
      </w:r>
      <w:r w:rsidRPr="001224BE">
        <w:t>nee Joint: When the body is fully straight in Qiyam, the knees are in a more neutral position with less flexion. This reduces the moment arm (distance from the knee to the point where force is applied) and thus the torque acting on the knee. The smaller the angle of flexion, the less torque is created at the knee joint.</w:t>
      </w:r>
    </w:p>
    <w:p w:rsidR="00293580" w:rsidRPr="001224BE" w:rsidRDefault="00293580" w:rsidP="006E0A3B">
      <w:pPr>
        <w:pStyle w:val="ListParagraph"/>
        <w:numPr>
          <w:ilvl w:val="0"/>
          <w:numId w:val="6"/>
        </w:numPr>
        <w:spacing w:after="0"/>
        <w:jc w:val="both"/>
      </w:pPr>
      <w:r w:rsidRPr="001224BE">
        <w:t>Hip Joint: In a fully straight posture, the body's center of mass is more aligned over the hips. This reduces any forward lean (the angle θ) and decreases the torque on the hip joint. The more upright the body, the shorter the distance from the hip to the center of mass, and the smaller the force component acting around the joint, which results in lower torque.</w:t>
      </w:r>
    </w:p>
    <w:p w:rsidR="00293580" w:rsidRDefault="00293580" w:rsidP="006E0A3B">
      <w:pPr>
        <w:spacing w:after="0"/>
        <w:jc w:val="both"/>
      </w:pPr>
    </w:p>
    <w:p w:rsidR="00293580" w:rsidRDefault="00293580" w:rsidP="006E0A3B">
      <w:pPr>
        <w:spacing w:after="0"/>
        <w:jc w:val="both"/>
      </w:pPr>
    </w:p>
    <w:p w:rsidR="004B6D97" w:rsidRPr="001224BE" w:rsidRDefault="00460DA3" w:rsidP="006E0A3B">
      <w:pPr>
        <w:spacing w:after="0"/>
        <w:jc w:val="both"/>
        <w:rPr>
          <w:b/>
          <w:bCs/>
        </w:rPr>
      </w:pPr>
      <w:r w:rsidRPr="001224BE">
        <w:rPr>
          <w:b/>
          <w:bCs/>
        </w:rPr>
        <w:t xml:space="preserve">Part 2: </w:t>
      </w:r>
      <w:r w:rsidR="00293580" w:rsidRPr="001224BE">
        <w:rPr>
          <w:b/>
          <w:bCs/>
        </w:rPr>
        <w:t>Ruk</w:t>
      </w:r>
      <w:r w:rsidR="00B22A7F" w:rsidRPr="001224BE">
        <w:rPr>
          <w:b/>
          <w:bCs/>
        </w:rPr>
        <w:t>uk</w:t>
      </w:r>
    </w:p>
    <w:p w:rsidR="00B22A7F" w:rsidRDefault="00B22A7F" w:rsidP="006E0A3B">
      <w:pPr>
        <w:spacing w:after="0"/>
        <w:jc w:val="both"/>
      </w:pPr>
      <w:r>
        <w:t>Ideal Position</w:t>
      </w:r>
    </w:p>
    <w:p w:rsidR="00B22A7F" w:rsidRDefault="00B22A7F" w:rsidP="006E0A3B">
      <w:pPr>
        <w:spacing w:after="0"/>
        <w:jc w:val="both"/>
      </w:pPr>
      <w:r w:rsidRPr="00B22A7F">
        <w:drawing>
          <wp:inline distT="0" distB="0" distL="0" distR="0" wp14:anchorId="086BE689" wp14:editId="282ABE88">
            <wp:extent cx="2127250" cy="1584301"/>
            <wp:effectExtent l="0" t="0" r="6350" b="0"/>
            <wp:docPr id="680625699" name="Picture 1" descr="A young person bending o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25699" name="Picture 1" descr="A young person bending over&#10;&#10;AI-generated content may be incorrect."/>
                    <pic:cNvPicPr/>
                  </pic:nvPicPr>
                  <pic:blipFill>
                    <a:blip r:embed="rId6"/>
                    <a:stretch>
                      <a:fillRect/>
                    </a:stretch>
                  </pic:blipFill>
                  <pic:spPr>
                    <a:xfrm>
                      <a:off x="0" y="0"/>
                      <a:ext cx="2134404" cy="1589629"/>
                    </a:xfrm>
                    <a:prstGeom prst="rect">
                      <a:avLst/>
                    </a:prstGeom>
                  </pic:spPr>
                </pic:pic>
              </a:graphicData>
            </a:graphic>
          </wp:inline>
        </w:drawing>
      </w:r>
    </w:p>
    <w:p w:rsidR="006E0A3B" w:rsidRDefault="006E0A3B" w:rsidP="006E0A3B">
      <w:pPr>
        <w:spacing w:after="0"/>
        <w:jc w:val="both"/>
      </w:pPr>
    </w:p>
    <w:p w:rsidR="002B5A67" w:rsidRDefault="002B5A67" w:rsidP="006E0A3B">
      <w:pPr>
        <w:spacing w:after="0"/>
        <w:jc w:val="both"/>
        <w:rPr>
          <w:rFonts w:ascii="Arial" w:hAnsi="Arial" w:cs="Arial"/>
          <w:color w:val="222222"/>
          <w:szCs w:val="20"/>
          <w:shd w:val="clear" w:color="auto" w:fill="FFFFFF"/>
        </w:rPr>
      </w:pPr>
      <w:r>
        <w:t>“</w:t>
      </w:r>
      <w:r w:rsidRPr="002B5A67">
        <w:t xml:space="preserve">Letak </w:t>
      </w:r>
      <w:proofErr w:type="spellStart"/>
      <w:r w:rsidRPr="002B5A67">
        <w:t>kepala</w:t>
      </w:r>
      <w:proofErr w:type="spellEnd"/>
      <w:r w:rsidRPr="002B5A67">
        <w:t xml:space="preserve"> juga </w:t>
      </w:r>
      <w:proofErr w:type="spellStart"/>
      <w:r w:rsidRPr="002B5A67">
        <w:t>harus</w:t>
      </w:r>
      <w:proofErr w:type="spellEnd"/>
      <w:r w:rsidRPr="002B5A67">
        <w:t xml:space="preserve"> </w:t>
      </w:r>
      <w:proofErr w:type="spellStart"/>
      <w:r w:rsidRPr="002B5A67">
        <w:t>sejajar</w:t>
      </w:r>
      <w:proofErr w:type="spellEnd"/>
      <w:r w:rsidRPr="002B5A67">
        <w:t xml:space="preserve"> </w:t>
      </w:r>
      <w:proofErr w:type="spellStart"/>
      <w:r w:rsidRPr="002B5A67">
        <w:t>dengan</w:t>
      </w:r>
      <w:proofErr w:type="spellEnd"/>
      <w:r w:rsidRPr="002B5A67">
        <w:t xml:space="preserve"> </w:t>
      </w:r>
      <w:proofErr w:type="spellStart"/>
      <w:r w:rsidRPr="002B5A67">
        <w:t>tulang</w:t>
      </w:r>
      <w:proofErr w:type="spellEnd"/>
      <w:r w:rsidRPr="002B5A67">
        <w:t xml:space="preserve"> </w:t>
      </w:r>
      <w:proofErr w:type="spellStart"/>
      <w:r w:rsidRPr="002B5A67">
        <w:t>belakang</w:t>
      </w:r>
      <w:proofErr w:type="spellEnd"/>
      <w:r w:rsidRPr="002B5A67">
        <w:t xml:space="preserve">. </w:t>
      </w:r>
      <w:proofErr w:type="spellStart"/>
      <w:r w:rsidRPr="002B5A67">
        <w:t>Posisi</w:t>
      </w:r>
      <w:proofErr w:type="spellEnd"/>
      <w:r w:rsidRPr="002B5A67">
        <w:t xml:space="preserve"> yang </w:t>
      </w:r>
      <w:proofErr w:type="spellStart"/>
      <w:r w:rsidRPr="002B5A67">
        <w:t>benar</w:t>
      </w:r>
      <w:proofErr w:type="spellEnd"/>
      <w:r w:rsidRPr="002B5A67">
        <w:t xml:space="preserve"> </w:t>
      </w:r>
      <w:proofErr w:type="spellStart"/>
      <w:r w:rsidRPr="002B5A67">
        <w:t>ini</w:t>
      </w:r>
      <w:proofErr w:type="spellEnd"/>
      <w:r w:rsidRPr="002B5A67">
        <w:t xml:space="preserve"> </w:t>
      </w:r>
      <w:proofErr w:type="spellStart"/>
      <w:r w:rsidRPr="002B5A67">
        <w:t>menjaga</w:t>
      </w:r>
      <w:proofErr w:type="spellEnd"/>
      <w:r w:rsidRPr="002B5A67">
        <w:t xml:space="preserve"> </w:t>
      </w:r>
      <w:proofErr w:type="spellStart"/>
      <w:r w:rsidRPr="002B5A67">
        <w:t>fungsi</w:t>
      </w:r>
      <w:proofErr w:type="spellEnd"/>
      <w:r w:rsidRPr="002B5A67">
        <w:t xml:space="preserve"> </w:t>
      </w:r>
      <w:proofErr w:type="spellStart"/>
      <w:r w:rsidRPr="002B5A67">
        <w:t>kolom</w:t>
      </w:r>
      <w:proofErr w:type="spellEnd"/>
      <w:r w:rsidRPr="002B5A67">
        <w:t xml:space="preserve"> vertebra </w:t>
      </w:r>
      <w:proofErr w:type="spellStart"/>
      <w:r w:rsidRPr="002B5A67">
        <w:t>sebagai</w:t>
      </w:r>
      <w:proofErr w:type="spellEnd"/>
      <w:r w:rsidRPr="002B5A67">
        <w:t xml:space="preserve"> </w:t>
      </w:r>
      <w:proofErr w:type="spellStart"/>
      <w:r w:rsidRPr="002B5A67">
        <w:t>penahan</w:t>
      </w:r>
      <w:proofErr w:type="spellEnd"/>
      <w:r w:rsidRPr="002B5A67">
        <w:t xml:space="preserve"> </w:t>
      </w:r>
      <w:proofErr w:type="spellStart"/>
      <w:r w:rsidRPr="002B5A67">
        <w:t>tubuh</w:t>
      </w:r>
      <w:proofErr w:type="spellEnd"/>
      <w:r w:rsidRPr="002B5A67">
        <w:t xml:space="preserve"> dan </w:t>
      </w:r>
      <w:proofErr w:type="spellStart"/>
      <w:r w:rsidRPr="002B5A67">
        <w:t>sistem</w:t>
      </w:r>
      <w:proofErr w:type="spellEnd"/>
      <w:r w:rsidRPr="002B5A67">
        <w:t xml:space="preserve"> </w:t>
      </w:r>
      <w:proofErr w:type="spellStart"/>
      <w:r w:rsidRPr="002B5A67">
        <w:t>saraf</w:t>
      </w:r>
      <w:proofErr w:type="spellEnd"/>
      <w:r w:rsidRPr="002B5A67">
        <w:t xml:space="preserve"> </w:t>
      </w:r>
      <w:proofErr w:type="spellStart"/>
      <w:r w:rsidRPr="002B5A67">
        <w:t>pusat</w:t>
      </w:r>
      <w:proofErr w:type="spellEnd"/>
      <w:r w:rsidRPr="002B5A67">
        <w:t>.</w:t>
      </w:r>
      <w:r>
        <w:t>”</w:t>
      </w:r>
      <w:r w:rsidRPr="002B5A67">
        <w:rPr>
          <w:rFonts w:ascii="Arial" w:hAnsi="Arial" w:cs="Arial"/>
          <w:color w:val="222222"/>
          <w:szCs w:val="20"/>
          <w:shd w:val="clear" w:color="auto" w:fill="FFFFFF"/>
        </w:rPr>
        <w:t xml:space="preserve"> </w:t>
      </w:r>
    </w:p>
    <w:p w:rsidR="006E0A3B" w:rsidRPr="002B5A67" w:rsidRDefault="002B5A67" w:rsidP="002B5A67">
      <w:pPr>
        <w:spacing w:after="0"/>
        <w:jc w:val="right"/>
        <w:rPr>
          <w:sz w:val="16"/>
          <w:szCs w:val="20"/>
        </w:rPr>
      </w:pPr>
      <w:r w:rsidRPr="002B5A67">
        <w:rPr>
          <w:rFonts w:ascii="Arial" w:hAnsi="Arial" w:cs="Arial"/>
          <w:color w:val="222222"/>
          <w:sz w:val="16"/>
          <w:szCs w:val="16"/>
          <w:shd w:val="clear" w:color="auto" w:fill="FFFFFF"/>
        </w:rPr>
        <w:t>[</w:t>
      </w:r>
      <w:proofErr w:type="spellStart"/>
      <w:r w:rsidRPr="002B5A67">
        <w:rPr>
          <w:sz w:val="16"/>
          <w:szCs w:val="20"/>
        </w:rPr>
        <w:t>Maulida</w:t>
      </w:r>
      <w:proofErr w:type="spellEnd"/>
      <w:r w:rsidRPr="002B5A67">
        <w:rPr>
          <w:sz w:val="16"/>
          <w:szCs w:val="20"/>
        </w:rPr>
        <w:t xml:space="preserve">, H. S., &amp; </w:t>
      </w:r>
      <w:proofErr w:type="spellStart"/>
      <w:r w:rsidRPr="002B5A67">
        <w:rPr>
          <w:sz w:val="16"/>
          <w:szCs w:val="20"/>
        </w:rPr>
        <w:t>Kinanti</w:t>
      </w:r>
      <w:proofErr w:type="spellEnd"/>
      <w:r w:rsidRPr="002B5A67">
        <w:rPr>
          <w:sz w:val="16"/>
          <w:szCs w:val="20"/>
        </w:rPr>
        <w:t xml:space="preserve">, H. L. (2024). </w:t>
      </w:r>
      <w:proofErr w:type="spellStart"/>
      <w:r w:rsidRPr="002B5A67">
        <w:rPr>
          <w:sz w:val="16"/>
          <w:szCs w:val="20"/>
        </w:rPr>
        <w:t>Analisis</w:t>
      </w:r>
      <w:proofErr w:type="spellEnd"/>
      <w:r w:rsidRPr="002B5A67">
        <w:rPr>
          <w:sz w:val="16"/>
          <w:szCs w:val="20"/>
        </w:rPr>
        <w:t xml:space="preserve"> </w:t>
      </w:r>
      <w:proofErr w:type="spellStart"/>
      <w:r w:rsidRPr="002B5A67">
        <w:rPr>
          <w:sz w:val="16"/>
          <w:szCs w:val="20"/>
        </w:rPr>
        <w:t>Biomekanika</w:t>
      </w:r>
      <w:proofErr w:type="spellEnd"/>
      <w:r w:rsidRPr="002B5A67">
        <w:rPr>
          <w:sz w:val="16"/>
          <w:szCs w:val="20"/>
        </w:rPr>
        <w:t xml:space="preserve"> Gerakan Salat: </w:t>
      </w:r>
      <w:proofErr w:type="spellStart"/>
      <w:r w:rsidRPr="002B5A67">
        <w:rPr>
          <w:sz w:val="16"/>
          <w:szCs w:val="20"/>
        </w:rPr>
        <w:t>Implikasi</w:t>
      </w:r>
      <w:proofErr w:type="spellEnd"/>
      <w:r w:rsidRPr="002B5A67">
        <w:rPr>
          <w:sz w:val="16"/>
          <w:szCs w:val="20"/>
        </w:rPr>
        <w:t xml:space="preserve"> </w:t>
      </w:r>
      <w:proofErr w:type="spellStart"/>
      <w:r w:rsidRPr="002B5A67">
        <w:rPr>
          <w:sz w:val="16"/>
          <w:szCs w:val="20"/>
        </w:rPr>
        <w:t>untuk</w:t>
      </w:r>
      <w:proofErr w:type="spellEnd"/>
      <w:r w:rsidRPr="002B5A67">
        <w:rPr>
          <w:sz w:val="16"/>
          <w:szCs w:val="20"/>
        </w:rPr>
        <w:t xml:space="preserve"> Kesehatan. </w:t>
      </w:r>
      <w:proofErr w:type="spellStart"/>
      <w:r w:rsidRPr="002B5A67">
        <w:rPr>
          <w:i/>
          <w:iCs/>
          <w:sz w:val="16"/>
          <w:szCs w:val="20"/>
        </w:rPr>
        <w:t>Islamologi</w:t>
      </w:r>
      <w:proofErr w:type="spellEnd"/>
      <w:r w:rsidRPr="002B5A67">
        <w:rPr>
          <w:i/>
          <w:iCs/>
          <w:sz w:val="16"/>
          <w:szCs w:val="20"/>
        </w:rPr>
        <w:t xml:space="preserve">: </w:t>
      </w:r>
      <w:proofErr w:type="spellStart"/>
      <w:r w:rsidRPr="002B5A67">
        <w:rPr>
          <w:i/>
          <w:iCs/>
          <w:sz w:val="16"/>
          <w:szCs w:val="20"/>
        </w:rPr>
        <w:t>Jurnal</w:t>
      </w:r>
      <w:proofErr w:type="spellEnd"/>
      <w:r w:rsidRPr="002B5A67">
        <w:rPr>
          <w:i/>
          <w:iCs/>
          <w:sz w:val="16"/>
          <w:szCs w:val="20"/>
        </w:rPr>
        <w:t xml:space="preserve"> </w:t>
      </w:r>
      <w:proofErr w:type="spellStart"/>
      <w:r w:rsidRPr="002B5A67">
        <w:rPr>
          <w:i/>
          <w:iCs/>
          <w:sz w:val="16"/>
          <w:szCs w:val="20"/>
        </w:rPr>
        <w:t>Ilmiah</w:t>
      </w:r>
      <w:proofErr w:type="spellEnd"/>
      <w:r w:rsidRPr="002B5A67">
        <w:rPr>
          <w:i/>
          <w:iCs/>
          <w:sz w:val="16"/>
          <w:szCs w:val="20"/>
        </w:rPr>
        <w:t xml:space="preserve"> </w:t>
      </w:r>
      <w:proofErr w:type="spellStart"/>
      <w:r w:rsidRPr="002B5A67">
        <w:rPr>
          <w:i/>
          <w:iCs/>
          <w:sz w:val="16"/>
          <w:szCs w:val="20"/>
        </w:rPr>
        <w:t>Keagamaan</w:t>
      </w:r>
      <w:proofErr w:type="spellEnd"/>
      <w:r w:rsidRPr="002B5A67">
        <w:rPr>
          <w:sz w:val="16"/>
          <w:szCs w:val="20"/>
        </w:rPr>
        <w:t>, </w:t>
      </w:r>
      <w:r w:rsidRPr="002B5A67">
        <w:rPr>
          <w:i/>
          <w:iCs/>
          <w:sz w:val="16"/>
          <w:szCs w:val="20"/>
        </w:rPr>
        <w:t>1</w:t>
      </w:r>
      <w:r w:rsidRPr="002B5A67">
        <w:rPr>
          <w:sz w:val="16"/>
          <w:szCs w:val="20"/>
        </w:rPr>
        <w:t>(2), 167-176.</w:t>
      </w:r>
      <w:r w:rsidRPr="002B5A67">
        <w:rPr>
          <w:sz w:val="16"/>
          <w:szCs w:val="20"/>
        </w:rPr>
        <w:t>]</w:t>
      </w:r>
    </w:p>
    <w:p w:rsidR="002B5A67" w:rsidRDefault="002B5A67" w:rsidP="006E0A3B">
      <w:pPr>
        <w:spacing w:after="0"/>
        <w:jc w:val="both"/>
      </w:pPr>
    </w:p>
    <w:p w:rsidR="00421BA5" w:rsidRDefault="00421BA5" w:rsidP="006E0A3B">
      <w:pPr>
        <w:spacing w:after="0"/>
        <w:jc w:val="both"/>
      </w:pPr>
      <w:r w:rsidRPr="00421BA5">
        <w:t xml:space="preserve">Spinal Alignment in </w:t>
      </w:r>
      <w:proofErr w:type="spellStart"/>
      <w:r w:rsidRPr="00421BA5">
        <w:t>Ruku</w:t>
      </w:r>
      <w:proofErr w:type="spellEnd"/>
      <w:r w:rsidR="00CF3285">
        <w:t>, Torque on Spine</w:t>
      </w:r>
    </w:p>
    <w:tbl>
      <w:tblPr>
        <w:tblStyle w:val="TableGrid"/>
        <w:tblW w:w="0" w:type="auto"/>
        <w:jc w:val="center"/>
        <w:tblLook w:val="04A0" w:firstRow="1" w:lastRow="0" w:firstColumn="1" w:lastColumn="0" w:noHBand="0" w:noVBand="1"/>
      </w:tblPr>
      <w:tblGrid>
        <w:gridCol w:w="3402"/>
        <w:gridCol w:w="394"/>
        <w:gridCol w:w="3402"/>
      </w:tblGrid>
      <w:tr w:rsidR="00CF3285" w:rsidTr="00677D7C">
        <w:trPr>
          <w:trHeight w:val="170"/>
          <w:jc w:val="center"/>
        </w:trPr>
        <w:tc>
          <w:tcPr>
            <w:tcW w:w="3402" w:type="dxa"/>
          </w:tcPr>
          <w:p w:rsidR="00CF3285" w:rsidRDefault="00CF3285" w:rsidP="00677D7C">
            <w:pPr>
              <w:jc w:val="center"/>
            </w:pPr>
            <w:r>
              <w:t>Hip Flexion</w:t>
            </w:r>
            <w:r w:rsidR="00677D7C">
              <w:t xml:space="preserve"> (Straight Back)</w:t>
            </w:r>
          </w:p>
        </w:tc>
        <w:tc>
          <w:tcPr>
            <w:tcW w:w="394" w:type="dxa"/>
            <w:vAlign w:val="center"/>
          </w:tcPr>
          <w:p w:rsidR="00CF3285" w:rsidRDefault="00CF3285" w:rsidP="00677D7C">
            <w:pPr>
              <w:jc w:val="center"/>
            </w:pPr>
            <w:r>
              <w:t>vs</w:t>
            </w:r>
          </w:p>
        </w:tc>
        <w:tc>
          <w:tcPr>
            <w:tcW w:w="3402" w:type="dxa"/>
          </w:tcPr>
          <w:p w:rsidR="00CF3285" w:rsidRDefault="00CF3285" w:rsidP="00677D7C">
            <w:pPr>
              <w:jc w:val="center"/>
            </w:pPr>
            <w:r>
              <w:t>Lumbar Flexion</w:t>
            </w:r>
            <w:r w:rsidR="00677D7C">
              <w:t xml:space="preserve"> (Arched Back)</w:t>
            </w:r>
          </w:p>
        </w:tc>
      </w:tr>
      <w:tr w:rsidR="00CF3285" w:rsidTr="00677D7C">
        <w:trPr>
          <w:trHeight w:val="170"/>
          <w:jc w:val="center"/>
        </w:trPr>
        <w:tc>
          <w:tcPr>
            <w:tcW w:w="7198" w:type="dxa"/>
            <w:gridSpan w:val="3"/>
          </w:tcPr>
          <w:p w:rsidR="00CF3285" w:rsidRDefault="00CF3285" w:rsidP="00677D7C">
            <w:pPr>
              <w:jc w:val="center"/>
            </w:pPr>
            <m:oMathPara>
              <m:oMath>
                <m:r>
                  <m:rPr>
                    <m:sty m:val="p"/>
                  </m:rPr>
                  <w:rPr>
                    <w:rFonts w:ascii="Cambria Math" w:hAnsi="Cambria Math"/>
                  </w:rPr>
                  <m:t>τ</m:t>
                </m:r>
                <m: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F</m:t>
                    </m:r>
                  </m:e>
                </m:acc>
              </m:oMath>
            </m:oMathPara>
          </w:p>
        </w:tc>
      </w:tr>
      <w:tr w:rsidR="00677D7C" w:rsidTr="00677D7C">
        <w:trPr>
          <w:trHeight w:val="170"/>
          <w:jc w:val="center"/>
        </w:trPr>
        <w:tc>
          <w:tcPr>
            <w:tcW w:w="7198" w:type="dxa"/>
            <w:gridSpan w:val="3"/>
          </w:tcPr>
          <w:p w:rsidR="00677D7C" w:rsidRPr="00CF3285" w:rsidRDefault="00677D7C" w:rsidP="00677D7C">
            <w:pPr>
              <w:jc w:val="center"/>
              <w:rPr>
                <w:rFonts w:eastAsia="Aptos" w:cs="Times New Roman"/>
                <w:iCs/>
              </w:rPr>
            </w:pPr>
            <m:oMathPara>
              <m:oMath>
                <m:sSub>
                  <m:sSubPr>
                    <m:ctrlPr>
                      <w:rPr>
                        <w:rFonts w:ascii="Cambria Math" w:eastAsia="Aptos" w:hAnsi="Cambria Math" w:cs="Times New Roman"/>
                        <w:i/>
                      </w:rPr>
                    </m:ctrlPr>
                  </m:sSubPr>
                  <m:e>
                    <m:r>
                      <w:rPr>
                        <w:rFonts w:ascii="Cambria Math" w:eastAsia="Aptos" w:hAnsi="Cambria Math" w:cs="Times New Roman"/>
                      </w:rPr>
                      <m:t>r</m:t>
                    </m:r>
                  </m:e>
                  <m:sub>
                    <m:r>
                      <w:rPr>
                        <w:rFonts w:ascii="Cambria Math" w:eastAsia="Aptos" w:hAnsi="Cambria Math" w:cs="Times New Roman"/>
                      </w:rPr>
                      <m:t>lumbar</m:t>
                    </m:r>
                  </m:sub>
                </m:sSub>
                <m:r>
                  <w:rPr>
                    <w:rFonts w:ascii="Cambria Math" w:eastAsia="Aptos" w:hAnsi="Cambria Math" w:cs="Times New Roman"/>
                  </w:rPr>
                  <m:t>&gt;</m:t>
                </m:r>
                <m:sSub>
                  <m:sSubPr>
                    <m:ctrlPr>
                      <w:rPr>
                        <w:rFonts w:ascii="Cambria Math" w:eastAsia="Aptos" w:hAnsi="Cambria Math" w:cs="Times New Roman"/>
                        <w:i/>
                      </w:rPr>
                    </m:ctrlPr>
                  </m:sSubPr>
                  <m:e>
                    <m:r>
                      <w:rPr>
                        <w:rFonts w:ascii="Cambria Math" w:eastAsia="Aptos" w:hAnsi="Cambria Math" w:cs="Times New Roman"/>
                      </w:rPr>
                      <m:t>r</m:t>
                    </m:r>
                  </m:e>
                  <m:sub>
                    <m:r>
                      <w:rPr>
                        <w:rFonts w:ascii="Cambria Math" w:eastAsia="Aptos" w:hAnsi="Cambria Math" w:cs="Times New Roman"/>
                      </w:rPr>
                      <m:t>hip</m:t>
                    </m:r>
                  </m:sub>
                </m:sSub>
              </m:oMath>
            </m:oMathPara>
          </w:p>
        </w:tc>
      </w:tr>
      <w:tr w:rsidR="00677D7C" w:rsidTr="00070AF7">
        <w:trPr>
          <w:trHeight w:val="170"/>
          <w:jc w:val="center"/>
        </w:trPr>
        <w:tc>
          <w:tcPr>
            <w:tcW w:w="7198" w:type="dxa"/>
            <w:gridSpan w:val="3"/>
          </w:tcPr>
          <w:p w:rsidR="00677D7C" w:rsidRPr="00677D7C" w:rsidRDefault="00677D7C" w:rsidP="00677D7C">
            <w:pPr>
              <w:jc w:val="center"/>
              <w:rPr>
                <w:rFonts w:eastAsiaTheme="minorEastAsia"/>
                <w:iCs/>
              </w:rPr>
            </w:pPr>
            <m:oMathPara>
              <m:oMath>
                <m:sSub>
                  <m:sSubPr>
                    <m:ctrlPr>
                      <w:rPr>
                        <w:rFonts w:ascii="Cambria Math" w:eastAsia="Aptos" w:hAnsi="Cambria Math" w:cs="Times New Roman"/>
                        <w:i/>
                        <w:iCs/>
                      </w:rPr>
                    </m:ctrlPr>
                  </m:sSubPr>
                  <m:e>
                    <m:r>
                      <m:rPr>
                        <m:sty m:val="p"/>
                      </m:rPr>
                      <w:rPr>
                        <w:rFonts w:ascii="Cambria Math" w:eastAsia="Aptos" w:hAnsi="Cambria Math" w:cs="Times New Roman"/>
                      </w:rPr>
                      <m:t>τ</m:t>
                    </m:r>
                    <m:ctrlPr>
                      <w:rPr>
                        <w:rFonts w:ascii="Cambria Math" w:eastAsia="Aptos" w:hAnsi="Cambria Math" w:cs="Times New Roman"/>
                        <w:iCs/>
                      </w:rPr>
                    </m:ctrlPr>
                  </m:e>
                  <m:sub>
                    <m:r>
                      <w:rPr>
                        <w:rFonts w:ascii="Cambria Math" w:eastAsia="Aptos" w:hAnsi="Cambria Math" w:cs="Times New Roman"/>
                      </w:rPr>
                      <m:t>lumbar</m:t>
                    </m:r>
                  </m:sub>
                </m:sSub>
                <m:r>
                  <w:rPr>
                    <w:rFonts w:ascii="Cambria Math" w:eastAsia="Aptos" w:hAnsi="Cambria Math" w:cs="Times New Roman"/>
                  </w:rPr>
                  <m:t>&gt;</m:t>
                </m:r>
                <m:sSub>
                  <m:sSubPr>
                    <m:ctrlPr>
                      <w:rPr>
                        <w:rFonts w:ascii="Cambria Math" w:eastAsia="Aptos" w:hAnsi="Cambria Math" w:cs="Times New Roman"/>
                        <w:i/>
                        <w:iCs/>
                      </w:rPr>
                    </m:ctrlPr>
                  </m:sSubPr>
                  <m:e>
                    <m:r>
                      <m:rPr>
                        <m:sty m:val="p"/>
                      </m:rPr>
                      <w:rPr>
                        <w:rFonts w:ascii="Cambria Math" w:eastAsia="Aptos" w:hAnsi="Cambria Math" w:cs="Times New Roman"/>
                      </w:rPr>
                      <m:t>τ</m:t>
                    </m:r>
                  </m:e>
                  <m:sub>
                    <m:r>
                      <w:rPr>
                        <w:rFonts w:ascii="Cambria Math" w:eastAsia="Aptos" w:hAnsi="Cambria Math" w:cs="Times New Roman"/>
                      </w:rPr>
                      <m:t>hip</m:t>
                    </m:r>
                  </m:sub>
                </m:sSub>
              </m:oMath>
            </m:oMathPara>
          </w:p>
        </w:tc>
      </w:tr>
    </w:tbl>
    <w:p w:rsidR="00677D7C" w:rsidRPr="00416F83" w:rsidRDefault="001224BE" w:rsidP="006E0A3B">
      <w:pPr>
        <w:spacing w:after="0"/>
        <w:jc w:val="both"/>
        <w:rPr>
          <w:rFonts w:eastAsiaTheme="minorEastAsia"/>
        </w:rPr>
      </w:pPr>
      <m:oMath>
        <m:r>
          <w:rPr>
            <w:rFonts w:ascii="Cambria Math" w:hAnsi="Cambria Math"/>
          </w:rPr>
          <m:t>r=</m:t>
        </m:r>
      </m:oMath>
      <w:r>
        <w:rPr>
          <w:rFonts w:eastAsiaTheme="minorEastAsia"/>
        </w:rPr>
        <w:t xml:space="preserve"> distance from </w:t>
      </w:r>
      <w:proofErr w:type="spellStart"/>
      <w:r>
        <w:rPr>
          <w:rFonts w:eastAsiaTheme="minorEastAsia"/>
        </w:rPr>
        <w:t>centre</w:t>
      </w:r>
      <w:proofErr w:type="spellEnd"/>
      <w:r>
        <w:rPr>
          <w:rFonts w:eastAsiaTheme="minorEastAsia"/>
        </w:rPr>
        <w:t xml:space="preserve"> of mass to hip/lumbar</w:t>
      </w:r>
    </w:p>
    <w:p w:rsidR="00677D7C" w:rsidRDefault="00677D7C" w:rsidP="006E0A3B">
      <w:pPr>
        <w:spacing w:after="0"/>
        <w:jc w:val="both"/>
      </w:pPr>
      <w:r w:rsidRPr="00677D7C">
        <w:t xml:space="preserve">The calculations clearly show that proper spinal alignment during </w:t>
      </w:r>
      <w:proofErr w:type="spellStart"/>
      <w:r w:rsidRPr="00677D7C">
        <w:t>Ruku</w:t>
      </w:r>
      <w:proofErr w:type="spellEnd"/>
      <w:r w:rsidRPr="00677D7C">
        <w:t xml:space="preserve"> (i.e., keeping the back straight and neutral) minimizes the torque acting on the lumbar spine, which reduces muscular strain and the risk of injury. When the spine is curved (e.g., during lumbar flexion), the moment arm increases, resulting in higher torque that the back muscles must resist. This highlights the importance of maintaining a straight back during </w:t>
      </w:r>
      <w:proofErr w:type="spellStart"/>
      <w:r w:rsidRPr="00677D7C">
        <w:t>Ruku</w:t>
      </w:r>
      <w:proofErr w:type="spellEnd"/>
      <w:r w:rsidRPr="00677D7C">
        <w:t xml:space="preserve"> to optimize biomechanical efficiency and minimize strain on the spine.</w:t>
      </w:r>
    </w:p>
    <w:p w:rsidR="001224BE" w:rsidRDefault="001224BE" w:rsidP="006E0A3B">
      <w:pPr>
        <w:spacing w:after="0"/>
        <w:jc w:val="both"/>
      </w:pPr>
      <w:r w:rsidRPr="001224BE">
        <w:t xml:space="preserve">In summary, the center of mass in the </w:t>
      </w:r>
      <w:proofErr w:type="spellStart"/>
      <w:r w:rsidRPr="001224BE">
        <w:t>Ruku</w:t>
      </w:r>
      <w:proofErr w:type="spellEnd"/>
      <w:r w:rsidRPr="001224BE">
        <w:t xml:space="preserve"> position is located close to the pelvic area, slightly above the sacrum, and about 0.5 meters from the lumbar spine. This is an approximation for an average adult person during </w:t>
      </w:r>
      <w:proofErr w:type="spellStart"/>
      <w:r w:rsidRPr="001224BE">
        <w:t>Ruku</w:t>
      </w:r>
      <w:proofErr w:type="spellEnd"/>
      <w:r w:rsidRPr="001224BE">
        <w:t>, and the distance can vary slightly depending on individual body proportions.</w:t>
      </w:r>
    </w:p>
    <w:p w:rsidR="00416F83" w:rsidRDefault="00416F83">
      <w:r>
        <w:br w:type="page"/>
      </w:r>
    </w:p>
    <w:p w:rsidR="00416F83" w:rsidRDefault="00416F83" w:rsidP="006E0A3B">
      <w:pPr>
        <w:spacing w:after="0"/>
        <w:jc w:val="both"/>
        <w:rPr>
          <w:b/>
          <w:bCs/>
        </w:rPr>
      </w:pPr>
      <w:r w:rsidRPr="001224BE">
        <w:rPr>
          <w:b/>
          <w:bCs/>
        </w:rPr>
        <w:lastRenderedPageBreak/>
        <w:t xml:space="preserve">Part </w:t>
      </w:r>
      <w:r>
        <w:rPr>
          <w:b/>
          <w:bCs/>
        </w:rPr>
        <w:t>3: Sujood</w:t>
      </w:r>
    </w:p>
    <w:p w:rsidR="00416F83" w:rsidRDefault="00915301" w:rsidP="006E0A3B">
      <w:pPr>
        <w:spacing w:after="0"/>
        <w:jc w:val="both"/>
        <w:rPr>
          <w:b/>
          <w:bCs/>
        </w:rPr>
      </w:pPr>
      <w:hyperlink r:id="rId7" w:history="1">
        <w:r w:rsidRPr="005A1A84">
          <w:rPr>
            <w:rStyle w:val="Hyperlink"/>
            <w:b/>
            <w:bCs/>
          </w:rPr>
          <w:t>https://www.jstage.jst.go.jp/article/jpts/24/10/24_JPTS-2012-180/_pdf</w:t>
        </w:r>
      </w:hyperlink>
      <w:r>
        <w:rPr>
          <w:b/>
          <w:bCs/>
        </w:rPr>
        <w:t xml:space="preserve"> </w:t>
      </w:r>
    </w:p>
    <w:p w:rsidR="00F55B02" w:rsidRDefault="00F55B02" w:rsidP="006E0A3B">
      <w:pPr>
        <w:spacing w:after="0"/>
        <w:jc w:val="both"/>
        <w:rPr>
          <w:b/>
          <w:bCs/>
        </w:rPr>
      </w:pPr>
    </w:p>
    <w:p w:rsidR="00F55B02" w:rsidRDefault="00F55B02" w:rsidP="006E0A3B">
      <w:pPr>
        <w:spacing w:after="0"/>
        <w:jc w:val="both"/>
        <w:rPr>
          <w:b/>
          <w:bCs/>
        </w:rPr>
      </w:pPr>
      <w:r>
        <w:rPr>
          <w:b/>
          <w:bCs/>
        </w:rPr>
        <w:t>Part 4: Overall</w:t>
      </w:r>
    </w:p>
    <w:p w:rsidR="00F55B02" w:rsidRDefault="00F55B02" w:rsidP="006E0A3B">
      <w:pPr>
        <w:spacing w:after="0"/>
        <w:jc w:val="both"/>
        <w:rPr>
          <w:b/>
          <w:bCs/>
        </w:rPr>
      </w:pPr>
      <w:hyperlink r:id="rId8" w:history="1">
        <w:r w:rsidRPr="005A1A84">
          <w:rPr>
            <w:rStyle w:val="Hyperlink"/>
            <w:b/>
            <w:bCs/>
          </w:rPr>
          <w:t>https://thehealerjournal.com/index.php/templates/article/view/126/51</w:t>
        </w:r>
      </w:hyperlink>
      <w:r>
        <w:rPr>
          <w:b/>
          <w:bCs/>
        </w:rPr>
        <w:t xml:space="preserve"> </w:t>
      </w:r>
    </w:p>
    <w:p w:rsidR="00F55B02" w:rsidRDefault="00F55B02" w:rsidP="006E0A3B">
      <w:pPr>
        <w:spacing w:after="0"/>
        <w:jc w:val="both"/>
        <w:rPr>
          <w:b/>
          <w:bCs/>
        </w:rPr>
      </w:pPr>
      <w:hyperlink r:id="rId9" w:history="1">
        <w:r w:rsidRPr="005A1A84">
          <w:rPr>
            <w:rStyle w:val="Hyperlink"/>
            <w:b/>
            <w:bCs/>
          </w:rPr>
          <w:t>https://citeseerx.ist.psu.edu/document?repid=rep1&amp;type=pdf&amp;doi=a1e9367e2d8ad0b73b597950d8dce1c980b3e499</w:t>
        </w:r>
      </w:hyperlink>
      <w:r>
        <w:rPr>
          <w:b/>
          <w:bCs/>
        </w:rPr>
        <w:t xml:space="preserve"> </w:t>
      </w:r>
    </w:p>
    <w:p w:rsidR="00F55B02" w:rsidRDefault="00F55B02" w:rsidP="006E0A3B">
      <w:pPr>
        <w:spacing w:after="0"/>
        <w:jc w:val="both"/>
        <w:rPr>
          <w:b/>
          <w:bCs/>
        </w:rPr>
      </w:pPr>
      <w:hyperlink r:id="rId10" w:history="1">
        <w:r w:rsidRPr="005A1A84">
          <w:rPr>
            <w:rStyle w:val="Hyperlink"/>
            <w:b/>
            <w:bCs/>
          </w:rPr>
          <w:t>https://www.researchgate.net/profile/Hassan-Chamsi-Pasha/publication/348907933_A_review_of_the_literature_on_the_health_benefits_of_Salat_Islamic_prayer/links/62e361483c0ea87887645c5a/A-review-of-the-literature-on-the-health-benefits-of-Salat-Islamic-prayer.pdf</w:t>
        </w:r>
      </w:hyperlink>
      <w:r>
        <w:rPr>
          <w:b/>
          <w:bCs/>
        </w:rPr>
        <w:t xml:space="preserve"> </w:t>
      </w:r>
    </w:p>
    <w:p w:rsidR="007375E9" w:rsidRPr="00416F83" w:rsidRDefault="007375E9" w:rsidP="006E0A3B">
      <w:pPr>
        <w:spacing w:after="0"/>
        <w:jc w:val="both"/>
        <w:rPr>
          <w:b/>
          <w:bCs/>
        </w:rPr>
      </w:pPr>
      <w:hyperlink r:id="rId11" w:history="1">
        <w:r w:rsidRPr="005A1A84">
          <w:rPr>
            <w:rStyle w:val="Hyperlink"/>
            <w:b/>
            <w:bCs/>
          </w:rPr>
          <w:t>https://www.sciencedirect.com/science/article/pii/S1319562X23000487</w:t>
        </w:r>
      </w:hyperlink>
      <w:r>
        <w:rPr>
          <w:b/>
          <w:bCs/>
        </w:rPr>
        <w:t xml:space="preserve"> </w:t>
      </w:r>
    </w:p>
    <w:sectPr w:rsidR="007375E9" w:rsidRPr="0041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08B1"/>
    <w:multiLevelType w:val="multilevel"/>
    <w:tmpl w:val="3BDCB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15125"/>
    <w:multiLevelType w:val="hybridMultilevel"/>
    <w:tmpl w:val="9992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A21FE"/>
    <w:multiLevelType w:val="multilevel"/>
    <w:tmpl w:val="934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B3AD6"/>
    <w:multiLevelType w:val="multilevel"/>
    <w:tmpl w:val="ECFC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1367D"/>
    <w:multiLevelType w:val="multilevel"/>
    <w:tmpl w:val="324E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E59BC"/>
    <w:multiLevelType w:val="multilevel"/>
    <w:tmpl w:val="89E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29658">
    <w:abstractNumId w:val="5"/>
  </w:num>
  <w:num w:numId="2" w16cid:durableId="1036976513">
    <w:abstractNumId w:val="0"/>
  </w:num>
  <w:num w:numId="3" w16cid:durableId="1611932021">
    <w:abstractNumId w:val="4"/>
  </w:num>
  <w:num w:numId="4" w16cid:durableId="1850173938">
    <w:abstractNumId w:val="2"/>
  </w:num>
  <w:num w:numId="5" w16cid:durableId="903758312">
    <w:abstractNumId w:val="3"/>
  </w:num>
  <w:num w:numId="6" w16cid:durableId="1268929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5"/>
    <w:rsid w:val="001224BE"/>
    <w:rsid w:val="002509E1"/>
    <w:rsid w:val="00293580"/>
    <w:rsid w:val="002B5A67"/>
    <w:rsid w:val="00416F83"/>
    <w:rsid w:val="00421BA5"/>
    <w:rsid w:val="00460C93"/>
    <w:rsid w:val="00460DA3"/>
    <w:rsid w:val="004B6D97"/>
    <w:rsid w:val="00527A9E"/>
    <w:rsid w:val="00545248"/>
    <w:rsid w:val="0060525E"/>
    <w:rsid w:val="0064717D"/>
    <w:rsid w:val="00677D7C"/>
    <w:rsid w:val="006E0A3B"/>
    <w:rsid w:val="00735362"/>
    <w:rsid w:val="007375E9"/>
    <w:rsid w:val="00780EF2"/>
    <w:rsid w:val="007D5835"/>
    <w:rsid w:val="00915301"/>
    <w:rsid w:val="009301B5"/>
    <w:rsid w:val="00951C95"/>
    <w:rsid w:val="00976C41"/>
    <w:rsid w:val="009E1204"/>
    <w:rsid w:val="00B13267"/>
    <w:rsid w:val="00B22A7F"/>
    <w:rsid w:val="00BE448D"/>
    <w:rsid w:val="00CF1E6E"/>
    <w:rsid w:val="00CF3285"/>
    <w:rsid w:val="00D0767A"/>
    <w:rsid w:val="00E056D4"/>
    <w:rsid w:val="00F05BE9"/>
    <w:rsid w:val="00F5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1C4B"/>
  <w14:defaultImageDpi w14:val="330"/>
  <w15:chartTrackingRefBased/>
  <w15:docId w15:val="{0E8054B2-97F9-4E4E-A8F2-F42831A1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04"/>
    <w:rPr>
      <w:sz w:val="20"/>
    </w:rPr>
  </w:style>
  <w:style w:type="paragraph" w:styleId="Heading1">
    <w:name w:val="heading 1"/>
    <w:basedOn w:val="Normal"/>
    <w:next w:val="Normal"/>
    <w:link w:val="Heading1Char"/>
    <w:uiPriority w:val="9"/>
    <w:qFormat/>
    <w:rsid w:val="007D5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8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8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D583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D58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D583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D583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D583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83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835"/>
    <w:rPr>
      <w:rFonts w:asciiTheme="minorHAnsi" w:eastAsiaTheme="majorEastAsia" w:hAnsiTheme="minorHAnsi" w:cstheme="majorBidi"/>
      <w:i/>
      <w:iCs/>
      <w:color w:val="0F4761" w:themeColor="accent1" w:themeShade="BF"/>
      <w:sz w:val="20"/>
    </w:rPr>
  </w:style>
  <w:style w:type="character" w:customStyle="1" w:styleId="Heading5Char">
    <w:name w:val="Heading 5 Char"/>
    <w:basedOn w:val="DefaultParagraphFont"/>
    <w:link w:val="Heading5"/>
    <w:uiPriority w:val="9"/>
    <w:semiHidden/>
    <w:rsid w:val="007D5835"/>
    <w:rPr>
      <w:rFonts w:asciiTheme="minorHAnsi" w:eastAsiaTheme="majorEastAsia" w:hAnsiTheme="minorHAnsi" w:cstheme="majorBidi"/>
      <w:color w:val="0F4761" w:themeColor="accent1" w:themeShade="BF"/>
      <w:sz w:val="20"/>
    </w:rPr>
  </w:style>
  <w:style w:type="character" w:customStyle="1" w:styleId="Heading6Char">
    <w:name w:val="Heading 6 Char"/>
    <w:basedOn w:val="DefaultParagraphFont"/>
    <w:link w:val="Heading6"/>
    <w:uiPriority w:val="9"/>
    <w:semiHidden/>
    <w:rsid w:val="007D5835"/>
    <w:rPr>
      <w:rFonts w:asciiTheme="minorHAnsi" w:eastAsiaTheme="majorEastAsia" w:hAnsiTheme="minorHAnsi" w:cstheme="majorBidi"/>
      <w:i/>
      <w:iCs/>
      <w:color w:val="595959" w:themeColor="text1" w:themeTint="A6"/>
      <w:sz w:val="20"/>
    </w:rPr>
  </w:style>
  <w:style w:type="character" w:customStyle="1" w:styleId="Heading7Char">
    <w:name w:val="Heading 7 Char"/>
    <w:basedOn w:val="DefaultParagraphFont"/>
    <w:link w:val="Heading7"/>
    <w:uiPriority w:val="9"/>
    <w:semiHidden/>
    <w:rsid w:val="007D5835"/>
    <w:rPr>
      <w:rFonts w:asciiTheme="minorHAnsi" w:eastAsiaTheme="majorEastAsia" w:hAnsiTheme="minorHAnsi" w:cstheme="majorBidi"/>
      <w:color w:val="595959" w:themeColor="text1" w:themeTint="A6"/>
      <w:sz w:val="20"/>
    </w:rPr>
  </w:style>
  <w:style w:type="character" w:customStyle="1" w:styleId="Heading8Char">
    <w:name w:val="Heading 8 Char"/>
    <w:basedOn w:val="DefaultParagraphFont"/>
    <w:link w:val="Heading8"/>
    <w:uiPriority w:val="9"/>
    <w:semiHidden/>
    <w:rsid w:val="007D5835"/>
    <w:rPr>
      <w:rFonts w:asciiTheme="minorHAnsi" w:eastAsiaTheme="majorEastAsia" w:hAnsiTheme="minorHAnsi" w:cstheme="majorBidi"/>
      <w:i/>
      <w:iCs/>
      <w:color w:val="272727" w:themeColor="text1" w:themeTint="D8"/>
      <w:sz w:val="20"/>
    </w:rPr>
  </w:style>
  <w:style w:type="character" w:customStyle="1" w:styleId="Heading9Char">
    <w:name w:val="Heading 9 Char"/>
    <w:basedOn w:val="DefaultParagraphFont"/>
    <w:link w:val="Heading9"/>
    <w:uiPriority w:val="9"/>
    <w:semiHidden/>
    <w:rsid w:val="007D5835"/>
    <w:rPr>
      <w:rFonts w:asciiTheme="minorHAnsi" w:eastAsiaTheme="majorEastAsia" w:hAnsiTheme="minorHAnsi" w:cstheme="majorBidi"/>
      <w:color w:val="272727" w:themeColor="text1" w:themeTint="D8"/>
      <w:sz w:val="20"/>
    </w:rPr>
  </w:style>
  <w:style w:type="paragraph" w:styleId="Title">
    <w:name w:val="Title"/>
    <w:basedOn w:val="Normal"/>
    <w:next w:val="Normal"/>
    <w:link w:val="TitleChar"/>
    <w:uiPriority w:val="10"/>
    <w:qFormat/>
    <w:rsid w:val="007D5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8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83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D5835"/>
    <w:pPr>
      <w:spacing w:before="160"/>
      <w:jc w:val="center"/>
    </w:pPr>
    <w:rPr>
      <w:i/>
      <w:iCs/>
      <w:color w:val="404040" w:themeColor="text1" w:themeTint="BF"/>
    </w:rPr>
  </w:style>
  <w:style w:type="character" w:customStyle="1" w:styleId="QuoteChar">
    <w:name w:val="Quote Char"/>
    <w:basedOn w:val="DefaultParagraphFont"/>
    <w:link w:val="Quote"/>
    <w:uiPriority w:val="29"/>
    <w:rsid w:val="007D5835"/>
    <w:rPr>
      <w:i/>
      <w:iCs/>
      <w:color w:val="404040" w:themeColor="text1" w:themeTint="BF"/>
      <w:sz w:val="20"/>
    </w:rPr>
  </w:style>
  <w:style w:type="paragraph" w:styleId="ListParagraph">
    <w:name w:val="List Paragraph"/>
    <w:basedOn w:val="Normal"/>
    <w:uiPriority w:val="34"/>
    <w:qFormat/>
    <w:rsid w:val="007D5835"/>
    <w:pPr>
      <w:ind w:left="720"/>
      <w:contextualSpacing/>
    </w:pPr>
  </w:style>
  <w:style w:type="character" w:styleId="IntenseEmphasis">
    <w:name w:val="Intense Emphasis"/>
    <w:basedOn w:val="DefaultParagraphFont"/>
    <w:uiPriority w:val="21"/>
    <w:qFormat/>
    <w:rsid w:val="007D5835"/>
    <w:rPr>
      <w:i/>
      <w:iCs/>
      <w:color w:val="0F4761" w:themeColor="accent1" w:themeShade="BF"/>
    </w:rPr>
  </w:style>
  <w:style w:type="paragraph" w:styleId="IntenseQuote">
    <w:name w:val="Intense Quote"/>
    <w:basedOn w:val="Normal"/>
    <w:next w:val="Normal"/>
    <w:link w:val="IntenseQuoteChar"/>
    <w:uiPriority w:val="30"/>
    <w:qFormat/>
    <w:rsid w:val="007D5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835"/>
    <w:rPr>
      <w:i/>
      <w:iCs/>
      <w:color w:val="0F4761" w:themeColor="accent1" w:themeShade="BF"/>
      <w:sz w:val="20"/>
    </w:rPr>
  </w:style>
  <w:style w:type="character" w:styleId="IntenseReference">
    <w:name w:val="Intense Reference"/>
    <w:basedOn w:val="DefaultParagraphFont"/>
    <w:uiPriority w:val="32"/>
    <w:qFormat/>
    <w:rsid w:val="007D5835"/>
    <w:rPr>
      <w:b/>
      <w:bCs/>
      <w:smallCaps/>
      <w:color w:val="0F4761" w:themeColor="accent1" w:themeShade="BF"/>
      <w:spacing w:val="5"/>
    </w:rPr>
  </w:style>
  <w:style w:type="character" w:styleId="PlaceholderText">
    <w:name w:val="Placeholder Text"/>
    <w:basedOn w:val="DefaultParagraphFont"/>
    <w:uiPriority w:val="99"/>
    <w:semiHidden/>
    <w:rsid w:val="00527A9E"/>
    <w:rPr>
      <w:color w:val="666666"/>
    </w:rPr>
  </w:style>
  <w:style w:type="table" w:styleId="TableGrid">
    <w:name w:val="Table Grid"/>
    <w:basedOn w:val="TableNormal"/>
    <w:uiPriority w:val="39"/>
    <w:rsid w:val="00CF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301"/>
    <w:rPr>
      <w:color w:val="467886" w:themeColor="hyperlink"/>
      <w:u w:val="single"/>
    </w:rPr>
  </w:style>
  <w:style w:type="character" w:styleId="UnresolvedMention">
    <w:name w:val="Unresolved Mention"/>
    <w:basedOn w:val="DefaultParagraphFont"/>
    <w:uiPriority w:val="99"/>
    <w:semiHidden/>
    <w:unhideWhenUsed/>
    <w:rsid w:val="00915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45625">
      <w:bodyDiv w:val="1"/>
      <w:marLeft w:val="0"/>
      <w:marRight w:val="0"/>
      <w:marTop w:val="0"/>
      <w:marBottom w:val="0"/>
      <w:divBdr>
        <w:top w:val="none" w:sz="0" w:space="0" w:color="auto"/>
        <w:left w:val="none" w:sz="0" w:space="0" w:color="auto"/>
        <w:bottom w:val="none" w:sz="0" w:space="0" w:color="auto"/>
        <w:right w:val="none" w:sz="0" w:space="0" w:color="auto"/>
      </w:divBdr>
    </w:div>
    <w:div w:id="414321226">
      <w:bodyDiv w:val="1"/>
      <w:marLeft w:val="0"/>
      <w:marRight w:val="0"/>
      <w:marTop w:val="0"/>
      <w:marBottom w:val="0"/>
      <w:divBdr>
        <w:top w:val="none" w:sz="0" w:space="0" w:color="auto"/>
        <w:left w:val="none" w:sz="0" w:space="0" w:color="auto"/>
        <w:bottom w:val="none" w:sz="0" w:space="0" w:color="auto"/>
        <w:right w:val="none" w:sz="0" w:space="0" w:color="auto"/>
      </w:divBdr>
    </w:div>
    <w:div w:id="988367343">
      <w:bodyDiv w:val="1"/>
      <w:marLeft w:val="0"/>
      <w:marRight w:val="0"/>
      <w:marTop w:val="0"/>
      <w:marBottom w:val="0"/>
      <w:divBdr>
        <w:top w:val="none" w:sz="0" w:space="0" w:color="auto"/>
        <w:left w:val="none" w:sz="0" w:space="0" w:color="auto"/>
        <w:bottom w:val="none" w:sz="0" w:space="0" w:color="auto"/>
        <w:right w:val="none" w:sz="0" w:space="0" w:color="auto"/>
      </w:divBdr>
    </w:div>
    <w:div w:id="1082410589">
      <w:bodyDiv w:val="1"/>
      <w:marLeft w:val="0"/>
      <w:marRight w:val="0"/>
      <w:marTop w:val="0"/>
      <w:marBottom w:val="0"/>
      <w:divBdr>
        <w:top w:val="none" w:sz="0" w:space="0" w:color="auto"/>
        <w:left w:val="none" w:sz="0" w:space="0" w:color="auto"/>
        <w:bottom w:val="none" w:sz="0" w:space="0" w:color="auto"/>
        <w:right w:val="none" w:sz="0" w:space="0" w:color="auto"/>
      </w:divBdr>
    </w:div>
    <w:div w:id="1339697527">
      <w:bodyDiv w:val="1"/>
      <w:marLeft w:val="0"/>
      <w:marRight w:val="0"/>
      <w:marTop w:val="0"/>
      <w:marBottom w:val="0"/>
      <w:divBdr>
        <w:top w:val="none" w:sz="0" w:space="0" w:color="auto"/>
        <w:left w:val="none" w:sz="0" w:space="0" w:color="auto"/>
        <w:bottom w:val="none" w:sz="0" w:space="0" w:color="auto"/>
        <w:right w:val="none" w:sz="0" w:space="0" w:color="auto"/>
      </w:divBdr>
    </w:div>
    <w:div w:id="186752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ealerjournal.com/index.php/templates/article/view/126/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stage.jst.go.jp/article/jpts/24/10/24_JPTS-2012-180/_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1319562X23000487" TargetMode="External"/><Relationship Id="rId5" Type="http://schemas.openxmlformats.org/officeDocument/2006/relationships/image" Target="media/image1.jpeg"/><Relationship Id="rId10" Type="http://schemas.openxmlformats.org/officeDocument/2006/relationships/hyperlink" Target="https://www.researchgate.net/profile/Hassan-Chamsi-Pasha/publication/348907933_A_review_of_the_literature_on_the_health_benefits_of_Salat_Islamic_prayer/links/62e361483c0ea87887645c5a/A-review-of-the-literature-on-the-health-benefits-of-Salat-Islamic-prayer.pdf" TargetMode="External"/><Relationship Id="rId4" Type="http://schemas.openxmlformats.org/officeDocument/2006/relationships/webSettings" Target="webSettings.xml"/><Relationship Id="rId9" Type="http://schemas.openxmlformats.org/officeDocument/2006/relationships/hyperlink" Target="https://citeseerx.ist.psu.edu/document?repid=rep1&amp;type=pdf&amp;doi=a1e9367e2d8ad0b73b597950d8dce1c980b3e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2</cp:revision>
  <dcterms:created xsi:type="dcterms:W3CDTF">2025-03-12T14:15:00Z</dcterms:created>
  <dcterms:modified xsi:type="dcterms:W3CDTF">2025-03-12T16:09:00Z</dcterms:modified>
</cp:coreProperties>
</file>