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F51" w:rsidRDefault="00384F51" w:rsidP="00384F51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6248"/>
      </w:tblGrid>
      <w:tr w:rsidR="00384F51" w:rsidTr="00384F51">
        <w:trPr>
          <w:jc w:val="center"/>
        </w:trPr>
        <w:tc>
          <w:tcPr>
            <w:tcW w:w="7524" w:type="dxa"/>
            <w:gridSpan w:val="2"/>
          </w:tcPr>
          <w:p w:rsidR="00384F51" w:rsidRPr="00384F51" w:rsidRDefault="00384F51" w:rsidP="00384F51">
            <w:pPr>
              <w:jc w:val="center"/>
              <w:rPr>
                <w:b/>
                <w:bCs/>
                <w:lang w:val="en-US"/>
              </w:rPr>
            </w:pPr>
            <w:r w:rsidRPr="00384F51">
              <w:rPr>
                <w:b/>
                <w:bCs/>
                <w:lang w:val="en-US"/>
              </w:rPr>
              <w:t>Details</w:t>
            </w:r>
          </w:p>
        </w:tc>
      </w:tr>
      <w:tr w:rsidR="00384F51" w:rsidTr="00384F51">
        <w:trPr>
          <w:jc w:val="center"/>
        </w:trPr>
        <w:tc>
          <w:tcPr>
            <w:tcW w:w="1276" w:type="dxa"/>
            <w:vAlign w:val="center"/>
          </w:tcPr>
          <w:p w:rsidR="00384F51" w:rsidRDefault="00384F51" w:rsidP="00384F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</w:tcPr>
          <w:p w:rsidR="00384F51" w:rsidRDefault="00384F51" w:rsidP="00384F51">
            <w:pPr>
              <w:spacing w:line="259" w:lineRule="auto"/>
              <w:rPr>
                <w:lang w:val="en-US"/>
              </w:rPr>
            </w:pPr>
            <w:r w:rsidRPr="00384F51">
              <w:rPr>
                <w:lang w:val="en-US"/>
              </w:rPr>
              <w:t>The Investment Strategies of Sovereign Wealth Funds</w:t>
            </w:r>
          </w:p>
        </w:tc>
      </w:tr>
      <w:tr w:rsidR="00384F51" w:rsidTr="00384F51">
        <w:trPr>
          <w:jc w:val="center"/>
        </w:trPr>
        <w:tc>
          <w:tcPr>
            <w:tcW w:w="1276" w:type="dxa"/>
            <w:vAlign w:val="center"/>
          </w:tcPr>
          <w:p w:rsidR="00384F51" w:rsidRDefault="00384F51" w:rsidP="00384F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</w:tcPr>
          <w:p w:rsidR="00384F51" w:rsidRDefault="00384F51" w:rsidP="00384F51">
            <w:pPr>
              <w:rPr>
                <w:lang w:val="en-US"/>
              </w:rPr>
            </w:pPr>
            <w:r w:rsidRPr="00384F51">
              <w:rPr>
                <w:lang w:val="en-US"/>
              </w:rPr>
              <w:t>Shai Bernstein</w:t>
            </w:r>
            <w:r>
              <w:rPr>
                <w:lang w:val="en-US"/>
              </w:rPr>
              <w:t xml:space="preserve">, </w:t>
            </w:r>
            <w:r w:rsidRPr="00384F51">
              <w:rPr>
                <w:lang w:val="en-US"/>
              </w:rPr>
              <w:t>Josh Lerner</w:t>
            </w:r>
            <w:r>
              <w:rPr>
                <w:lang w:val="en-US"/>
              </w:rPr>
              <w:t xml:space="preserve">, </w:t>
            </w:r>
            <w:r w:rsidRPr="00384F51">
              <w:rPr>
                <w:lang w:val="en-US"/>
              </w:rPr>
              <w:t xml:space="preserve">Antoinette </w:t>
            </w:r>
            <w:proofErr w:type="spellStart"/>
            <w:r w:rsidRPr="00384F51">
              <w:rPr>
                <w:lang w:val="en-US"/>
              </w:rPr>
              <w:t>Schoar</w:t>
            </w:r>
            <w:proofErr w:type="spellEnd"/>
          </w:p>
        </w:tc>
      </w:tr>
      <w:tr w:rsidR="00384F51" w:rsidTr="00384F51">
        <w:trPr>
          <w:jc w:val="center"/>
        </w:trPr>
        <w:tc>
          <w:tcPr>
            <w:tcW w:w="1276" w:type="dxa"/>
            <w:vAlign w:val="center"/>
          </w:tcPr>
          <w:p w:rsidR="00384F51" w:rsidRDefault="00384F51" w:rsidP="00384F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</w:tcPr>
          <w:p w:rsidR="00384F51" w:rsidRPr="00384F51" w:rsidRDefault="00384F51" w:rsidP="00384F51">
            <w:pPr>
              <w:rPr>
                <w:lang w:val="en-US"/>
              </w:rPr>
            </w:pPr>
            <w:r w:rsidRPr="00384F51">
              <w:rPr>
                <w:lang w:val="en-US"/>
              </w:rPr>
              <w:t>10.1257/jep.27.2.219</w:t>
            </w:r>
          </w:p>
        </w:tc>
      </w:tr>
      <w:tr w:rsidR="00384F51" w:rsidTr="00384F51">
        <w:trPr>
          <w:jc w:val="center"/>
        </w:trPr>
        <w:tc>
          <w:tcPr>
            <w:tcW w:w="1276" w:type="dxa"/>
            <w:vAlign w:val="center"/>
          </w:tcPr>
          <w:p w:rsidR="00384F51" w:rsidRDefault="00384F51" w:rsidP="00384F51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6248" w:type="dxa"/>
          </w:tcPr>
          <w:p w:rsidR="00384F51" w:rsidRPr="00384F51" w:rsidRDefault="00384F51" w:rsidP="00384F51">
            <w:pPr>
              <w:rPr>
                <w:lang w:val="en-US"/>
              </w:rPr>
            </w:pPr>
            <w:r w:rsidRPr="00384F51">
              <w:rPr>
                <w:lang w:val="en-US"/>
              </w:rPr>
              <w:t>https://www.aeaweb.org/articles?id=10.1257/jep.27.2.219</w:t>
            </w:r>
          </w:p>
        </w:tc>
      </w:tr>
    </w:tbl>
    <w:p w:rsidR="00384F51" w:rsidRDefault="00384F51" w:rsidP="00384F51">
      <w:pPr>
        <w:spacing w:after="0"/>
        <w:jc w:val="center"/>
        <w:rPr>
          <w:b/>
          <w:bCs/>
          <w:sz w:val="24"/>
          <w:szCs w:val="28"/>
          <w:u w:val="single"/>
          <w:lang w:val="en-US"/>
        </w:rPr>
      </w:pPr>
    </w:p>
    <w:p w:rsidR="00384F51" w:rsidRPr="00384F51" w:rsidRDefault="00384F51" w:rsidP="00384F51">
      <w:pPr>
        <w:spacing w:after="0"/>
        <w:jc w:val="center"/>
        <w:rPr>
          <w:b/>
          <w:bCs/>
          <w:sz w:val="24"/>
          <w:szCs w:val="28"/>
          <w:u w:val="single"/>
          <w:lang w:val="en-US"/>
        </w:rPr>
      </w:pPr>
      <w:r w:rsidRPr="00384F51">
        <w:rPr>
          <w:b/>
          <w:bCs/>
          <w:sz w:val="24"/>
          <w:szCs w:val="28"/>
          <w:u w:val="single"/>
          <w:lang w:val="en-US"/>
        </w:rPr>
        <w:t>Summary</w:t>
      </w:r>
    </w:p>
    <w:p w:rsidR="00384F51" w:rsidRPr="00384F51" w:rsidRDefault="00384F51" w:rsidP="00384F51">
      <w:pPr>
        <w:spacing w:after="0"/>
        <w:rPr>
          <w:b/>
          <w:bCs/>
          <w:u w:val="single"/>
          <w:lang w:val="en-US"/>
        </w:rPr>
      </w:pPr>
      <w:r w:rsidRPr="00384F51">
        <w:rPr>
          <w:b/>
          <w:bCs/>
          <w:u w:val="single"/>
          <w:lang w:val="en-US"/>
        </w:rPr>
        <w:t>Part 1: Sovereign wealth fund overview</w:t>
      </w:r>
    </w:p>
    <w:p w:rsidR="00384F51" w:rsidRDefault="008D0C3D" w:rsidP="008D0C3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In most cases, the funds for SWF </w:t>
      </w:r>
      <w:r w:rsidR="00941AC0">
        <w:rPr>
          <w:lang w:val="en-US"/>
        </w:rPr>
        <w:t>sourced from</w:t>
      </w:r>
      <w:r>
        <w:rPr>
          <w:lang w:val="en-US"/>
        </w:rPr>
        <w:t xml:space="preserve"> oil</w:t>
      </w:r>
      <w:r w:rsidR="00941AC0">
        <w:rPr>
          <w:lang w:val="en-US"/>
        </w:rPr>
        <w:t xml:space="preserve"> revenues</w:t>
      </w:r>
      <w:r>
        <w:rPr>
          <w:lang w:val="en-US"/>
        </w:rPr>
        <w:t>.</w:t>
      </w:r>
    </w:p>
    <w:p w:rsidR="008D0C3D" w:rsidRDefault="008D0C3D" w:rsidP="008D0C3D">
      <w:pPr>
        <w:pStyle w:val="ListParagraph"/>
        <w:spacing w:after="0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73942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3D" w:rsidRDefault="00941AC0" w:rsidP="008D0C3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SWF in China and Singapore sourced from trade surpluses. </w:t>
      </w:r>
    </w:p>
    <w:p w:rsidR="00941AC0" w:rsidRPr="00941AC0" w:rsidRDefault="00941AC0" w:rsidP="00941A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Rapid growth in SWF: </w:t>
      </w:r>
      <m:oMath>
        <m:r>
          <w:rPr>
            <w:rFonts w:ascii="Cambria Math" w:hAnsi="Cambria Math"/>
            <w:lang w:val="en-US"/>
          </w:rPr>
          <m:t>USD500</m:t>
        </m:r>
        <m:r>
          <m:rPr>
            <m:nor/>
          </m:rPr>
          <w:rPr>
            <w:rFonts w:ascii="Cambria Math" w:hAnsi="Cambria Math"/>
            <w:lang w:val="en-US"/>
          </w:rPr>
          <m:t xml:space="preserve"> billion 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  <w:lang w:val="en-US"/>
          </w:rPr>
          <m:t>USD5</m:t>
        </m:r>
        <m:r>
          <m:rPr>
            <m:nor/>
          </m:rPr>
          <w:rPr>
            <w:rFonts w:ascii="Cambria Math" w:hAnsi="Cambria Math"/>
            <w:lang w:val="en-US"/>
          </w:rPr>
          <m:t xml:space="preserve"> trillion</m:t>
        </m:r>
      </m:oMath>
      <w:r w:rsidRPr="00941AC0">
        <w:rPr>
          <w:rFonts w:eastAsiaTheme="minorEastAsia"/>
          <w:lang w:val="en-US"/>
        </w:rPr>
        <w:t xml:space="preserve"> from 1990 to 2013</w:t>
      </w:r>
      <w:r>
        <w:rPr>
          <w:rFonts w:eastAsiaTheme="minorEastAsia"/>
          <w:lang w:val="en-US"/>
        </w:rPr>
        <w:t>.</w:t>
      </w:r>
    </w:p>
    <w:p w:rsidR="00941AC0" w:rsidRPr="00941AC0" w:rsidRDefault="00941AC0" w:rsidP="00941A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>24% annual growth rate between 2010-2013.</w:t>
      </w:r>
    </w:p>
    <w:p w:rsidR="00941AC0" w:rsidRPr="00941AC0" w:rsidRDefault="00941AC0" w:rsidP="00941AC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rFonts w:eastAsiaTheme="minorEastAsia"/>
          <w:lang w:val="en-US"/>
        </w:rPr>
        <w:t>3 distinct roles of SWF:</w:t>
      </w:r>
    </w:p>
    <w:p w:rsidR="004C0092" w:rsidRDefault="00941AC0" w:rsidP="00941AC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941AC0">
        <w:rPr>
          <w:lang w:val="en-US"/>
        </w:rPr>
        <w:t xml:space="preserve">serve as a </w:t>
      </w:r>
      <w:r w:rsidRPr="004C0092">
        <w:rPr>
          <w:b/>
          <w:bCs/>
          <w:lang w:val="en-US"/>
        </w:rPr>
        <w:t>source of capital</w:t>
      </w:r>
      <w:r w:rsidRPr="00941AC0">
        <w:rPr>
          <w:lang w:val="en-US"/>
        </w:rPr>
        <w:t xml:space="preserve"> for future generations</w:t>
      </w:r>
      <w:r>
        <w:rPr>
          <w:lang w:val="en-US"/>
        </w:rPr>
        <w:t xml:space="preserve">, </w:t>
      </w:r>
    </w:p>
    <w:p w:rsidR="004C0092" w:rsidRDefault="00941AC0" w:rsidP="004C0092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 xml:space="preserve">e.g. </w:t>
      </w:r>
      <w:r w:rsidRPr="00941AC0">
        <w:rPr>
          <w:lang w:val="en-US"/>
        </w:rPr>
        <w:t>Kiribati Revenue Equalization Reserve Fund</w:t>
      </w:r>
      <w:r>
        <w:rPr>
          <w:lang w:val="en-US"/>
        </w:rPr>
        <w:t xml:space="preserve">, extraction of guano stopped in 1979, but funds </w:t>
      </w:r>
      <w:r w:rsidR="004C0092">
        <w:rPr>
          <w:lang w:val="en-US"/>
        </w:rPr>
        <w:t xml:space="preserve">remains key economic contributor. </w:t>
      </w:r>
    </w:p>
    <w:p w:rsidR="004C0092" w:rsidRDefault="004C0092" w:rsidP="004C0092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 xml:space="preserve">- The fund is 10x the </w:t>
      </w:r>
      <w:r w:rsidR="0057332E">
        <w:rPr>
          <w:lang w:val="en-US"/>
        </w:rPr>
        <w:t>Gross Domestic Product (</w:t>
      </w:r>
      <w:r>
        <w:rPr>
          <w:lang w:val="en-US"/>
        </w:rPr>
        <w:t>GDP</w:t>
      </w:r>
      <w:r w:rsidR="0057332E">
        <w:rPr>
          <w:lang w:val="en-US"/>
        </w:rPr>
        <w:t>)</w:t>
      </w:r>
      <w:r>
        <w:rPr>
          <w:lang w:val="en-US"/>
        </w:rPr>
        <w:t xml:space="preserve"> of Kiribati. </w:t>
      </w:r>
    </w:p>
    <w:p w:rsidR="004C0092" w:rsidRPr="004C0092" w:rsidRDefault="004C0092" w:rsidP="004C0092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 xml:space="preserve">- Interest rate of the fund contributes 30% of the Kiribati’s revenue. </w:t>
      </w:r>
    </w:p>
    <w:p w:rsidR="004C0092" w:rsidRDefault="004C0092" w:rsidP="00941AC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4C0092">
        <w:rPr>
          <w:lang w:val="en-US"/>
        </w:rPr>
        <w:t xml:space="preserve">a </w:t>
      </w:r>
      <w:r w:rsidRPr="004C0092">
        <w:rPr>
          <w:b/>
          <w:bCs/>
          <w:lang w:val="en-US"/>
        </w:rPr>
        <w:t>stabilizing role</w:t>
      </w:r>
      <w:r w:rsidRPr="004C0092">
        <w:rPr>
          <w:lang w:val="en-US"/>
        </w:rPr>
        <w:t xml:space="preserve"> by reducing the volatility of government revenues</w:t>
      </w:r>
    </w:p>
    <w:p w:rsidR="004C0092" w:rsidRDefault="004C0092" w:rsidP="004C0092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stabilizing role for countries that depend heavily on commodity revenue. </w:t>
      </w:r>
    </w:p>
    <w:p w:rsidR="004C0092" w:rsidRPr="004C0092" w:rsidRDefault="004C0092" w:rsidP="004C0092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e.g. alleviate pressure on falling prices of oil for certain countries</w:t>
      </w:r>
    </w:p>
    <w:p w:rsidR="00941AC0" w:rsidRDefault="004C0092" w:rsidP="004C0092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as</w:t>
      </w:r>
      <w:r w:rsidRPr="004C0092">
        <w:rPr>
          <w:lang w:val="en-US"/>
        </w:rPr>
        <w:t xml:space="preserve"> </w:t>
      </w:r>
      <w:r w:rsidRPr="000E2CCB">
        <w:rPr>
          <w:b/>
          <w:bCs/>
          <w:lang w:val="en-US"/>
        </w:rPr>
        <w:t>holding companies</w:t>
      </w:r>
      <w:r w:rsidRPr="004C0092">
        <w:rPr>
          <w:lang w:val="en-US"/>
        </w:rPr>
        <w:t xml:space="preserve">, </w:t>
      </w:r>
      <w:r>
        <w:rPr>
          <w:lang w:val="en-US"/>
        </w:rPr>
        <w:t xml:space="preserve">with </w:t>
      </w:r>
      <w:r w:rsidRPr="004C0092">
        <w:rPr>
          <w:lang w:val="en-US"/>
        </w:rPr>
        <w:t>which the government places its strategic investments.</w:t>
      </w:r>
    </w:p>
    <w:p w:rsidR="000E2CCB" w:rsidRPr="004C0092" w:rsidRDefault="000E2CCB" w:rsidP="000E2CCB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For strategic investment purposes by public leaders in domestic/foreign firms </w:t>
      </w:r>
    </w:p>
    <w:p w:rsidR="00941AC0" w:rsidRPr="00941AC0" w:rsidRDefault="00941AC0" w:rsidP="00941AC0">
      <w:pPr>
        <w:pStyle w:val="ListParagraph"/>
        <w:spacing w:after="0"/>
        <w:ind w:left="1080"/>
        <w:rPr>
          <w:rFonts w:eastAsiaTheme="minorEastAsia"/>
          <w:lang w:val="en-US"/>
        </w:rPr>
      </w:pPr>
    </w:p>
    <w:p w:rsidR="000E2CCB" w:rsidRDefault="000E2CCB" w:rsidP="000E2CCB">
      <w:pPr>
        <w:spacing w:after="0"/>
        <w:rPr>
          <w:b/>
          <w:bCs/>
          <w:u w:val="single"/>
          <w:lang w:val="en-US"/>
        </w:rPr>
      </w:pPr>
      <w:r w:rsidRPr="00384F51">
        <w:rPr>
          <w:b/>
          <w:bCs/>
          <w:u w:val="single"/>
          <w:lang w:val="en-US"/>
        </w:rPr>
        <w:t xml:space="preserve">Part </w:t>
      </w:r>
      <w:r>
        <w:rPr>
          <w:b/>
          <w:bCs/>
          <w:u w:val="single"/>
          <w:lang w:val="en-US"/>
        </w:rPr>
        <w:t xml:space="preserve">2: Mixed Legacy </w:t>
      </w:r>
    </w:p>
    <w:p w:rsidR="000E2CCB" w:rsidRDefault="000E2CCB" w:rsidP="000E2CC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Case study on Norway in 1970s &amp; 1980s:</w:t>
      </w:r>
    </w:p>
    <w:p w:rsidR="000E2CCB" w:rsidRDefault="000E2CCB" w:rsidP="000E2CC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Oil prices surge, sudden increase of funds</w:t>
      </w:r>
    </w:p>
    <w:p w:rsidR="000E2CCB" w:rsidRDefault="000E2CCB" w:rsidP="000E2CC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 xml:space="preserve">beneficial long term (increase in minimum wage leading to an uncompetitive </w:t>
      </w:r>
      <w:r w:rsidR="0057332E">
        <w:rPr>
          <w:lang w:val="en-US"/>
        </w:rPr>
        <w:t>economic sectors in the global market</w:t>
      </w:r>
      <w:r>
        <w:rPr>
          <w:lang w:val="en-US"/>
        </w:rPr>
        <w:t>)</w:t>
      </w:r>
    </w:p>
    <w:p w:rsidR="0057332E" w:rsidRDefault="0057332E" w:rsidP="000E2CC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Some of the funds spent on dying sector (shipbuilding).</w:t>
      </w:r>
    </w:p>
    <w:p w:rsidR="0057332E" w:rsidRPr="000E2CCB" w:rsidRDefault="0057332E" w:rsidP="0057332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Some of the funds spent on </w:t>
      </w:r>
      <w:r>
        <w:rPr>
          <w:lang w:val="en-US"/>
        </w:rPr>
        <w:t xml:space="preserve">new ventures of the friends and relatives of </w:t>
      </w:r>
      <w:r w:rsidRPr="0057332E">
        <w:rPr>
          <w:lang w:val="en-US"/>
        </w:rPr>
        <w:t>parliamentarians or of the</w:t>
      </w:r>
      <w:r>
        <w:rPr>
          <w:lang w:val="en-US"/>
        </w:rPr>
        <w:t xml:space="preserve"> </w:t>
      </w:r>
      <w:r w:rsidRPr="0057332E">
        <w:rPr>
          <w:lang w:val="en-US"/>
        </w:rPr>
        <w:t>bureaucrats responsible for allocating the funds</w:t>
      </w:r>
      <w:r>
        <w:rPr>
          <w:lang w:val="en-US"/>
        </w:rPr>
        <w:t xml:space="preserve">. </w:t>
      </w:r>
    </w:p>
    <w:p w:rsidR="00344B08" w:rsidRPr="00344B08" w:rsidRDefault="0057332E" w:rsidP="0057332E">
      <w:pPr>
        <w:pStyle w:val="ListParagraph"/>
        <w:numPr>
          <w:ilvl w:val="1"/>
          <w:numId w:val="4"/>
        </w:numPr>
        <w:spacing w:after="0"/>
        <w:rPr>
          <w:rFonts w:eastAsiaTheme="minorEastAsia"/>
          <w:lang w:val="en-US"/>
        </w:rPr>
      </w:pPr>
      <w:r w:rsidRPr="0057332E">
        <w:rPr>
          <w:lang w:val="en-US"/>
        </w:rPr>
        <w:t xml:space="preserve">Oil prices dropped in the 1980s, which led to a </w:t>
      </w:r>
      <w:r>
        <w:rPr>
          <w:lang w:val="en-US"/>
        </w:rPr>
        <w:t>drop in Norway’s GDP (</w:t>
      </w:r>
      <m:oMath>
        <m:r>
          <w:rPr>
            <w:rFonts w:ascii="Cambria Math" w:hAnsi="Cambria Math"/>
            <w:lang w:val="en-US"/>
          </w:rPr>
          <m:t>USD11.2</m:t>
        </m:r>
        <m:r>
          <m:rPr>
            <m:nor/>
          </m:rPr>
          <w:rPr>
            <w:rFonts w:ascii="Cambria Math" w:hAnsi="Cambria Math"/>
            <w:lang w:val="en-US"/>
          </w:rPr>
          <m:t>billion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USD</m:t>
        </m:r>
        <m:r>
          <w:rPr>
            <w:rFonts w:ascii="Cambria Math" w:hAnsi="Cambria Math"/>
            <w:lang w:val="en-US"/>
          </w:rPr>
          <m:t>2.4</m:t>
        </m:r>
        <m:r>
          <m:rPr>
            <m:nor/>
          </m:rPr>
          <w:rPr>
            <w:rFonts w:ascii="Cambria Math" w:hAnsi="Cambria Math"/>
            <w:lang w:val="en-US"/>
          </w:rPr>
          <m:t>billion</m:t>
        </m:r>
      </m:oMath>
      <w:r w:rsidRPr="0057332E">
        <w:rPr>
          <w:lang w:val="en-US"/>
        </w:rPr>
        <w:t>)</w:t>
      </w:r>
      <w:r>
        <w:rPr>
          <w:lang w:val="en-US"/>
        </w:rPr>
        <w:t xml:space="preserve"> between 1985 to 1988. </w:t>
      </w:r>
    </w:p>
    <w:p w:rsidR="008F3981" w:rsidRPr="008F3981" w:rsidRDefault="00344B08" w:rsidP="00344B08">
      <w:pPr>
        <w:pStyle w:val="ListParagraph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>
        <w:rPr>
          <w:lang w:val="en-US"/>
        </w:rPr>
        <w:t>SWF can address thi</w:t>
      </w:r>
      <w:r w:rsidR="008F3981">
        <w:rPr>
          <w:lang w:val="en-US"/>
        </w:rPr>
        <w:t>s downside of wealth accumulation in 2 ways:</w:t>
      </w:r>
    </w:p>
    <w:p w:rsidR="008F3981" w:rsidRPr="00A03CE8" w:rsidRDefault="008F3981" w:rsidP="00A03CE8">
      <w:pPr>
        <w:pStyle w:val="ListParagraph"/>
        <w:numPr>
          <w:ilvl w:val="1"/>
          <w:numId w:val="4"/>
        </w:numPr>
        <w:spacing w:after="0"/>
        <w:rPr>
          <w:rFonts w:eastAsiaTheme="minorEastAsia"/>
          <w:lang w:val="en-US"/>
        </w:rPr>
      </w:pPr>
      <w:r w:rsidRPr="008F3981"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:rsidR="00941AC0" w:rsidRDefault="008F3981" w:rsidP="008F3981">
      <w:pPr>
        <w:pStyle w:val="ListParagraph"/>
        <w:numPr>
          <w:ilvl w:val="1"/>
          <w:numId w:val="4"/>
        </w:num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Reduce</w:t>
      </w:r>
      <w:r w:rsidRPr="008F3981">
        <w:rPr>
          <w:rFonts w:eastAsiaTheme="minorEastAsia"/>
          <w:lang w:val="en-US"/>
        </w:rPr>
        <w:t xml:space="preserve"> the risk that government officials </w:t>
      </w:r>
      <w:r>
        <w:rPr>
          <w:rFonts w:eastAsiaTheme="minorEastAsia"/>
          <w:lang w:val="en-US"/>
        </w:rPr>
        <w:t>spending</w:t>
      </w:r>
      <w:r w:rsidRPr="008F3981">
        <w:rPr>
          <w:rFonts w:eastAsiaTheme="minorEastAsia"/>
          <w:lang w:val="en-US"/>
        </w:rPr>
        <w:t xml:space="preserve"> these revenues in an</w:t>
      </w:r>
      <w:r>
        <w:rPr>
          <w:rFonts w:eastAsiaTheme="minorEastAsia"/>
          <w:lang w:val="en-US"/>
        </w:rPr>
        <w:t xml:space="preserve"> </w:t>
      </w:r>
      <w:r w:rsidRPr="008F3981">
        <w:rPr>
          <w:rFonts w:eastAsiaTheme="minorEastAsia"/>
          <w:lang w:val="en-US"/>
        </w:rPr>
        <w:t>unwise or corrupt manner</w:t>
      </w:r>
      <w:r>
        <w:rPr>
          <w:rFonts w:eastAsiaTheme="minorEastAsia"/>
          <w:lang w:val="en-US"/>
        </w:rPr>
        <w:t xml:space="preserve"> (</w:t>
      </w:r>
      <w:r w:rsidRPr="008F3981">
        <w:rPr>
          <w:rFonts w:eastAsiaTheme="minorEastAsia"/>
          <w:lang w:val="en-US"/>
        </w:rPr>
        <w:t>assuming, of course, the sovereign fund is run in a</w:t>
      </w:r>
      <w:r>
        <w:rPr>
          <w:rFonts w:eastAsiaTheme="minorEastAsia"/>
          <w:lang w:val="en-US"/>
        </w:rPr>
        <w:t xml:space="preserve"> </w:t>
      </w:r>
      <w:r w:rsidRPr="008F3981">
        <w:rPr>
          <w:rFonts w:eastAsiaTheme="minorEastAsia"/>
          <w:lang w:val="en-US"/>
        </w:rPr>
        <w:t>professional manner.</w:t>
      </w:r>
      <w:r>
        <w:rPr>
          <w:rFonts w:eastAsiaTheme="minorEastAsia"/>
          <w:lang w:val="en-US"/>
        </w:rPr>
        <w:t>)</w:t>
      </w:r>
    </w:p>
    <w:p w:rsidR="00BD59D4" w:rsidRDefault="00BD59D4" w:rsidP="00BD59D4">
      <w:pPr>
        <w:pStyle w:val="ListParagraph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</w:t>
      </w:r>
      <w:r w:rsidRPr="00BD59D4">
        <w:rPr>
          <w:rFonts w:eastAsiaTheme="minorEastAsia"/>
          <w:lang w:val="en-US"/>
        </w:rPr>
        <w:t xml:space="preserve">tructure of </w:t>
      </w:r>
      <w:r>
        <w:rPr>
          <w:rFonts w:eastAsiaTheme="minorEastAsia"/>
          <w:lang w:val="en-US"/>
        </w:rPr>
        <w:t>SWF</w:t>
      </w:r>
      <w:r w:rsidRPr="00BD59D4">
        <w:rPr>
          <w:rFonts w:eastAsiaTheme="minorEastAsia"/>
          <w:lang w:val="en-US"/>
        </w:rPr>
        <w:t xml:space="preserve"> can face two serious agency problems</w:t>
      </w:r>
      <w:r>
        <w:rPr>
          <w:rFonts w:eastAsiaTheme="minorEastAsia"/>
          <w:lang w:val="en-US"/>
        </w:rPr>
        <w:t>:</w:t>
      </w:r>
    </w:p>
    <w:p w:rsidR="00BD59D4" w:rsidRDefault="00140DEA" w:rsidP="00140DEA">
      <w:pPr>
        <w:pStyle w:val="ListParagraph"/>
        <w:numPr>
          <w:ilvl w:val="1"/>
          <w:numId w:val="4"/>
        </w:numPr>
        <w:spacing w:after="0"/>
        <w:rPr>
          <w:rFonts w:eastAsiaTheme="minorEastAsia"/>
          <w:lang w:val="en-US"/>
        </w:rPr>
      </w:pPr>
      <w:r w:rsidRPr="00140DEA">
        <w:rPr>
          <w:rFonts w:eastAsiaTheme="minorEastAsia"/>
          <w:lang w:val="en-US"/>
        </w:rPr>
        <w:t xml:space="preserve">introduce short-run pressures on </w:t>
      </w:r>
      <w:r w:rsidRPr="00140DEA">
        <w:rPr>
          <w:rFonts w:eastAsiaTheme="minorEastAsia"/>
          <w:lang w:val="en-US"/>
        </w:rPr>
        <w:t>SWF</w:t>
      </w:r>
      <w:r w:rsidRPr="00140DEA">
        <w:rPr>
          <w:rFonts w:eastAsiaTheme="minorEastAsia"/>
          <w:lang w:val="en-US"/>
        </w:rPr>
        <w:t xml:space="preserve"> to financially support local firms or subsidize industrial policies within</w:t>
      </w:r>
      <w:r>
        <w:rPr>
          <w:rFonts w:eastAsiaTheme="minorEastAsia"/>
          <w:lang w:val="en-US"/>
        </w:rPr>
        <w:t xml:space="preserve"> </w:t>
      </w:r>
      <w:r w:rsidRPr="00140DEA">
        <w:rPr>
          <w:rFonts w:eastAsiaTheme="minorEastAsia"/>
          <w:lang w:val="en-US"/>
        </w:rPr>
        <w:t>the country</w:t>
      </w:r>
      <w:r>
        <w:rPr>
          <w:rFonts w:eastAsiaTheme="minorEastAsia"/>
          <w:lang w:val="en-US"/>
        </w:rPr>
        <w:t>.</w:t>
      </w:r>
    </w:p>
    <w:p w:rsidR="00140DEA" w:rsidRPr="00140DEA" w:rsidRDefault="00140DEA" w:rsidP="00140DEA">
      <w:pPr>
        <w:pStyle w:val="ListParagraph"/>
        <w:numPr>
          <w:ilvl w:val="1"/>
          <w:numId w:val="4"/>
        </w:numPr>
        <w:spacing w:after="0"/>
        <w:rPr>
          <w:rFonts w:eastAsiaTheme="minorEastAsia"/>
          <w:lang w:val="en-US"/>
        </w:rPr>
      </w:pPr>
    </w:p>
    <w:sectPr w:rsidR="00140DEA" w:rsidRPr="00140DEA" w:rsidSect="00384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31CC4"/>
    <w:multiLevelType w:val="hybridMultilevel"/>
    <w:tmpl w:val="4FE68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F6A19"/>
    <w:multiLevelType w:val="hybridMultilevel"/>
    <w:tmpl w:val="1B54F032"/>
    <w:lvl w:ilvl="0" w:tplc="492C9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2C66B3EA">
      <w:start w:val="5"/>
      <w:numFmt w:val="bullet"/>
      <w:lvlText w:val="-"/>
      <w:lvlJc w:val="left"/>
      <w:pPr>
        <w:ind w:left="2700" w:hanging="360"/>
      </w:pPr>
      <w:rPr>
        <w:rFonts w:ascii="Liberation Serif" w:eastAsiaTheme="minorHAnsi" w:hAnsi="Liberation Serif" w:cstheme="minorBidi" w:hint="default"/>
      </w:r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F713A"/>
    <w:multiLevelType w:val="hybridMultilevel"/>
    <w:tmpl w:val="CBECDB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8335A"/>
    <w:multiLevelType w:val="hybridMultilevel"/>
    <w:tmpl w:val="575E4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76696">
    <w:abstractNumId w:val="0"/>
  </w:num>
  <w:num w:numId="2" w16cid:durableId="1263147637">
    <w:abstractNumId w:val="1"/>
  </w:num>
  <w:num w:numId="3" w16cid:durableId="1506480082">
    <w:abstractNumId w:val="3"/>
  </w:num>
  <w:num w:numId="4" w16cid:durableId="27761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1B"/>
    <w:rsid w:val="000E2CCB"/>
    <w:rsid w:val="00140DEA"/>
    <w:rsid w:val="00344B08"/>
    <w:rsid w:val="00384F51"/>
    <w:rsid w:val="004C0092"/>
    <w:rsid w:val="00514CB1"/>
    <w:rsid w:val="0057332E"/>
    <w:rsid w:val="008D0C3D"/>
    <w:rsid w:val="008F3981"/>
    <w:rsid w:val="00941AC0"/>
    <w:rsid w:val="00A03CE8"/>
    <w:rsid w:val="00BD59D4"/>
    <w:rsid w:val="00ED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C2B4"/>
  <w15:chartTrackingRefBased/>
  <w15:docId w15:val="{D581DCCE-9EAA-41C5-847F-238FF2D7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51"/>
    <w:rPr>
      <w:rFonts w:ascii="Liberation Serif" w:hAnsi="Liberation Seri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9</cp:revision>
  <dcterms:created xsi:type="dcterms:W3CDTF">2023-01-26T14:09:00Z</dcterms:created>
  <dcterms:modified xsi:type="dcterms:W3CDTF">2023-01-26T15:03:00Z</dcterms:modified>
</cp:coreProperties>
</file>