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805" w:rsidRDefault="00000000">
      <w:pPr>
        <w:spacing w:after="0"/>
      </w:pPr>
      <w:r>
        <w:rPr>
          <w:lang w:val="en-US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248"/>
      </w:tblGrid>
      <w:tr w:rsidR="00F05805">
        <w:trPr>
          <w:jc w:val="center"/>
        </w:trPr>
        <w:tc>
          <w:tcPr>
            <w:tcW w:w="7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Details</w:t>
            </w:r>
          </w:p>
        </w:tc>
      </w:tr>
      <w:tr w:rsidR="00F05805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Title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/>
            </w:pPr>
            <w:r>
              <w:rPr>
                <w:lang w:val="en-US"/>
              </w:rPr>
              <w:t>The Investment Strategies of Sovereign Wealth Funds</w:t>
            </w:r>
          </w:p>
        </w:tc>
      </w:tr>
      <w:tr w:rsidR="00F05805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Author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 w:line="240" w:lineRule="auto"/>
            </w:pPr>
            <w:r>
              <w:rPr>
                <w:lang w:val="en-US"/>
              </w:rPr>
              <w:t>Shai Bernstein, Josh Lerner, Antoinette Schoar</w:t>
            </w:r>
          </w:p>
        </w:tc>
      </w:tr>
      <w:tr w:rsidR="00F05805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DOI number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 w:line="240" w:lineRule="auto"/>
            </w:pPr>
            <w:r>
              <w:rPr>
                <w:lang w:val="en-US"/>
              </w:rPr>
              <w:t>10.1257/jep.27.2.219</w:t>
            </w:r>
          </w:p>
        </w:tc>
      </w:tr>
      <w:tr w:rsidR="00F05805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url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 w:line="240" w:lineRule="auto"/>
            </w:pPr>
            <w:r>
              <w:rPr>
                <w:lang w:val="en-US"/>
              </w:rPr>
              <w:t>https://www.aeaweb.org/articles?id=10.1257/jep.27.2.219</w:t>
            </w:r>
          </w:p>
        </w:tc>
      </w:tr>
    </w:tbl>
    <w:p w:rsidR="00F05805" w:rsidRDefault="00000000">
      <w:pPr>
        <w:spacing w:after="0"/>
        <w:jc w:val="center"/>
      </w:pPr>
      <w:r>
        <w:rPr>
          <w:b/>
          <w:bCs/>
          <w:sz w:val="24"/>
          <w:szCs w:val="24"/>
          <w:lang w:val="en-US"/>
        </w:rPr>
        <w:t> </w:t>
      </w:r>
    </w:p>
    <w:p w:rsidR="00F05805" w:rsidRDefault="00000000">
      <w:pPr>
        <w:spacing w:after="0"/>
        <w:jc w:val="center"/>
      </w:pPr>
      <w:r>
        <w:rPr>
          <w:b/>
          <w:bCs/>
          <w:sz w:val="24"/>
          <w:szCs w:val="24"/>
          <w:u w:val="single"/>
          <w:lang w:val="en-US"/>
        </w:rPr>
        <w:t>Summary</w:t>
      </w:r>
    </w:p>
    <w:p w:rsidR="00F05805" w:rsidRDefault="00000000">
      <w:pPr>
        <w:spacing w:after="0"/>
      </w:pPr>
      <w:r>
        <w:rPr>
          <w:b/>
          <w:bCs/>
          <w:u w:val="single"/>
          <w:lang w:val="en-US"/>
        </w:rPr>
        <w:t>Part 1: Sovereign wealth fund overview</w:t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1.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In most cases, the funds for SWF sourced from oil revenues.</w:t>
      </w:r>
    </w:p>
    <w:p w:rsidR="00F05805" w:rsidRDefault="00000000">
      <w:pPr>
        <w:pStyle w:val="ListParagraph"/>
        <w:spacing w:after="0"/>
        <w:ind w:left="1080"/>
        <w:jc w:val="center"/>
      </w:pPr>
      <w:r>
        <w:rPr>
          <w:noProof/>
          <w:lang w:val="en-US"/>
        </w:rPr>
        <w:drawing>
          <wp:inline distT="0" distB="0" distL="0" distR="0">
            <wp:extent cx="33718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2.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SWF in China and Singapore sourced from trade surpluses. </w:t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3.</w:t>
      </w:r>
      <w:r>
        <w:rPr>
          <w:rFonts w:ascii="Times New Roman" w:hAnsi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 xml:space="preserve">Rapid growth in SWF: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75260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 from 1990 to 2013.</w:t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4.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24% annual growth rate between 2010-2013.</w:t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5.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3 distinct roles of SWF:</w:t>
      </w:r>
    </w:p>
    <w:p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serve as a </w:t>
      </w:r>
      <w:r>
        <w:rPr>
          <w:b/>
          <w:bCs/>
          <w:lang w:val="en-US"/>
        </w:rPr>
        <w:t>source of capital</w:t>
      </w:r>
      <w:r>
        <w:rPr>
          <w:lang w:val="en-US"/>
        </w:rPr>
        <w:t xml:space="preserve"> for future generations, </w:t>
      </w:r>
    </w:p>
    <w:p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e.g. Kiribati Revenue Equalization Reserve Fund, extraction of guano stopped in 1979, but funds remains key economic contributor. </w:t>
      </w:r>
    </w:p>
    <w:p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- The fund is 10x the Gross Domestic Product (GDP) of Kiribati. </w:t>
      </w:r>
    </w:p>
    <w:p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- Interest rate of the fund contributes 30% of the Kiribati’s revenue. </w:t>
      </w:r>
    </w:p>
    <w:p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a </w:t>
      </w:r>
      <w:r>
        <w:rPr>
          <w:b/>
          <w:bCs/>
          <w:lang w:val="en-US"/>
        </w:rPr>
        <w:t>stabilizing role</w:t>
      </w:r>
      <w:r>
        <w:rPr>
          <w:lang w:val="en-US"/>
        </w:rPr>
        <w:t xml:space="preserve"> by reducing the volatility of government revenues</w:t>
      </w:r>
    </w:p>
    <w:p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stabilizing role for countries that depend heavily on commodity revenue. </w:t>
      </w:r>
    </w:p>
    <w:p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>e.g. alleviate pressure on falling prices of oil for certain countries</w:t>
      </w:r>
    </w:p>
    <w:p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c.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as </w:t>
      </w:r>
      <w:r>
        <w:rPr>
          <w:b/>
          <w:bCs/>
          <w:lang w:val="en-US"/>
        </w:rPr>
        <w:t>holding companies</w:t>
      </w:r>
      <w:r>
        <w:rPr>
          <w:lang w:val="en-US"/>
        </w:rPr>
        <w:t>, with which the government places its strategic investments.</w:t>
      </w:r>
    </w:p>
    <w:p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For strategic investment purposes by public leaders in domestic/foreign firms </w:t>
      </w:r>
    </w:p>
    <w:p w:rsidR="00F05805" w:rsidRDefault="00000000">
      <w:pPr>
        <w:pStyle w:val="ListParagraph"/>
        <w:spacing w:after="0"/>
        <w:ind w:left="1080"/>
      </w:pPr>
      <w:r>
        <w:rPr>
          <w:lang w:val="en-US"/>
        </w:rPr>
        <w:t> </w:t>
      </w:r>
    </w:p>
    <w:p w:rsidR="00F05805" w:rsidRDefault="00000000">
      <w:pPr>
        <w:spacing w:after="0"/>
      </w:pPr>
      <w:r>
        <w:rPr>
          <w:b/>
          <w:bCs/>
          <w:u w:val="single"/>
          <w:lang w:val="en-US"/>
        </w:rPr>
        <w:t xml:space="preserve">Part 2: Mixed Legacy </w:t>
      </w:r>
    </w:p>
    <w:p w:rsidR="00C06583" w:rsidRPr="00C06583" w:rsidRDefault="00000000" w:rsidP="00C06583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Case study on Norway in 1970s &amp; 1980s</w:t>
      </w:r>
    </w:p>
    <w:p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 w:rsidRPr="00C06583">
        <w:rPr>
          <w:lang w:val="en-US"/>
        </w:rPr>
        <w:t>Oil prices surge, sudden increase of funds</w:t>
      </w:r>
    </w:p>
    <w:p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 xml:space="preserve">Most of the money was spent immediately, some of the spending were </w:t>
      </w:r>
      <w:r>
        <w:rPr>
          <w:b/>
          <w:bCs/>
          <w:lang w:val="en-US"/>
        </w:rPr>
        <w:t xml:space="preserve">not </w:t>
      </w:r>
      <w:r>
        <w:rPr>
          <w:lang w:val="en-US"/>
        </w:rPr>
        <w:t>beneficial long term (increase in minimum wage leading to an uncompetitive economic sectors in the global market)</w:t>
      </w:r>
    </w:p>
    <w:p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Some of the funds spent on dying sector (shipbuilding).</w:t>
      </w:r>
    </w:p>
    <w:p w:rsidR="00C06583" w:rsidRDefault="00000000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rFonts w:ascii="Times New Roman" w:hAnsi="Times New Roman"/>
          <w:sz w:val="14"/>
          <w:szCs w:val="14"/>
          <w:lang w:val="en-US"/>
        </w:rPr>
        <w:t xml:space="preserve"> </w:t>
      </w:r>
      <w:r>
        <w:rPr>
          <w:lang w:val="en-US"/>
        </w:rPr>
        <w:t xml:space="preserve">Some of the funds spent on new ventures of the friends and relatives of parliamentarians or of the bureaucrats responsible for allocating the funds. </w:t>
      </w:r>
    </w:p>
    <w:p w:rsidR="002348D1" w:rsidRDefault="00C06583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Oil prices dropped in the 1980s, which led to a drop in Norway’s GDP (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75260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) between 1985 to 1988. </w:t>
      </w:r>
    </w:p>
    <w:p w:rsidR="00F05805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SWF can address this downside of wealth accumulation in 2 ways:</w:t>
      </w:r>
    </w:p>
    <w:p w:rsidR="00F05805" w:rsidRDefault="00000000">
      <w:pPr>
        <w:pStyle w:val="ListParagraph"/>
        <w:spacing w:after="0"/>
        <w:ind w:left="144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b/>
          <w:bCs/>
          <w:lang w:val="en-US"/>
        </w:rPr>
        <w:t>Disallowing immediate spending</w:t>
      </w:r>
      <w:r>
        <w:rPr>
          <w:lang w:val="en-US"/>
        </w:rPr>
        <w:t xml:space="preserve">, preserving the gains for future generations. </w:t>
      </w:r>
    </w:p>
    <w:p w:rsidR="002348D1" w:rsidRDefault="00000000" w:rsidP="002348D1">
      <w:pPr>
        <w:pStyle w:val="ListParagraph"/>
        <w:spacing w:after="0"/>
        <w:ind w:left="1440" w:hanging="360"/>
        <w:rPr>
          <w:lang w:val="en-US"/>
        </w:rPr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Reduce the risk that government officials spending these revenues in an unwise or corrupt manner (assuming, of course, the sovereign fund is run in a professional manner.)</w:t>
      </w:r>
    </w:p>
    <w:p w:rsidR="00985E3C" w:rsidRPr="00AB6313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Structure of SWF can face</w:t>
      </w:r>
      <w:r w:rsidR="002348D1" w:rsidRPr="002348D1">
        <w:rPr>
          <w:lang w:val="en-US"/>
        </w:rPr>
        <w:t xml:space="preserve"> an </w:t>
      </w:r>
      <w:r w:rsidRPr="002348D1">
        <w:rPr>
          <w:lang w:val="en-US"/>
        </w:rPr>
        <w:t>serious agency problem</w:t>
      </w:r>
      <w:r w:rsidR="002348D1" w:rsidRPr="002348D1">
        <w:rPr>
          <w:lang w:val="en-US"/>
        </w:rPr>
        <w:t xml:space="preserve"> – </w:t>
      </w:r>
      <w:r w:rsidRPr="002348D1">
        <w:rPr>
          <w:lang w:val="en-US"/>
        </w:rPr>
        <w:t>introduce</w:t>
      </w:r>
      <w:r w:rsidR="002348D1" w:rsidRPr="002348D1">
        <w:rPr>
          <w:lang w:val="en-US"/>
        </w:rPr>
        <w:t xml:space="preserve"> </w:t>
      </w:r>
      <w:r w:rsidRPr="002348D1">
        <w:rPr>
          <w:lang w:val="en-US"/>
        </w:rPr>
        <w:t>short-run pressures on SWF to financially support local firms or subsidize industrial policies within the country.</w:t>
      </w:r>
    </w:p>
    <w:p w:rsidR="00AB6313" w:rsidRPr="002C0925" w:rsidRDefault="00AB6313" w:rsidP="00AB6313">
      <w:pPr>
        <w:spacing w:after="0"/>
        <w:jc w:val="right"/>
        <w:rPr>
          <w:b/>
          <w:bCs/>
          <w:sz w:val="24"/>
          <w:szCs w:val="24"/>
          <w:u w:val="single"/>
        </w:rPr>
      </w:pPr>
      <w:r w:rsidRPr="002C0925">
        <w:rPr>
          <w:b/>
          <w:bCs/>
          <w:sz w:val="24"/>
          <w:szCs w:val="24"/>
          <w:u w:val="single"/>
        </w:rPr>
        <w:t>Last updated: 11.18pm, 26/1/2023</w:t>
      </w:r>
    </w:p>
    <w:sectPr w:rsidR="00AB6313" w:rsidRPr="002C09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5473"/>
    <w:multiLevelType w:val="hybridMultilevel"/>
    <w:tmpl w:val="2B76A9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E1D74"/>
    <w:multiLevelType w:val="hybridMultilevel"/>
    <w:tmpl w:val="2AA666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027562">
    <w:abstractNumId w:val="1"/>
  </w:num>
  <w:num w:numId="2" w16cid:durableId="116492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7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1"/>
    <w:rsid w:val="002348D1"/>
    <w:rsid w:val="002C0925"/>
    <w:rsid w:val="00985E3C"/>
    <w:rsid w:val="009F3966"/>
    <w:rsid w:val="00AB6313"/>
    <w:rsid w:val="00C06583"/>
    <w:rsid w:val="00F0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34D3C-2563-43A3-87C9-B6573BD2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MY" w:eastAsia="en-MY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Theme="minorEastAsia" w:hAnsi="Liberation Serif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ShafiqR\Desktop\Git\phy6_22_23\stuff\swf_review_files\image00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ShafiqR\Desktop\Git\phy6_22_23\stuff\swf_review_files\image002.png" TargetMode="External"/><Relationship Id="rId5" Type="http://schemas.openxmlformats.org/officeDocument/2006/relationships/image" Target="file:///C:\Users\ShafiqR\Desktop\Git\phy6_22_23\stuff\swf_review_files\image00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5</cp:revision>
  <dcterms:created xsi:type="dcterms:W3CDTF">2023-01-26T15:13:00Z</dcterms:created>
  <dcterms:modified xsi:type="dcterms:W3CDTF">2023-01-26T15:21:00Z</dcterms:modified>
</cp:coreProperties>
</file>