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4A8C" w:rsidRDefault="00634A8C" w:rsidP="00634A8C">
      <w:pPr>
        <w:spacing w:after="0"/>
        <w:jc w:val="both"/>
      </w:pPr>
      <w:r>
        <w:t>Rewrite:</w:t>
      </w:r>
    </w:p>
    <w:tbl>
      <w:tblPr>
        <w:tblStyle w:val="TableGrid"/>
        <w:tblW w:w="0" w:type="auto"/>
        <w:tblLook w:val="04A0" w:firstRow="1" w:lastRow="0" w:firstColumn="1" w:lastColumn="0" w:noHBand="0" w:noVBand="1"/>
      </w:tblPr>
      <w:tblGrid>
        <w:gridCol w:w="4675"/>
        <w:gridCol w:w="4675"/>
      </w:tblGrid>
      <w:tr w:rsidR="00634A8C" w:rsidTr="00634A8C">
        <w:tc>
          <w:tcPr>
            <w:tcW w:w="4675" w:type="dxa"/>
          </w:tcPr>
          <w:p w:rsidR="00634A8C" w:rsidRPr="004C777C" w:rsidRDefault="00634A8C" w:rsidP="00634A8C">
            <w:pPr>
              <w:spacing w:line="278" w:lineRule="auto"/>
              <w:jc w:val="both"/>
            </w:pPr>
            <w:r w:rsidRPr="004C777C">
              <w:t>The exchange rate system is a crucial determinant of a nation's economic stability and global competitiveness. The United Kingdom (UK) operates under a floating exchange rate system, where the value of the British pound (GBP) is dictated by market forces of supply and demand within the foreign exchange (Forex) market (</w:t>
            </w:r>
            <w:proofErr w:type="spellStart"/>
            <w:r w:rsidRPr="004C777C">
              <w:t>Sodersten</w:t>
            </w:r>
            <w:proofErr w:type="spellEnd"/>
            <w:r w:rsidRPr="004C777C">
              <w:t>, 1994). Unlike fixed or pegged exchange rate systems, the UK government and the Bank of England (BoE) do not directly intervene to maintain a specific exchange rate. Instead, the pound's value fluctuates based on various economic indicators, investor sentiment, and global financial developments.</w:t>
            </w:r>
          </w:p>
          <w:p w:rsidR="00634A8C" w:rsidRDefault="00634A8C" w:rsidP="00634A8C">
            <w:pPr>
              <w:jc w:val="both"/>
            </w:pPr>
          </w:p>
        </w:tc>
        <w:tc>
          <w:tcPr>
            <w:tcW w:w="4675" w:type="dxa"/>
          </w:tcPr>
          <w:p w:rsidR="00634A8C" w:rsidRDefault="00634A8C" w:rsidP="00634A8C">
            <w:pPr>
              <w:jc w:val="both"/>
            </w:pPr>
          </w:p>
        </w:tc>
      </w:tr>
      <w:tr w:rsidR="00634A8C" w:rsidTr="00634A8C">
        <w:tc>
          <w:tcPr>
            <w:tcW w:w="4675" w:type="dxa"/>
          </w:tcPr>
          <w:p w:rsidR="00634A8C" w:rsidRPr="004C777C" w:rsidRDefault="00634A8C" w:rsidP="00634A8C">
            <w:pPr>
              <w:spacing w:line="278" w:lineRule="auto"/>
              <w:jc w:val="both"/>
            </w:pPr>
            <w:r w:rsidRPr="004C777C">
              <w:t>A defining characteristic of the UK’s exchange rate system is its reliance on open market mechanisms. Exchange rate movements are driven by supply and demand dynamics, meaning that if demand for GBP increases, the currency appreciates. Conversely, a decline in demand—often due to economic downturns, uncertainty, or lower interest rates—leads to depreciation. Unlike countries that adopt a fixed or managed exchange rate system, the UK government does not actively intervene to stabilize the pound at a predetermined level (</w:t>
            </w:r>
            <w:proofErr w:type="spellStart"/>
            <w:r w:rsidRPr="004C777C">
              <w:t>Faudot</w:t>
            </w:r>
            <w:proofErr w:type="spellEnd"/>
            <w:r w:rsidRPr="004C777C">
              <w:t>, 2022). However, the BoE influences exchange rates indirectly through monetary policy decisions, such as interest rate adjustments and inflation control (Dellas, 2006). Generally, higher interest rates attract foreign investment, strengthening the pound, whereas lower interest rates may weaken it. In extreme circumstances, such as financial crises, the BoE may intervene to restore market confidence.</w:t>
            </w:r>
          </w:p>
          <w:p w:rsidR="00634A8C" w:rsidRDefault="00634A8C" w:rsidP="00634A8C">
            <w:pPr>
              <w:jc w:val="both"/>
            </w:pPr>
          </w:p>
        </w:tc>
        <w:tc>
          <w:tcPr>
            <w:tcW w:w="4675" w:type="dxa"/>
          </w:tcPr>
          <w:p w:rsidR="00634A8C" w:rsidRDefault="00634A8C" w:rsidP="00634A8C">
            <w:pPr>
              <w:jc w:val="both"/>
            </w:pPr>
            <w:r w:rsidRPr="00634A8C">
              <w:t>The UK’s exchange rate system relies on open market mechanisms, where supply and demand determine currency movements. Increased demand for GBP leads to appreciation, while decreased demand—due to economic downturns, uncertainty, or lower interest rates—causes depreciation (</w:t>
            </w:r>
            <w:proofErr w:type="spellStart"/>
            <w:r w:rsidRPr="00634A8C">
              <w:t>Faudot</w:t>
            </w:r>
            <w:proofErr w:type="spellEnd"/>
            <w:r w:rsidRPr="00634A8C">
              <w:t>, 2022). Unlike fixed or managed systems, the UK government does not directly stabilize the pound. However, the BoE indirectly influences exchange rates through monetary policy, such as interest rate adjustments and inflation control (Dellas, 2006). Higher interest rates attract foreign investment, strengthening the pound, while lower rates weaken it. In crises, the BoE may intervene to restore confidence.</w:t>
            </w:r>
          </w:p>
        </w:tc>
      </w:tr>
      <w:tr w:rsidR="00634A8C" w:rsidTr="00634A8C">
        <w:tc>
          <w:tcPr>
            <w:tcW w:w="4675" w:type="dxa"/>
          </w:tcPr>
          <w:p w:rsidR="00634A8C" w:rsidRPr="004C777C" w:rsidRDefault="00634A8C" w:rsidP="00634A8C">
            <w:pPr>
              <w:spacing w:line="278" w:lineRule="auto"/>
              <w:jc w:val="both"/>
            </w:pPr>
            <w:r w:rsidRPr="004C777C">
              <w:t>At the core of exchange rate fluctuations is the role of interest rates, which are set by the Bank of England’s Monetary Policy Committee (MPC). The BoE’s base rate determines the cost of borrowing and the return on savings, directly influencing capital inflows and outflows. Higher interest rates make sterling-denominated assets more attractive to foreign investors, increasing demand for GBP and strengthening the currency. Conversely, lower interest rates can reduce the appeal of UK assets, leading to capital outflows and pound depreciation (Morina, 2023).</w:t>
            </w:r>
          </w:p>
          <w:p w:rsidR="00634A8C" w:rsidRDefault="00634A8C" w:rsidP="00634A8C">
            <w:pPr>
              <w:jc w:val="both"/>
            </w:pPr>
          </w:p>
        </w:tc>
        <w:tc>
          <w:tcPr>
            <w:tcW w:w="4675" w:type="dxa"/>
          </w:tcPr>
          <w:p w:rsidR="00634A8C" w:rsidRDefault="00634A8C" w:rsidP="00634A8C">
            <w:pPr>
              <w:jc w:val="both"/>
            </w:pPr>
            <w:r w:rsidRPr="00634A8C">
              <w:t>Exchange rate fluctuations are driven by interest rates set by the BoE’s Monetary Policy Committee (MPC). The base rate influences borrowing costs, savings returns, and capital flows. Higher rates attract foreign investment, boosting GBP demand and strengthening the currency, while lower rates reduce asset appeal, leading to capital outflows and depreciation (Morina, 2023).</w:t>
            </w:r>
          </w:p>
        </w:tc>
      </w:tr>
      <w:tr w:rsidR="00634A8C" w:rsidTr="00634A8C">
        <w:tc>
          <w:tcPr>
            <w:tcW w:w="4675" w:type="dxa"/>
          </w:tcPr>
          <w:p w:rsidR="00634A8C" w:rsidRPr="004C777C" w:rsidRDefault="00634A8C" w:rsidP="00634A8C">
            <w:pPr>
              <w:spacing w:line="278" w:lineRule="auto"/>
              <w:jc w:val="both"/>
            </w:pPr>
            <w:r w:rsidRPr="004C777C">
              <w:t xml:space="preserve">The UK’s open financial system further amplifies the responsiveness of the pound to interest rate adjustments, as global investors allocate capital based on relative </w:t>
            </w:r>
            <w:r w:rsidRPr="004C777C">
              <w:lastRenderedPageBreak/>
              <w:t xml:space="preserve">yield differentials. For instance, if the BoE raises rates while other major central banks hold steady, arbitrage opportunities arise, increasing demand for sterling in Forex markets. However, expectations regarding future rate movements can be just as influential as actual policy shifts. Forward guidance from the BoE shapes investor </w:t>
            </w:r>
            <w:proofErr w:type="spellStart"/>
            <w:r w:rsidRPr="004C777C">
              <w:t>behavior</w:t>
            </w:r>
            <w:proofErr w:type="spellEnd"/>
            <w:r w:rsidRPr="004C777C">
              <w:t xml:space="preserve"> long before policy actions materialize, as markets anticipate changes in monetary policy.</w:t>
            </w:r>
          </w:p>
          <w:p w:rsidR="00634A8C" w:rsidRPr="004C777C" w:rsidRDefault="00634A8C" w:rsidP="00634A8C">
            <w:pPr>
              <w:spacing w:line="278" w:lineRule="auto"/>
              <w:jc w:val="both"/>
            </w:pPr>
          </w:p>
        </w:tc>
        <w:tc>
          <w:tcPr>
            <w:tcW w:w="4675" w:type="dxa"/>
          </w:tcPr>
          <w:p w:rsidR="00634A8C" w:rsidRPr="00634A8C" w:rsidRDefault="00634A8C" w:rsidP="00634A8C">
            <w:pPr>
              <w:jc w:val="both"/>
            </w:pPr>
            <w:r w:rsidRPr="00634A8C">
              <w:lastRenderedPageBreak/>
              <w:t xml:space="preserve">The UK’s open financial system heightens the pound’s sensitivity to interest rate changes, as global investors respond to yield differentials. If the BoE raises rates while others hold steady, arbitrage opportunities boost </w:t>
            </w:r>
            <w:r w:rsidRPr="00634A8C">
              <w:lastRenderedPageBreak/>
              <w:t xml:space="preserve">GBP demand. However, expectations of future rate changes can be as impactful as actual policy shifts, with BoE forward guidance shaping investor </w:t>
            </w:r>
            <w:proofErr w:type="spellStart"/>
            <w:r w:rsidRPr="00634A8C">
              <w:t>behavior</w:t>
            </w:r>
            <w:proofErr w:type="spellEnd"/>
            <w:r w:rsidRPr="00634A8C">
              <w:t xml:space="preserve"> in advance.</w:t>
            </w:r>
          </w:p>
        </w:tc>
      </w:tr>
      <w:tr w:rsidR="00634A8C" w:rsidTr="00634A8C">
        <w:tc>
          <w:tcPr>
            <w:tcW w:w="4675" w:type="dxa"/>
          </w:tcPr>
          <w:p w:rsidR="00634A8C" w:rsidRPr="004C777C" w:rsidRDefault="00634A8C" w:rsidP="00634A8C">
            <w:pPr>
              <w:spacing w:line="278" w:lineRule="auto"/>
              <w:jc w:val="both"/>
            </w:pPr>
            <w:r w:rsidRPr="004C777C">
              <w:t>Inflation plays a dual role as both a cause and consequence of exchange rate movements (Boubaker, 2024). In a floating exchange rate system, the relative purchasing power of a currency is fundamental in determining its valuation. Higher inflation erodes the real value of money, making domestic goods and services less competitive internationally, which can weaken the pound. Conversely, lower inflation enhances price stability, bolstering investor confidence and potentially strengthening the currency.</w:t>
            </w:r>
          </w:p>
          <w:p w:rsidR="00634A8C" w:rsidRPr="004C777C" w:rsidRDefault="00634A8C" w:rsidP="00634A8C">
            <w:pPr>
              <w:spacing w:line="278" w:lineRule="auto"/>
              <w:jc w:val="both"/>
            </w:pPr>
          </w:p>
        </w:tc>
        <w:tc>
          <w:tcPr>
            <w:tcW w:w="4675" w:type="dxa"/>
          </w:tcPr>
          <w:p w:rsidR="00634A8C" w:rsidRPr="00634A8C" w:rsidRDefault="007D31AD" w:rsidP="00634A8C">
            <w:pPr>
              <w:jc w:val="both"/>
            </w:pPr>
            <w:r w:rsidRPr="007D31AD">
              <w:t>Inflation both influences and results from exchange rate movements (Boubaker, 2024). In a floating system, a currency’s value depends on its purchasing power. High inflation weakens the pound by reducing competitiveness, while low inflation promotes stability, boosting investor confidence.</w:t>
            </w:r>
          </w:p>
        </w:tc>
      </w:tr>
      <w:tr w:rsidR="00634A8C" w:rsidTr="00634A8C">
        <w:tc>
          <w:tcPr>
            <w:tcW w:w="4675" w:type="dxa"/>
          </w:tcPr>
          <w:p w:rsidR="007D31AD" w:rsidRPr="004C777C" w:rsidRDefault="007D31AD" w:rsidP="007D31AD">
            <w:pPr>
              <w:spacing w:line="278" w:lineRule="auto"/>
              <w:jc w:val="both"/>
            </w:pPr>
            <w:r w:rsidRPr="004C777C">
              <w:t>Beyond inflation, broader economic indicators</w:t>
            </w:r>
            <w:r>
              <w:t xml:space="preserve">, </w:t>
            </w:r>
            <w:r w:rsidRPr="004C777C">
              <w:t>such as GDP growth, employment figures, and trade balances</w:t>
            </w:r>
            <w:r>
              <w:t xml:space="preserve">, </w:t>
            </w:r>
            <w:r w:rsidRPr="004C777C">
              <w:t xml:space="preserve">are pivotal in exchange rate determination. Strong economic performance, reflected in rising GDP and robust </w:t>
            </w:r>
            <w:proofErr w:type="spellStart"/>
            <w:r w:rsidRPr="004C777C">
              <w:t>labor</w:t>
            </w:r>
            <w:proofErr w:type="spellEnd"/>
            <w:r w:rsidRPr="004C777C">
              <w:t xml:space="preserve"> markets, often signals a </w:t>
            </w:r>
            <w:proofErr w:type="spellStart"/>
            <w:r w:rsidRPr="004C777C">
              <w:t>favorable</w:t>
            </w:r>
            <w:proofErr w:type="spellEnd"/>
            <w:r w:rsidRPr="004C777C">
              <w:t xml:space="preserve"> investment climate, increasing demand for sterling. Trade balances also play a critical role; a current account surplus, where exports exceed imports, supports demand for the pound, while persistent deficits exert downward pressure. Given the UK’s reliance on foreign capital to finance trade imbalances, its currency remains particularly sensitive to shifts in international investor sentiment.</w:t>
            </w:r>
          </w:p>
          <w:p w:rsidR="00634A8C" w:rsidRPr="004C777C" w:rsidRDefault="00634A8C" w:rsidP="00634A8C">
            <w:pPr>
              <w:spacing w:line="278" w:lineRule="auto"/>
              <w:jc w:val="both"/>
            </w:pPr>
          </w:p>
        </w:tc>
        <w:tc>
          <w:tcPr>
            <w:tcW w:w="4675" w:type="dxa"/>
          </w:tcPr>
          <w:p w:rsidR="00634A8C" w:rsidRPr="00634A8C" w:rsidRDefault="007D31AD" w:rsidP="00634A8C">
            <w:pPr>
              <w:jc w:val="both"/>
            </w:pPr>
            <w:r w:rsidRPr="007D31AD">
              <w:t xml:space="preserve">Beyond inflation, economic indicators like GDP growth, employment, and trade balances shape exchange rates. Strong GDP and </w:t>
            </w:r>
            <w:proofErr w:type="spellStart"/>
            <w:r w:rsidRPr="007D31AD">
              <w:t>labor</w:t>
            </w:r>
            <w:proofErr w:type="spellEnd"/>
            <w:r w:rsidRPr="007D31AD">
              <w:t xml:space="preserve"> markets attract investment, boosting GBP demand. A current account surplus supports the pound, while deficits weaken it. Given the UK’s reliance on foreign capital, its currency is highly sensitive to investor sentiment.</w:t>
            </w:r>
          </w:p>
        </w:tc>
      </w:tr>
      <w:tr w:rsidR="007D31AD" w:rsidTr="00634A8C">
        <w:tc>
          <w:tcPr>
            <w:tcW w:w="4675" w:type="dxa"/>
          </w:tcPr>
          <w:p w:rsidR="007D31AD" w:rsidRPr="004C777C" w:rsidRDefault="007D31AD" w:rsidP="007D31AD">
            <w:pPr>
              <w:spacing w:line="278" w:lineRule="auto"/>
              <w:jc w:val="both"/>
            </w:pPr>
            <w:r w:rsidRPr="00A4237B">
              <w:t xml:space="preserve">In a floating exchange rate system, the value of a currency is determined by market forces of supply and demand, allowing for automatic adjustments. When a country runs a trade deficit, its currency tends to depreciate, making exports more competitive and imports more expensive. This natural correction helps reduce trade imbalances without direct government intervention. For instance, if the UK imports more than it </w:t>
            </w:r>
            <w:proofErr w:type="gramStart"/>
            <w:r w:rsidRPr="00A4237B">
              <w:t>exports</w:t>
            </w:r>
            <w:proofErr w:type="gramEnd"/>
            <w:r w:rsidRPr="00A4237B">
              <w:t>, demand for foreign currencies rises, causing the pound to weaken. As a result, UK goods become cheaper for foreign buyers, boosting exports, while imports become more costly, discouraging excessive foreign purchases. This self-regulating mechanism helps maintain economic equilibrium.</w:t>
            </w:r>
          </w:p>
        </w:tc>
        <w:tc>
          <w:tcPr>
            <w:tcW w:w="4675" w:type="dxa"/>
          </w:tcPr>
          <w:p w:rsidR="007D31AD" w:rsidRPr="007D31AD" w:rsidRDefault="007D31AD" w:rsidP="00634A8C">
            <w:pPr>
              <w:jc w:val="both"/>
            </w:pPr>
            <w:r w:rsidRPr="007D31AD">
              <w:t xml:space="preserve">In a floating exchange rate system, market forces determine currency value, enabling automatic adjustments. A trade deficit weakens the pound, making exports cheaper and imports more expensive, naturally reducing imbalances. For example, if the UK imports more than it </w:t>
            </w:r>
            <w:proofErr w:type="gramStart"/>
            <w:r w:rsidRPr="007D31AD">
              <w:t>exports</w:t>
            </w:r>
            <w:proofErr w:type="gramEnd"/>
            <w:r w:rsidRPr="007D31AD">
              <w:t>, rising demand for foreign currencies depreciates the pound, boosting exports and curbing imports, promoting economic stability.</w:t>
            </w:r>
          </w:p>
        </w:tc>
      </w:tr>
      <w:tr w:rsidR="007D31AD" w:rsidTr="00634A8C">
        <w:tc>
          <w:tcPr>
            <w:tcW w:w="4675" w:type="dxa"/>
          </w:tcPr>
          <w:p w:rsidR="007D31AD" w:rsidRPr="00A4237B" w:rsidRDefault="007D31AD" w:rsidP="007D31AD">
            <w:pPr>
              <w:spacing w:line="278" w:lineRule="auto"/>
              <w:jc w:val="both"/>
            </w:pPr>
            <w:r w:rsidRPr="00A4237B">
              <w:lastRenderedPageBreak/>
              <w:t xml:space="preserve">During economic downturns, a depreciating currency can stimulate growth by enhancing export competitiveness. Conversely, in times of inflation, currency appreciation can reduce import costs, helping stabilize prices. This flexibility makes floating exchange rates a vital tool in adapting to changing economic conditions. A notable example occurred on 16 September 1992, known as Black Wednesday, when the UK was forced to exit the European Exchange Rate Mechanism (ERM) due to intense market pressures. The pound's subsequent depreciation improved export competitiveness and contributed to economic recovery, highlighting the benefits of exchange rate flexibility (Barry </w:t>
            </w:r>
            <w:proofErr w:type="spellStart"/>
            <w:r w:rsidRPr="00A4237B">
              <w:t>Eichengreen</w:t>
            </w:r>
            <w:proofErr w:type="spellEnd"/>
            <w:r w:rsidRPr="00A4237B">
              <w:t>, 2022).</w:t>
            </w:r>
          </w:p>
          <w:p w:rsidR="007D31AD" w:rsidRPr="004C777C" w:rsidRDefault="007D31AD" w:rsidP="007D31AD">
            <w:pPr>
              <w:spacing w:line="278" w:lineRule="auto"/>
              <w:jc w:val="both"/>
            </w:pPr>
          </w:p>
        </w:tc>
        <w:tc>
          <w:tcPr>
            <w:tcW w:w="4675" w:type="dxa"/>
          </w:tcPr>
          <w:p w:rsidR="007D31AD" w:rsidRPr="007D31AD" w:rsidRDefault="007D31AD" w:rsidP="00634A8C">
            <w:pPr>
              <w:jc w:val="both"/>
            </w:pPr>
            <w:r w:rsidRPr="007D31AD">
              <w:t xml:space="preserve">During downturns, a weaker currency boosts exports, while in inflationary periods, appreciation lowers import costs, stabilizing prices. This flexibility helps economies adapt. On Black Wednesday (16 September 1992), the UK’s forced exit from the ERM led to pound depreciation, improving exports and aiding recovery, showcasing the benefits of exchange rate flexibility (Barry </w:t>
            </w:r>
            <w:proofErr w:type="spellStart"/>
            <w:r w:rsidRPr="007D31AD">
              <w:t>Eichengreen</w:t>
            </w:r>
            <w:proofErr w:type="spellEnd"/>
            <w:r w:rsidRPr="007D31AD">
              <w:t>, 2022).</w:t>
            </w:r>
          </w:p>
        </w:tc>
      </w:tr>
      <w:tr w:rsidR="007D31AD" w:rsidTr="00634A8C">
        <w:tc>
          <w:tcPr>
            <w:tcW w:w="4675" w:type="dxa"/>
          </w:tcPr>
          <w:p w:rsidR="007D31AD" w:rsidRPr="00A4237B" w:rsidRDefault="007D31AD" w:rsidP="007D31AD">
            <w:pPr>
              <w:spacing w:line="278" w:lineRule="auto"/>
              <w:jc w:val="both"/>
            </w:pPr>
            <w:r w:rsidRPr="00A4237B">
              <w:t>Under a floating exchange rate system, the United Kingdom benefits from a reduced need for substantial foreign exchange reserves. Since the value of the British pound is determined by market forces, there is no necessity for the government or central bank to actively intervene to maintain a fixed exchange rate. Prior to adopting a floating exchange rate in 1972, the UK operated under fixed exchange rate regimes, such as the Bretton Woods system. During these periods, the government had to maintain significant foreign currency reserves to defend the pound's fixed value against other currencies. This often led to economic challenges, including the need for devaluations in 1949 and 1967 to address balance of payments issues.</w:t>
            </w:r>
          </w:p>
          <w:p w:rsidR="007D31AD" w:rsidRPr="00A4237B" w:rsidRDefault="007D31AD" w:rsidP="007D31AD">
            <w:pPr>
              <w:spacing w:line="278" w:lineRule="auto"/>
              <w:jc w:val="both"/>
            </w:pPr>
          </w:p>
        </w:tc>
        <w:tc>
          <w:tcPr>
            <w:tcW w:w="4675" w:type="dxa"/>
          </w:tcPr>
          <w:p w:rsidR="007D31AD" w:rsidRPr="007D31AD" w:rsidRDefault="007D31AD" w:rsidP="00634A8C">
            <w:pPr>
              <w:jc w:val="both"/>
            </w:pPr>
            <w:r w:rsidRPr="007D31AD">
              <w:t>With a floating exchange rate, the UK requires fewer foreign exchange reserves, as market forces determine the pound’s value without government intervention. Before adopting this system in 1972, the UK relied on fixed exchange rates, like Bretton Woods, requiring large reserves to maintain stability. This led to economic challenges, including devaluations in 1949 and 1967 to address balance of payments issues.</w:t>
            </w:r>
          </w:p>
        </w:tc>
      </w:tr>
      <w:tr w:rsidR="007D31AD" w:rsidTr="00634A8C">
        <w:tc>
          <w:tcPr>
            <w:tcW w:w="4675" w:type="dxa"/>
          </w:tcPr>
          <w:p w:rsidR="007D31AD" w:rsidRPr="00A4237B" w:rsidRDefault="007D31AD" w:rsidP="007D31AD">
            <w:pPr>
              <w:spacing w:line="278" w:lineRule="auto"/>
              <w:jc w:val="both"/>
            </w:pPr>
            <w:r w:rsidRPr="00A4237B">
              <w:t xml:space="preserve">The shift to a floating exchange rate allowed the pound's value to adjust according to market dynamics, reducing the necessity for large-scale interventions and, consequently, the need for extensive foreign exchange reserves. Without the obligation to stockpile large reserves of foreign currency to defend a fixed exchange rate, the government can allocate financial resources more effectively. Funds that would have been tied up in accumulating foreign reserves can instead be directed toward infrastructure projects, healthcare, education, and social welfare, fostering higher long-term economic growth. A recent example is the announcement of a £20bn increase in extra investment through increased borrowing (Financial Times, 2024). Additionally, holding large foreign exchange reserves often involves investing in low-yield assets like U.S. Treasury bonds. By reducing the need for excessive reserves, the UK can </w:t>
            </w:r>
            <w:r w:rsidRPr="00A4237B">
              <w:lastRenderedPageBreak/>
              <w:t>channel resources into higher-return investments, promoting more efficient resource allocation.</w:t>
            </w:r>
          </w:p>
          <w:p w:rsidR="007D31AD" w:rsidRPr="00A4237B" w:rsidRDefault="007D31AD" w:rsidP="007D31AD">
            <w:pPr>
              <w:spacing w:line="278" w:lineRule="auto"/>
              <w:jc w:val="both"/>
            </w:pPr>
          </w:p>
        </w:tc>
        <w:tc>
          <w:tcPr>
            <w:tcW w:w="4675" w:type="dxa"/>
          </w:tcPr>
          <w:p w:rsidR="007D31AD" w:rsidRPr="007D31AD" w:rsidRDefault="0087008C" w:rsidP="00634A8C">
            <w:pPr>
              <w:jc w:val="both"/>
            </w:pPr>
            <w:r w:rsidRPr="0087008C">
              <w:lastRenderedPageBreak/>
              <w:t>The shift to a floating exchange rate reduced the need for large-scale interventions and foreign exchange reserves, allowing the government to allocate funds more effectively. Resources once tied to reserves can support infrastructure, healthcare, and education, boosting long-term growth. For example, the UK recently announced a £20bn investment increase through borrowing (Financial Times, 2024). Additionally, minimizing reserves avoids low-yield investments like U.S. Treasury bonds, enabling more efficient capital allocation.</w:t>
            </w:r>
          </w:p>
        </w:tc>
      </w:tr>
      <w:tr w:rsidR="007D31AD" w:rsidTr="00634A8C">
        <w:tc>
          <w:tcPr>
            <w:tcW w:w="4675" w:type="dxa"/>
          </w:tcPr>
          <w:p w:rsidR="0087008C" w:rsidRPr="00A4237B" w:rsidRDefault="0087008C" w:rsidP="0087008C">
            <w:pPr>
              <w:spacing w:line="278" w:lineRule="auto"/>
              <w:jc w:val="both"/>
            </w:pPr>
            <w:r w:rsidRPr="00A4237B">
              <w:t>A floating exchange rate also serves as a buffer against external economic shocks. If the UK experiences a sudden decline in global demand for its exports, the pound can depreciate, making UK goods and services cheaper internationally. This depreciation helps boost exports again, cushioning the economy from the negative impact. Similarly, in the event of a global financial crisis, a weaker pound can make UK assets more attractive to foreign investors, stabilizing capital flows. During the 2008 Global Financial Crisis, the UK's floating exchange rate system played a crucial role in absorbing the economic shock. As the crisis unfolded, investor confidence collapsed, and global demand declined, leading to a sharp depreciation of the British pound (GBP). The exchange rate fell from around $2 per GBP in early 2008 to approximately $1.40 per GBP by early 2009 (Choudhry, 2015). This depreciation made UK exports more competitive, as British goods and services became cheaper for foreign buyers, providing much-needed support to the economy at a time of financial distress. Additionally, the weaker pound boosted the UK’s tourism sector by making travel to the UK more affordable for international visitors, further supporting economic activity.</w:t>
            </w:r>
          </w:p>
          <w:p w:rsidR="007D31AD" w:rsidRPr="00A4237B" w:rsidRDefault="007D31AD" w:rsidP="007D31AD">
            <w:pPr>
              <w:spacing w:line="278" w:lineRule="auto"/>
              <w:jc w:val="both"/>
            </w:pPr>
          </w:p>
        </w:tc>
        <w:tc>
          <w:tcPr>
            <w:tcW w:w="4675" w:type="dxa"/>
          </w:tcPr>
          <w:p w:rsidR="007D31AD" w:rsidRPr="007D31AD" w:rsidRDefault="0087008C" w:rsidP="00634A8C">
            <w:pPr>
              <w:jc w:val="both"/>
            </w:pPr>
            <w:r w:rsidRPr="0087008C">
              <w:t>A floating exchange rate acts as a buffer against external shocks. If global demand for UK exports falls, the pound depreciates, making UK goods cheaper and boosting exports. During the 2008 Global Financial Crisis, the pound fell from $2 to $1.40 per GBP (Choudhry, 2015), enhancing export competitiveness and supporting the economy. A weaker pound also attracted foreign investment and boosted tourism by making the UK more affordable.</w:t>
            </w:r>
          </w:p>
        </w:tc>
      </w:tr>
      <w:tr w:rsidR="0087008C" w:rsidTr="00634A8C">
        <w:tc>
          <w:tcPr>
            <w:tcW w:w="4675" w:type="dxa"/>
          </w:tcPr>
          <w:p w:rsidR="0087008C" w:rsidRPr="00A4237B" w:rsidRDefault="0087008C" w:rsidP="007D31AD">
            <w:pPr>
              <w:spacing w:line="278" w:lineRule="auto"/>
              <w:jc w:val="both"/>
            </w:pPr>
          </w:p>
        </w:tc>
        <w:tc>
          <w:tcPr>
            <w:tcW w:w="4675" w:type="dxa"/>
          </w:tcPr>
          <w:p w:rsidR="0087008C" w:rsidRPr="007D31AD" w:rsidRDefault="0087008C" w:rsidP="00634A8C">
            <w:pPr>
              <w:jc w:val="both"/>
            </w:pPr>
          </w:p>
        </w:tc>
      </w:tr>
      <w:tr w:rsidR="007D31AD" w:rsidTr="00634A8C">
        <w:tc>
          <w:tcPr>
            <w:tcW w:w="4675" w:type="dxa"/>
          </w:tcPr>
          <w:p w:rsidR="007D31AD" w:rsidRPr="00A4237B" w:rsidRDefault="007D31AD" w:rsidP="007D31AD">
            <w:pPr>
              <w:spacing w:line="278" w:lineRule="auto"/>
              <w:jc w:val="both"/>
            </w:pPr>
          </w:p>
        </w:tc>
        <w:tc>
          <w:tcPr>
            <w:tcW w:w="4675" w:type="dxa"/>
          </w:tcPr>
          <w:p w:rsidR="007D31AD" w:rsidRPr="007D31AD" w:rsidRDefault="007D31AD" w:rsidP="00634A8C">
            <w:pPr>
              <w:jc w:val="both"/>
            </w:pPr>
          </w:p>
        </w:tc>
      </w:tr>
    </w:tbl>
    <w:p w:rsidR="00634A8C" w:rsidRDefault="00634A8C" w:rsidP="00634A8C">
      <w:pPr>
        <w:spacing w:after="0"/>
        <w:jc w:val="both"/>
      </w:pPr>
    </w:p>
    <w:p w:rsidR="00634A8C" w:rsidRDefault="00634A8C" w:rsidP="00634A8C">
      <w:pPr>
        <w:spacing w:after="0"/>
        <w:jc w:val="both"/>
      </w:pPr>
      <w:bookmarkStart w:id="0" w:name="_Hlk192690640"/>
    </w:p>
    <w:p w:rsidR="00634A8C" w:rsidRPr="00A4237B" w:rsidRDefault="00634A8C" w:rsidP="00634A8C">
      <w:pPr>
        <w:spacing w:line="278" w:lineRule="auto"/>
        <w:jc w:val="both"/>
      </w:pPr>
      <w:r w:rsidRPr="00A4237B">
        <w:t>Monetary policy autonomy is a significant advantage of a floating exchange rate system, allowing the UK to tailor its monetary policies to domestic economic conditions without the need to defend a fixed exchange rate. This flexibility is particularly valuable during times of economic crisis or inflationary pressures. Since the British pound (GBP) is not pegged to any other currency, the Bank of England (BoE) can independently adjust interest rates and implement quantitative easing or tightening as needed. A clear example of this occurred during the COVID-19 pandemic (2020-2021), when the UK economy faced a severe downturn due to lockdowns and declining consumer demand. In response, the BoE slashed interest rates to a historic low of 0.1% and launched an unprecedented £895 billion quantitative easing (QE) program to inject liquidity into the economy and support businesses (UK Parliament, 2021). If the UK had been operating under a fixed exchange rate regime, it would have had to maintain a stable currency value, potentially limiting its ability to lower interest rates or expand monetary policy. This could have worsened the economic downturn, as seen in countries that struggled to balance monetary stimulus with exchange rate stability.</w:t>
      </w:r>
      <w:r>
        <w:t xml:space="preserve"> </w:t>
      </w:r>
      <w:r w:rsidRPr="00A4237B">
        <w:t>Furthermore, monetary policy autonomy ensures that the UK can tackle inflation without external constraints. For instance, in 2022, as inflation surged, the BoE was able to rapidly raise interest rates to curb rising prices, a move that could have been restricted under a fixed system. This ability to respond swiftly to economic conditions underscores the advantages of a floating exchange rate, reinforcing the UK's capacity to navigate financial challenges independently.</w:t>
      </w:r>
    </w:p>
    <w:p w:rsidR="00634A8C" w:rsidRDefault="00634A8C" w:rsidP="00634A8C">
      <w:pPr>
        <w:jc w:val="both"/>
      </w:pPr>
    </w:p>
    <w:p w:rsidR="00634A8C" w:rsidRPr="00E00A6F" w:rsidRDefault="00634A8C" w:rsidP="00634A8C">
      <w:pPr>
        <w:jc w:val="both"/>
        <w:rPr>
          <w:lang w:val="en-US"/>
        </w:rPr>
      </w:pPr>
      <w:r w:rsidRPr="00E00A6F">
        <w:rPr>
          <w:lang w:val="en-US"/>
        </w:rPr>
        <w:t xml:space="preserve">In a floating exchange rate system, the value of a currency is determined by market forces of supply and demand, allowing for automatic adjustments. When a country runs a trade deficit, its currency tends to depreciate, making exports more competitive and imports more expensive. This natural correction helps reduce trade imbalances without direct government intervention. For instance, if the UK imports more than it </w:t>
      </w:r>
      <w:proofErr w:type="gramStart"/>
      <w:r w:rsidRPr="00E00A6F">
        <w:rPr>
          <w:lang w:val="en-US"/>
        </w:rPr>
        <w:t>exports</w:t>
      </w:r>
      <w:proofErr w:type="gramEnd"/>
      <w:r w:rsidRPr="00E00A6F">
        <w:rPr>
          <w:lang w:val="en-US"/>
        </w:rPr>
        <w:t>, demand for foreign currencies rises, causing the pound to weaken. As a result, UK goods become cheaper for foreign buyers, boosting exports, while imports become more costly, discouraging excessive foreign purchases. This self-regulating mechanism helps maintain economic equilibrium.</w:t>
      </w:r>
    </w:p>
    <w:p w:rsidR="00634A8C" w:rsidRPr="00E00A6F" w:rsidRDefault="00634A8C" w:rsidP="00634A8C">
      <w:pPr>
        <w:jc w:val="both"/>
        <w:rPr>
          <w:lang w:val="en-US"/>
        </w:rPr>
      </w:pPr>
      <w:r w:rsidRPr="00E00A6F">
        <w:rPr>
          <w:lang w:val="en-US"/>
        </w:rPr>
        <w:t xml:space="preserve">During economic downturns, a depreciating currency can stimulate growth by enhancing export competitiveness. Conversely, in times of inflation, currency appreciation can reduce import costs, helping stabilize prices. This flexibility makes floating exchange rates a vital tool in adapting to changing economic conditions. A notable example occurred on 16 September 1992, known as Black Wednesday, when the UK was forced to exit the European Exchange Rate Mechanism (ERM) due to intense market pressures. The pound's subsequent depreciation improved export competitiveness and contributed to economic recovery, highlighting the benefits of exchange rate flexibility (Barry </w:t>
      </w:r>
      <w:proofErr w:type="spellStart"/>
      <w:r w:rsidRPr="00E00A6F">
        <w:rPr>
          <w:lang w:val="en-US"/>
        </w:rPr>
        <w:t>Eichengreen</w:t>
      </w:r>
      <w:proofErr w:type="spellEnd"/>
      <w:r w:rsidRPr="00E00A6F">
        <w:rPr>
          <w:lang w:val="en-US"/>
        </w:rPr>
        <w:t>, 2022).</w:t>
      </w:r>
    </w:p>
    <w:p w:rsidR="00634A8C" w:rsidRPr="00E00A6F" w:rsidRDefault="00634A8C" w:rsidP="00634A8C">
      <w:pPr>
        <w:jc w:val="both"/>
        <w:rPr>
          <w:lang w:val="en-US"/>
        </w:rPr>
      </w:pPr>
      <w:r w:rsidRPr="00E00A6F">
        <w:rPr>
          <w:lang w:val="en-US"/>
        </w:rPr>
        <w:t>Under a floating exchange rate system, the United Kingdom benefits from a reduced need for substantial foreign exchange reserves. Since the value of the British pound is determined by market forces, there is no necessity for the government or central bank to actively intervene to maintain a fixed exchange rate. Prior to adopting a floating exchange rate in 1972, the UK operated under fixed exchange rate regimes, such as the Bretton Woods system. During these periods, the government had to maintain significant foreign currency reserves to defend the pound's fixed value against other currencies. This often led to economic challenges, including the need for devaluations in 1949 and 1967 to address balance of payments issues.</w:t>
      </w:r>
    </w:p>
    <w:p w:rsidR="00634A8C" w:rsidRPr="00E00A6F" w:rsidRDefault="00634A8C" w:rsidP="00634A8C">
      <w:pPr>
        <w:jc w:val="both"/>
        <w:rPr>
          <w:lang w:val="en-US"/>
        </w:rPr>
      </w:pPr>
      <w:r w:rsidRPr="00E00A6F">
        <w:rPr>
          <w:lang w:val="en-US"/>
        </w:rPr>
        <w:t>The shift to a floating exchange rate allowed the pound's value to adjust according to market dynamics, reducing the necessity for large-scale interventions and, consequently, the need for extensive foreign exchange reserves. Without the obligation to stockpile large reserves of foreign currency to defend a fixed exchange rate, the government can allocate financial resources more effectively. Funds that would have been tied up in accumulating foreign reserves can instead be directed toward infrastructure projects, healthcare, education, and social welfare, fostering higher long-term economic growth. A recent example is the announcement of a £20bn increase in extra investment through increased borrowing (Financial Times, 2024). Additionally, holding large foreign exchange reserves often involves investing in low-yield assets like U.S. Treasury bonds. By reducing the need for excessive reserves, the UK can channel resources into higher-return investments, promoting more efficient resource allocation.</w:t>
      </w:r>
    </w:p>
    <w:p w:rsidR="00634A8C" w:rsidRPr="00E00A6F" w:rsidRDefault="00634A8C" w:rsidP="00634A8C">
      <w:pPr>
        <w:jc w:val="both"/>
        <w:rPr>
          <w:lang w:val="en-US"/>
        </w:rPr>
      </w:pPr>
      <w:r w:rsidRPr="00E00A6F">
        <w:rPr>
          <w:lang w:val="en-US"/>
        </w:rPr>
        <w:t>A floating exchange rate also serves as a buffer against external economic shocks. If the UK experiences a sudden decline in global demand for its exports, the pound can depreciate, making UK goods and services cheaper internationally. This depreciation helps boost exports again, cushioning the economy from the negative impact. Similarly, in the event of a global financial crisis, a weaker pound can make UK assets more attractive to foreign investors, stabilizing capital flows. During the 2008 Global Financial Crisis, the UK's floating exchange rate system played a crucial role in absorbing the economic shock. As the crisis unfolded, investor confidence collapsed, and global demand declined, leading to a sharp depreciation of the British pound (GBP). The exchange rate fell from around $2 per GBP in early 2008 to approximately $1.40 per GBP by early 2009 (Choudhry, 2015). This depreciation made UK exports more competitive, as British goods and services became cheaper for foreign buyers, providing much-needed support to the economy at a time of financial distress. Additionally, the weaker pound boosted the UK’s tourism sector by making travel to the UK more affordable for international visitors, further supporting economic activity.</w:t>
      </w:r>
    </w:p>
    <w:p w:rsidR="00634A8C" w:rsidRPr="00E00A6F" w:rsidRDefault="00634A8C" w:rsidP="00634A8C">
      <w:pPr>
        <w:jc w:val="both"/>
        <w:rPr>
          <w:lang w:val="en-US"/>
        </w:rPr>
      </w:pPr>
      <w:r w:rsidRPr="00E00A6F">
        <w:rPr>
          <w:lang w:val="en-US"/>
        </w:rPr>
        <w:t xml:space="preserve">Monetary policy autonomy is a significant advantage of a floating exchange rate system, allowing the UK to tailor its monetary policies to domestic economic conditions without the need to defend a fixed exchange rate. This flexibility is particularly valuable during times of economic crisis or inflationary pressures. Since the British pound (GBP) is not pegged to any other currency, the Bank of England (BoE) can independently adjust interest rates and implement quantitative easing or tightening as needed. A clear example of this occurred during the COVID-19 pandemic (2020-2021), when the UK economy faced a severe downturn due to lockdowns and declining consumer demand. In </w:t>
      </w:r>
      <w:r w:rsidRPr="00E00A6F">
        <w:rPr>
          <w:lang w:val="en-US"/>
        </w:rPr>
        <w:lastRenderedPageBreak/>
        <w:t>response, the BoE slashed interest rates to a historic low of 0.1% and launched an unprecedented £895 billion quantitative easing (QE) program to inject liquidity into the economy and support businesses (UK Parliament, 2021). If the UK had been operating under a fixed exchange rate regime, it would have had to maintain a stable currency value, potentially limiting its ability to lower interest rates or expand monetary policy. This could have worsened the economic downturn, as seen in countries that struggled to balance monetary stimulus with exchange rate stability.</w:t>
      </w:r>
    </w:p>
    <w:p w:rsidR="00634A8C" w:rsidRPr="00E00A6F" w:rsidRDefault="00634A8C" w:rsidP="00634A8C">
      <w:pPr>
        <w:jc w:val="both"/>
        <w:rPr>
          <w:lang w:val="en-US"/>
        </w:rPr>
      </w:pPr>
      <w:r w:rsidRPr="00E00A6F">
        <w:rPr>
          <w:lang w:val="en-US"/>
        </w:rPr>
        <w:t>Furthermore, monetary policy autonomy ensures that the UK can tackle inflation without external constraints. For instance, in 2022, as inflation surged, the BoE was able to rapidly raise interest rates to curb rising prices, a move that could have been restricted under a fixed system. This ability to respond swiftly to economic conditions underscores the advantages of a floating exchange rate, reinforcing the UK's capacity to navigate financial challenges independently.</w:t>
      </w:r>
    </w:p>
    <w:p w:rsidR="00634A8C" w:rsidRPr="00E00A6F" w:rsidRDefault="00634A8C" w:rsidP="00634A8C">
      <w:pPr>
        <w:jc w:val="both"/>
        <w:rPr>
          <w:lang w:val="en-US"/>
        </w:rPr>
      </w:pPr>
      <w:r w:rsidRPr="00E00A6F">
        <w:rPr>
          <w:lang w:val="en-US"/>
        </w:rPr>
        <w:t>However, the floating exchange rate system also exposes the UK to frequent currency fluctuations. Political events, economic reports, and global financial instability can lead to sharp movements in the pound’s value. For instance, Brexit in 2016 caused significant depreciation due to uncertainty in trade agreements and economic forecasts. Similarly, inflation data, GDP growth rates, and employment figures can trigger immediate currency shifts (</w:t>
      </w:r>
      <w:proofErr w:type="spellStart"/>
      <w:r w:rsidRPr="00E00A6F">
        <w:rPr>
          <w:lang w:val="en-US"/>
        </w:rPr>
        <w:t>Stoupos</w:t>
      </w:r>
      <w:proofErr w:type="spellEnd"/>
      <w:r w:rsidRPr="00E00A6F">
        <w:rPr>
          <w:lang w:val="en-US"/>
        </w:rPr>
        <w:t>, 2021). Market speculation plays a significant role in exchange rate volatility, as investors and traders react to economic and geopolitical developments.</w:t>
      </w:r>
    </w:p>
    <w:p w:rsidR="00634A8C" w:rsidRPr="00E00A6F" w:rsidRDefault="00634A8C" w:rsidP="00634A8C">
      <w:pPr>
        <w:jc w:val="both"/>
        <w:rPr>
          <w:lang w:val="en-US"/>
        </w:rPr>
      </w:pPr>
      <w:r w:rsidRPr="00E00A6F">
        <w:rPr>
          <w:lang w:val="en-US"/>
        </w:rPr>
        <w:t>Another disadvantage of a floating exchange rate is imported inflation. Since the UK relies heavily on imports for essential goods such as energy and food, a weaker pound increases the cost of these goods, contributing to inflationary pressures. A notable example occurred during the UK’s energy crisis in 2022, when the pound’s depreciation led to higher costs for oil and gas, which are priced in US dollars, exacerbating inflation (Ahmed, 2023).</w:t>
      </w:r>
    </w:p>
    <w:p w:rsidR="00634A8C" w:rsidRPr="00E00A6F" w:rsidRDefault="00634A8C" w:rsidP="00634A8C">
      <w:pPr>
        <w:jc w:val="both"/>
        <w:rPr>
          <w:lang w:val="en-US"/>
        </w:rPr>
      </w:pPr>
      <w:r w:rsidRPr="00E00A6F">
        <w:rPr>
          <w:lang w:val="en-US"/>
        </w:rPr>
        <w:t>Additionally, a floating exchange rate can impact debt servicing for countries with foreign currency-denominated debt. If the pound depreciates, the cost of repaying foreign debt rises, straining public finances and businesses with external debt obligations. A key example occurred in 2022 when the UK government’s mini-budget caused a sharp decline in the pound, increasing borrowing costs (Aldrick, 2022).</w:t>
      </w:r>
    </w:p>
    <w:p w:rsidR="00634A8C" w:rsidRPr="00E00A6F" w:rsidRDefault="00634A8C" w:rsidP="00634A8C">
      <w:pPr>
        <w:jc w:val="both"/>
        <w:rPr>
          <w:lang w:val="en-US"/>
        </w:rPr>
      </w:pPr>
      <w:r w:rsidRPr="00E00A6F">
        <w:rPr>
          <w:lang w:val="en-US"/>
        </w:rPr>
        <w:t>Finally, exchange rate volatility can create economic uncertainty. The sharp depreciation of the pound following the 2016 Brexit vote illustrates how excessive fluctuations can hinder business planning, increase inflationary pressures, and discourage foreign investment. Countries with managed exchange rate systems, like China, mitigate such instability through intervention, highlighting a potential drawback of relying solely on market-driven currency valuation.</w:t>
      </w:r>
    </w:p>
    <w:p w:rsidR="00634A8C" w:rsidRDefault="00634A8C" w:rsidP="00634A8C">
      <w:pPr>
        <w:spacing w:after="0"/>
        <w:jc w:val="both"/>
      </w:pPr>
    </w:p>
    <w:p w:rsidR="00634A8C" w:rsidRPr="00C43E62" w:rsidRDefault="00634A8C" w:rsidP="00634A8C">
      <w:pPr>
        <w:spacing w:line="278" w:lineRule="auto"/>
        <w:jc w:val="both"/>
      </w:pPr>
      <w:r w:rsidRPr="00C43E62">
        <w:t xml:space="preserve">Prudent fiscal policies are essential for maintaining investor confidence in the UK economy and stabilizing the exchange rate under a floating exchange rate system, where market forces determine the value of the British pound (GBP). Excessive government borrowing can lead to inflation, increased debt servicing costs, and capital flight, all of which contribute to currency depreciation. Responsible fiscal management reassures investors, increasing demand for UK assets such as government bonds and supporting the pound’s value. Conversely, excessive borrowing without a clear repayment strategy can erode confidence, triggering capital outflows and currency instability. Inflation control is also crucial, as high budget deficits often lead to borrowing or money printing, </w:t>
      </w:r>
      <w:proofErr w:type="spellStart"/>
      <w:r w:rsidRPr="00C43E62">
        <w:t>fueling</w:t>
      </w:r>
      <w:proofErr w:type="spellEnd"/>
      <w:r w:rsidRPr="00C43E62">
        <w:t xml:space="preserve"> inflation that weakens the pound by reducing its purchasing power and making UK exports less competitive. External debt management plays a key role as well, since borrowing in foreign currencies can expose the UK to exchange rate risks, raising the cost of debt servicing when the pound depreciates. For instance, in response to the 2008 Global Financial Crisis, the UK government implemented austerity measures, including spending cuts and tax increases, to reduce budget deficits and restore market confidence (Farnsworth, 2011). This helped stabilize public debt and maintain investor trust, keeping the pound relatively stable despite global economic uncertainties. To strengthen fiscal discipline, policymakers should establish debt-to-GDP ratio targets (e.g., keeping debt below 80% of GDP) as a benchmark for responsible borrowing, allocate resources efficiently to productive sectors such as infrastructure and education, and implement tax reforms to boost revenue without over-reliance on borrowing. Additionally, building emergency contingency funds through </w:t>
      </w:r>
      <w:r w:rsidRPr="00C43E62">
        <w:lastRenderedPageBreak/>
        <w:t>foreign exchange reserves can help manage currency volatility, while aligning fiscal policy with the Bank of England’s monetary objectives can prevent policy conflicts that might destabilize the exchange rate.</w:t>
      </w:r>
    </w:p>
    <w:p w:rsidR="00634A8C" w:rsidRPr="00C43E62" w:rsidRDefault="00634A8C" w:rsidP="00634A8C">
      <w:pPr>
        <w:spacing w:line="278" w:lineRule="auto"/>
        <w:jc w:val="both"/>
      </w:pPr>
      <w:r w:rsidRPr="00C43E62">
        <w:t>Expanding trade relationships and diversifying investments are critical strategies for mitigating the impact of exchange rate fluctuations on the UK economy. A highly concentrated trade portfolio, where exports rely heavily on a few key markets, makes the UK vulnerable to currency volatility, geopolitical tensions, and economic downturns in those regions. By fostering trade partnerships with a wider range of economies—including emerging markets—the UK can reduce its dependency on any single country or trading bloc. For example, post-Brexit trade policies have pushed the UK to secure new agreements with countries such as Australia and India, aiming to lessen its reliance on the European Union (Garcia, 2023). The UK-Australia Free Trade Agreement, which came into force in 2023, eliminates tariffs on most goods and opens new investment opportunities, reducing the UK's trade dependency on European markets. Additionally, promoting domestic production of essential goods, particularly in industries such as energy, pharmaceuticals, and agriculture, can help reduce imported inflation. When the pound depreciates, the cost of importing foreign goods rises, leading to higher consumer prices. The UK’s investment in offshore wind energy, for example, aims to reduce reliance on imported fossil fuels, insulating the economy from exchange rate-driven energy price fluctuations. Encouraging foreign direct investment (FDI) from a diverse set of global investors can also enhance economic stability, as a well-diversified investment inflow reduces the risk of capital flight during periods of currency depreciation. The UK’s emphasis on attracting tech sector investments from North America and Asia, such as Microsoft's £2.5 billion investment in UK AI and cloud infrastructure in 2023, has helped balance economic reliance beyond traditional European markets (HM Treasury, 2023). Through a strategic focus on trade expansion, domestic production, and investment diversification, the UK can strengthen its resilience against the uncertainties of a floating exchange rate system.</w:t>
      </w:r>
    </w:p>
    <w:p w:rsidR="00634A8C" w:rsidRPr="00C43E62" w:rsidRDefault="00634A8C" w:rsidP="00634A8C">
      <w:pPr>
        <w:spacing w:line="278" w:lineRule="auto"/>
        <w:jc w:val="both"/>
      </w:pPr>
      <w:r w:rsidRPr="00C43E62">
        <w:t xml:space="preserve">Although the UK operates under a floating exchange rate system, where market forces primarily determine the value of the British pound (GBP), the government and the Bank of England (BoE) must closely monitor exchange rate movements to prevent excessive volatility that could destabilize the economy. While direct intervention is generally avoided, strategic market operations during financial crises can help restore confidence. For instance, during the 2008 Global Financial Crisis, the BoE implemented emergency liquidity measures and coordinated with other central banks to stabilize financial markets, indirectly influencing exchange rate stability (Farnsworth, 2011). Similarly, in 2022, when the pound plummeted to a historic low of $1.03 against the US dollar following the announcement of unfunded tax cuts under former Prime Minister Liz Truss, the BoE intervened by purchasing government bonds to calm markets and prevent further depreciation. These interventions highlight the importance of maintaining investor confidence through well-calibrated policy actions. By leveraging tools such as forward guidance, reserve management, and temporary foreign exchange interventions, the UK can mitigate sharp currency swings while preserving the fundamental principles of a floating exchange rate system. Regular monitoring also enables policymakers to anticipate potential risks, such as speculative attacks or geopolitical disruptions, and implement </w:t>
      </w:r>
      <w:proofErr w:type="spellStart"/>
      <w:r w:rsidRPr="00C43E62">
        <w:t>preemptive</w:t>
      </w:r>
      <w:proofErr w:type="spellEnd"/>
      <w:r w:rsidRPr="00C43E62">
        <w:t xml:space="preserve"> measures to maintain financial stability.</w:t>
      </w:r>
    </w:p>
    <w:p w:rsidR="00634A8C" w:rsidRPr="00C43E62" w:rsidRDefault="00634A8C" w:rsidP="00634A8C">
      <w:pPr>
        <w:spacing w:line="278" w:lineRule="auto"/>
        <w:jc w:val="both"/>
      </w:pPr>
      <w:r w:rsidRPr="00C43E62">
        <w:t xml:space="preserve">Enhancing economic fundamentals is crucial for maintaining the UK's global competitiveness and stabilizing the pound under a floating exchange rate system (Bambi, 2021). Policies that improve productivity, foster innovation, and encourage investment in key sectors help attract foreign capital, reducing the risks of excessive currency depreciation. A strong and resilient economy increases investor confidence, leading to higher demand for British assets and a more stable exchange rate. For example, the UK government has prioritized investment in high-tech industries, renewable energy, and financial services to drive long-term economic growth. The expansion of the UK’s technology sector, particularly in fintech and artificial intelligence, has positioned London as a global innovation hub, attracting billions in foreign direct investment (FDI). In 2023 alone, the UK secured over £30 billion in tech sector investments, strengthening the pound by increasing foreign demand for UK-based assets. Additionally, investment in renewable energy, such as offshore wind projects, has not only enhanced energy security but also reduced reliance on imported fossil fuels, mitigating the impact of currency depreciation on energy costs. By continuing to focus on policies that </w:t>
      </w:r>
      <w:r w:rsidRPr="00C43E62">
        <w:lastRenderedPageBreak/>
        <w:t>enhance workforce skills, infrastructure development, and research and development (R&amp;D), the UK can ensure long-term economic stability. A well-diversified and innovation-driven economy provides a strong foundation for exchange rate resilience, helping to shield the pound from external shocks and speculative pressures.</w:t>
      </w:r>
    </w:p>
    <w:bookmarkEnd w:id="0"/>
    <w:p w:rsidR="00735362" w:rsidRDefault="00735362"/>
    <w:sectPr w:rsidR="0073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8C"/>
    <w:rsid w:val="002509E1"/>
    <w:rsid w:val="00634A8C"/>
    <w:rsid w:val="00735362"/>
    <w:rsid w:val="007D31AD"/>
    <w:rsid w:val="0087008C"/>
    <w:rsid w:val="009301B5"/>
    <w:rsid w:val="00951C95"/>
    <w:rsid w:val="009E1204"/>
    <w:rsid w:val="00B13267"/>
    <w:rsid w:val="00CF1E6E"/>
    <w:rsid w:val="00EA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3A49"/>
  <w14:defaultImageDpi w14:val="330"/>
  <w15:chartTrackingRefBased/>
  <w15:docId w15:val="{AE5AF4B5-ED73-42DF-BB09-4526A599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8C"/>
    <w:pPr>
      <w:spacing w:line="259" w:lineRule="auto"/>
    </w:pPr>
    <w:rPr>
      <w:color w:val="000000" w:themeColor="text1"/>
      <w:sz w:val="20"/>
      <w:szCs w:val="22"/>
      <w:lang w:val="en-GB"/>
    </w:rPr>
  </w:style>
  <w:style w:type="paragraph" w:styleId="Heading1">
    <w:name w:val="heading 1"/>
    <w:basedOn w:val="Normal"/>
    <w:next w:val="Normal"/>
    <w:link w:val="Heading1Char"/>
    <w:uiPriority w:val="9"/>
    <w:qFormat/>
    <w:rsid w:val="00634A8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634A8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634A8C"/>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34A8C"/>
    <w:pPr>
      <w:keepNext/>
      <w:keepLines/>
      <w:spacing w:before="80" w:after="40" w:line="278" w:lineRule="auto"/>
      <w:outlineLvl w:val="3"/>
    </w:pPr>
    <w:rPr>
      <w:rFonts w:asciiTheme="minorHAnsi" w:eastAsiaTheme="majorEastAsia" w:hAnsiTheme="minorHAnsi" w:cstheme="majorBidi"/>
      <w:i/>
      <w:iCs/>
      <w:color w:val="0F4761" w:themeColor="accent1" w:themeShade="BF"/>
      <w:szCs w:val="24"/>
      <w:lang w:val="en-US"/>
    </w:rPr>
  </w:style>
  <w:style w:type="paragraph" w:styleId="Heading5">
    <w:name w:val="heading 5"/>
    <w:basedOn w:val="Normal"/>
    <w:next w:val="Normal"/>
    <w:link w:val="Heading5Char"/>
    <w:uiPriority w:val="9"/>
    <w:semiHidden/>
    <w:unhideWhenUsed/>
    <w:qFormat/>
    <w:rsid w:val="00634A8C"/>
    <w:pPr>
      <w:keepNext/>
      <w:keepLines/>
      <w:spacing w:before="80" w:after="40" w:line="278" w:lineRule="auto"/>
      <w:outlineLvl w:val="4"/>
    </w:pPr>
    <w:rPr>
      <w:rFonts w:asciiTheme="minorHAnsi" w:eastAsiaTheme="majorEastAsia" w:hAnsiTheme="minorHAnsi" w:cstheme="majorBidi"/>
      <w:color w:val="0F4761" w:themeColor="accent1" w:themeShade="BF"/>
      <w:szCs w:val="24"/>
      <w:lang w:val="en-US"/>
    </w:rPr>
  </w:style>
  <w:style w:type="paragraph" w:styleId="Heading6">
    <w:name w:val="heading 6"/>
    <w:basedOn w:val="Normal"/>
    <w:next w:val="Normal"/>
    <w:link w:val="Heading6Char"/>
    <w:uiPriority w:val="9"/>
    <w:semiHidden/>
    <w:unhideWhenUsed/>
    <w:qFormat/>
    <w:rsid w:val="00634A8C"/>
    <w:pPr>
      <w:keepNext/>
      <w:keepLines/>
      <w:spacing w:before="40" w:after="0" w:line="278" w:lineRule="auto"/>
      <w:outlineLvl w:val="5"/>
    </w:pPr>
    <w:rPr>
      <w:rFonts w:asciiTheme="minorHAnsi" w:eastAsiaTheme="majorEastAsia" w:hAnsiTheme="minorHAnsi" w:cstheme="majorBidi"/>
      <w:i/>
      <w:iCs/>
      <w:color w:val="595959" w:themeColor="text1" w:themeTint="A6"/>
      <w:szCs w:val="24"/>
      <w:lang w:val="en-US"/>
    </w:rPr>
  </w:style>
  <w:style w:type="paragraph" w:styleId="Heading7">
    <w:name w:val="heading 7"/>
    <w:basedOn w:val="Normal"/>
    <w:next w:val="Normal"/>
    <w:link w:val="Heading7Char"/>
    <w:uiPriority w:val="9"/>
    <w:semiHidden/>
    <w:unhideWhenUsed/>
    <w:qFormat/>
    <w:rsid w:val="00634A8C"/>
    <w:pPr>
      <w:keepNext/>
      <w:keepLines/>
      <w:spacing w:before="40" w:after="0" w:line="278" w:lineRule="auto"/>
      <w:outlineLvl w:val="6"/>
    </w:pPr>
    <w:rPr>
      <w:rFonts w:asciiTheme="minorHAnsi" w:eastAsiaTheme="majorEastAsia" w:hAnsiTheme="minorHAnsi" w:cstheme="majorBidi"/>
      <w:color w:val="595959" w:themeColor="text1" w:themeTint="A6"/>
      <w:szCs w:val="24"/>
      <w:lang w:val="en-US"/>
    </w:rPr>
  </w:style>
  <w:style w:type="paragraph" w:styleId="Heading8">
    <w:name w:val="heading 8"/>
    <w:basedOn w:val="Normal"/>
    <w:next w:val="Normal"/>
    <w:link w:val="Heading8Char"/>
    <w:uiPriority w:val="9"/>
    <w:semiHidden/>
    <w:unhideWhenUsed/>
    <w:qFormat/>
    <w:rsid w:val="00634A8C"/>
    <w:pPr>
      <w:keepNext/>
      <w:keepLines/>
      <w:spacing w:after="0" w:line="278" w:lineRule="auto"/>
      <w:outlineLvl w:val="7"/>
    </w:pPr>
    <w:rPr>
      <w:rFonts w:asciiTheme="minorHAnsi" w:eastAsiaTheme="majorEastAsia" w:hAnsiTheme="minorHAnsi" w:cstheme="majorBidi"/>
      <w:i/>
      <w:iCs/>
      <w:color w:val="272727" w:themeColor="text1" w:themeTint="D8"/>
      <w:szCs w:val="24"/>
      <w:lang w:val="en-US"/>
    </w:rPr>
  </w:style>
  <w:style w:type="paragraph" w:styleId="Heading9">
    <w:name w:val="heading 9"/>
    <w:basedOn w:val="Normal"/>
    <w:next w:val="Normal"/>
    <w:link w:val="Heading9Char"/>
    <w:uiPriority w:val="9"/>
    <w:semiHidden/>
    <w:unhideWhenUsed/>
    <w:qFormat/>
    <w:rsid w:val="00634A8C"/>
    <w:pPr>
      <w:keepNext/>
      <w:keepLines/>
      <w:spacing w:after="0" w:line="278" w:lineRule="auto"/>
      <w:outlineLvl w:val="8"/>
    </w:pPr>
    <w:rPr>
      <w:rFonts w:asciiTheme="minorHAnsi" w:eastAsiaTheme="majorEastAsia" w:hAnsiTheme="minorHAnsi" w:cstheme="majorBidi"/>
      <w:color w:val="272727" w:themeColor="text1" w:themeTint="D8"/>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A8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A8C"/>
    <w:rPr>
      <w:rFonts w:asciiTheme="minorHAnsi" w:eastAsiaTheme="majorEastAsia" w:hAnsiTheme="minorHAnsi" w:cstheme="majorBidi"/>
      <w:i/>
      <w:iCs/>
      <w:color w:val="0F4761" w:themeColor="accent1" w:themeShade="BF"/>
      <w:sz w:val="20"/>
    </w:rPr>
  </w:style>
  <w:style w:type="character" w:customStyle="1" w:styleId="Heading5Char">
    <w:name w:val="Heading 5 Char"/>
    <w:basedOn w:val="DefaultParagraphFont"/>
    <w:link w:val="Heading5"/>
    <w:uiPriority w:val="9"/>
    <w:semiHidden/>
    <w:rsid w:val="00634A8C"/>
    <w:rPr>
      <w:rFonts w:asciiTheme="minorHAnsi" w:eastAsiaTheme="majorEastAsia" w:hAnsiTheme="minorHAnsi" w:cstheme="majorBidi"/>
      <w:color w:val="0F4761" w:themeColor="accent1" w:themeShade="BF"/>
      <w:sz w:val="20"/>
    </w:rPr>
  </w:style>
  <w:style w:type="character" w:customStyle="1" w:styleId="Heading6Char">
    <w:name w:val="Heading 6 Char"/>
    <w:basedOn w:val="DefaultParagraphFont"/>
    <w:link w:val="Heading6"/>
    <w:uiPriority w:val="9"/>
    <w:semiHidden/>
    <w:rsid w:val="00634A8C"/>
    <w:rPr>
      <w:rFonts w:asciiTheme="minorHAnsi" w:eastAsiaTheme="majorEastAsia" w:hAnsiTheme="minorHAnsi" w:cstheme="majorBidi"/>
      <w:i/>
      <w:iCs/>
      <w:color w:val="595959" w:themeColor="text1" w:themeTint="A6"/>
      <w:sz w:val="20"/>
    </w:rPr>
  </w:style>
  <w:style w:type="character" w:customStyle="1" w:styleId="Heading7Char">
    <w:name w:val="Heading 7 Char"/>
    <w:basedOn w:val="DefaultParagraphFont"/>
    <w:link w:val="Heading7"/>
    <w:uiPriority w:val="9"/>
    <w:semiHidden/>
    <w:rsid w:val="00634A8C"/>
    <w:rPr>
      <w:rFonts w:asciiTheme="minorHAnsi" w:eastAsiaTheme="majorEastAsia" w:hAnsiTheme="minorHAnsi" w:cstheme="majorBidi"/>
      <w:color w:val="595959" w:themeColor="text1" w:themeTint="A6"/>
      <w:sz w:val="20"/>
    </w:rPr>
  </w:style>
  <w:style w:type="character" w:customStyle="1" w:styleId="Heading8Char">
    <w:name w:val="Heading 8 Char"/>
    <w:basedOn w:val="DefaultParagraphFont"/>
    <w:link w:val="Heading8"/>
    <w:uiPriority w:val="9"/>
    <w:semiHidden/>
    <w:rsid w:val="00634A8C"/>
    <w:rPr>
      <w:rFonts w:asciiTheme="minorHAnsi" w:eastAsiaTheme="majorEastAsia" w:hAnsiTheme="minorHAnsi" w:cstheme="majorBidi"/>
      <w:i/>
      <w:iCs/>
      <w:color w:val="272727" w:themeColor="text1" w:themeTint="D8"/>
      <w:sz w:val="20"/>
    </w:rPr>
  </w:style>
  <w:style w:type="character" w:customStyle="1" w:styleId="Heading9Char">
    <w:name w:val="Heading 9 Char"/>
    <w:basedOn w:val="DefaultParagraphFont"/>
    <w:link w:val="Heading9"/>
    <w:uiPriority w:val="9"/>
    <w:semiHidden/>
    <w:rsid w:val="00634A8C"/>
    <w:rPr>
      <w:rFonts w:asciiTheme="minorHAnsi" w:eastAsiaTheme="majorEastAsia" w:hAnsiTheme="minorHAnsi" w:cstheme="majorBidi"/>
      <w:color w:val="272727" w:themeColor="text1" w:themeTint="D8"/>
      <w:sz w:val="20"/>
    </w:rPr>
  </w:style>
  <w:style w:type="paragraph" w:styleId="Title">
    <w:name w:val="Title"/>
    <w:basedOn w:val="Normal"/>
    <w:next w:val="Normal"/>
    <w:link w:val="TitleChar"/>
    <w:uiPriority w:val="10"/>
    <w:qFormat/>
    <w:rsid w:val="00634A8C"/>
    <w:pPr>
      <w:spacing w:after="80" w:line="240" w:lineRule="auto"/>
      <w:contextualSpacing/>
    </w:pPr>
    <w:rPr>
      <w:rFonts w:asciiTheme="majorHAnsi" w:eastAsiaTheme="majorEastAsia" w:hAnsiTheme="majorHAnsi" w:cstheme="majorBidi"/>
      <w:color w:val="auto"/>
      <w:spacing w:val="-10"/>
      <w:kern w:val="28"/>
      <w:sz w:val="56"/>
      <w:szCs w:val="56"/>
      <w:lang w:val="en-US"/>
    </w:rPr>
  </w:style>
  <w:style w:type="character" w:customStyle="1" w:styleId="TitleChar">
    <w:name w:val="Title Char"/>
    <w:basedOn w:val="DefaultParagraphFont"/>
    <w:link w:val="Title"/>
    <w:uiPriority w:val="10"/>
    <w:rsid w:val="00634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A8C"/>
    <w:pPr>
      <w:numPr>
        <w:ilvl w:val="1"/>
      </w:numPr>
      <w:spacing w:line="278"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34A8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4A8C"/>
    <w:pPr>
      <w:spacing w:before="160" w:line="278" w:lineRule="auto"/>
      <w:jc w:val="center"/>
    </w:pPr>
    <w:rPr>
      <w:i/>
      <w:iCs/>
      <w:color w:val="404040" w:themeColor="text1" w:themeTint="BF"/>
      <w:szCs w:val="24"/>
      <w:lang w:val="en-US"/>
    </w:rPr>
  </w:style>
  <w:style w:type="character" w:customStyle="1" w:styleId="QuoteChar">
    <w:name w:val="Quote Char"/>
    <w:basedOn w:val="DefaultParagraphFont"/>
    <w:link w:val="Quote"/>
    <w:uiPriority w:val="29"/>
    <w:rsid w:val="00634A8C"/>
    <w:rPr>
      <w:i/>
      <w:iCs/>
      <w:color w:val="404040" w:themeColor="text1" w:themeTint="BF"/>
      <w:sz w:val="20"/>
    </w:rPr>
  </w:style>
  <w:style w:type="paragraph" w:styleId="ListParagraph">
    <w:name w:val="List Paragraph"/>
    <w:basedOn w:val="Normal"/>
    <w:uiPriority w:val="34"/>
    <w:qFormat/>
    <w:rsid w:val="00634A8C"/>
    <w:pPr>
      <w:spacing w:line="278" w:lineRule="auto"/>
      <w:ind w:left="720"/>
      <w:contextualSpacing/>
    </w:pPr>
    <w:rPr>
      <w:color w:val="auto"/>
      <w:szCs w:val="24"/>
      <w:lang w:val="en-US"/>
    </w:rPr>
  </w:style>
  <w:style w:type="character" w:styleId="IntenseEmphasis">
    <w:name w:val="Intense Emphasis"/>
    <w:basedOn w:val="DefaultParagraphFont"/>
    <w:uiPriority w:val="21"/>
    <w:qFormat/>
    <w:rsid w:val="00634A8C"/>
    <w:rPr>
      <w:i/>
      <w:iCs/>
      <w:color w:val="0F4761" w:themeColor="accent1" w:themeShade="BF"/>
    </w:rPr>
  </w:style>
  <w:style w:type="paragraph" w:styleId="IntenseQuote">
    <w:name w:val="Intense Quote"/>
    <w:basedOn w:val="Normal"/>
    <w:next w:val="Normal"/>
    <w:link w:val="IntenseQuoteChar"/>
    <w:uiPriority w:val="30"/>
    <w:qFormat/>
    <w:rsid w:val="00634A8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Cs w:val="24"/>
      <w:lang w:val="en-US"/>
    </w:rPr>
  </w:style>
  <w:style w:type="character" w:customStyle="1" w:styleId="IntenseQuoteChar">
    <w:name w:val="Intense Quote Char"/>
    <w:basedOn w:val="DefaultParagraphFont"/>
    <w:link w:val="IntenseQuote"/>
    <w:uiPriority w:val="30"/>
    <w:rsid w:val="00634A8C"/>
    <w:rPr>
      <w:i/>
      <w:iCs/>
      <w:color w:val="0F4761" w:themeColor="accent1" w:themeShade="BF"/>
      <w:sz w:val="20"/>
    </w:rPr>
  </w:style>
  <w:style w:type="character" w:styleId="IntenseReference">
    <w:name w:val="Intense Reference"/>
    <w:basedOn w:val="DefaultParagraphFont"/>
    <w:uiPriority w:val="32"/>
    <w:qFormat/>
    <w:rsid w:val="00634A8C"/>
    <w:rPr>
      <w:b/>
      <w:bCs/>
      <w:smallCaps/>
      <w:color w:val="0F4761" w:themeColor="accent1" w:themeShade="BF"/>
      <w:spacing w:val="5"/>
    </w:rPr>
  </w:style>
  <w:style w:type="table" w:styleId="TableGrid">
    <w:name w:val="Table Grid"/>
    <w:basedOn w:val="TableNormal"/>
    <w:uiPriority w:val="39"/>
    <w:rsid w:val="0063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4426</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1</cp:revision>
  <dcterms:created xsi:type="dcterms:W3CDTF">2025-03-12T08:56:00Z</dcterms:created>
  <dcterms:modified xsi:type="dcterms:W3CDTF">2025-03-12T09:01:00Z</dcterms:modified>
</cp:coreProperties>
</file>