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B5E66" w14:textId="77777777" w:rsidR="001A1595" w:rsidRPr="001A1595" w:rsidRDefault="001A1595" w:rsidP="001A1595">
      <w:pPr>
        <w:jc w:val="both"/>
        <w:rPr>
          <w:lang w:val="en-MY"/>
        </w:rPr>
      </w:pPr>
      <w:r w:rsidRPr="001A1595">
        <w:rPr>
          <w:b/>
          <w:bCs/>
          <w:lang w:val="en-MY"/>
        </w:rPr>
        <w:t>The Exchange Rate System Adopted by the United Kingdom</w:t>
      </w:r>
    </w:p>
    <w:p w14:paraId="34011BF0" w14:textId="6CB64491" w:rsidR="001A1595" w:rsidRPr="001A1595" w:rsidRDefault="001A1595" w:rsidP="001A1595">
      <w:pPr>
        <w:jc w:val="both"/>
        <w:rPr>
          <w:lang w:val="en-MY"/>
        </w:rPr>
      </w:pPr>
      <w:r w:rsidRPr="001A1595">
        <w:rPr>
          <w:lang w:val="en-MY"/>
        </w:rPr>
        <w:t xml:space="preserve">The exchange rate system plays a crucial role in determining a nation's economic stability and global competitiveness. The United Kingdom (UK) operates under a </w:t>
      </w:r>
      <w:r w:rsidRPr="001A1595">
        <w:rPr>
          <w:b/>
          <w:bCs/>
          <w:lang w:val="en-MY"/>
        </w:rPr>
        <w:t>floating exchange rate system</w:t>
      </w:r>
      <w:r w:rsidRPr="001A1595">
        <w:rPr>
          <w:lang w:val="en-MY"/>
        </w:rPr>
        <w:t>, where the value of the British pound (</w:t>
      </w:r>
      <w:r w:rsidRPr="001A1595">
        <w:rPr>
          <w:b/>
          <w:bCs/>
          <w:lang w:val="en-MY"/>
        </w:rPr>
        <w:t>GBP</w:t>
      </w:r>
      <w:r w:rsidRPr="001A1595">
        <w:rPr>
          <w:lang w:val="en-MY"/>
        </w:rPr>
        <w:t>) is dictated by market forces of supply and demand within the foreign exchange (Forex) market.</w:t>
      </w:r>
      <w:sdt>
        <w:sdtPr>
          <w:rPr>
            <w:lang w:val="en-MY"/>
          </w:rPr>
          <w:id w:val="766110580"/>
          <w:citation/>
        </w:sdtPr>
        <w:sdtContent>
          <w:r w:rsidR="00B2240D">
            <w:rPr>
              <w:lang w:val="en-MY"/>
            </w:rPr>
            <w:fldChar w:fldCharType="begin"/>
          </w:r>
          <w:r w:rsidR="00B2240D">
            <w:rPr>
              <w:lang w:val="en-US"/>
            </w:rPr>
            <w:instrText xml:space="preserve"> CITATION Sod94 \l 1033 </w:instrText>
          </w:r>
          <w:r w:rsidR="00B2240D">
            <w:rPr>
              <w:lang w:val="en-MY"/>
            </w:rPr>
            <w:fldChar w:fldCharType="separate"/>
          </w:r>
          <w:r w:rsidR="00B2240D">
            <w:rPr>
              <w:noProof/>
              <w:lang w:val="en-US"/>
            </w:rPr>
            <w:t xml:space="preserve"> (Sodersten, 1994)</w:t>
          </w:r>
          <w:r w:rsidR="00B2240D">
            <w:rPr>
              <w:lang w:val="en-MY"/>
            </w:rPr>
            <w:fldChar w:fldCharType="end"/>
          </w:r>
        </w:sdtContent>
      </w:sdt>
      <w:r w:rsidR="00B2240D">
        <w:rPr>
          <w:lang w:val="en-MY"/>
        </w:rPr>
        <w:t>.</w:t>
      </w:r>
      <w:r w:rsidRPr="001A1595">
        <w:rPr>
          <w:lang w:val="en-MY"/>
        </w:rPr>
        <w:t xml:space="preserve"> Unlike fixed or pegged exchange rate systems, the UK government and the </w:t>
      </w:r>
      <w:r w:rsidRPr="001A1595">
        <w:rPr>
          <w:b/>
          <w:bCs/>
          <w:lang w:val="en-MY"/>
        </w:rPr>
        <w:t>Bank of England (BoE)</w:t>
      </w:r>
      <w:r w:rsidRPr="001A1595">
        <w:rPr>
          <w:lang w:val="en-MY"/>
        </w:rPr>
        <w:t xml:space="preserve"> do not intervene directly to maintain a specific exchange rate. Instead, the pound's value fluctuates based on various economic indicators, investor sentiment, and global financial developments.</w:t>
      </w:r>
    </w:p>
    <w:p w14:paraId="047AAB48" w14:textId="5DAA64CE" w:rsidR="001A1595" w:rsidRPr="001A1595" w:rsidRDefault="001A1595" w:rsidP="001A1595">
      <w:pPr>
        <w:jc w:val="both"/>
        <w:rPr>
          <w:lang w:val="en-MY"/>
        </w:rPr>
      </w:pPr>
      <w:r w:rsidRPr="001A1595">
        <w:rPr>
          <w:lang w:val="en-MY"/>
        </w:rPr>
        <w:t>The fundamental characteristic of the UK’s exchange rate system is that it is determined by the open market. Exchange rate movements are driven by demand and supply dynamics</w:t>
      </w:r>
      <w:r w:rsidR="00B2240D">
        <w:rPr>
          <w:lang w:val="en-MY"/>
        </w:rPr>
        <w:t xml:space="preserve">. This </w:t>
      </w:r>
      <w:r w:rsidRPr="001A1595">
        <w:rPr>
          <w:lang w:val="en-MY"/>
        </w:rPr>
        <w:t>mean that if demand for GBP increases</w:t>
      </w:r>
      <w:r w:rsidR="00B2240D">
        <w:rPr>
          <w:lang w:val="en-MY"/>
        </w:rPr>
        <w:t xml:space="preserve">, </w:t>
      </w:r>
      <w:r w:rsidRPr="001A1595">
        <w:rPr>
          <w:lang w:val="en-MY"/>
        </w:rPr>
        <w:t>the currency appreciates. Conversely, if demand weakens due to economic downturns, uncertainty, or lower interest rates, the pound depreciates.</w:t>
      </w:r>
      <w:r w:rsidR="00B2240D">
        <w:rPr>
          <w:lang w:val="en-MY"/>
        </w:rPr>
        <w:t xml:space="preserve"> </w:t>
      </w:r>
      <w:r w:rsidRPr="001A1595">
        <w:rPr>
          <w:lang w:val="en-MY"/>
        </w:rPr>
        <w:t>Unlike countries that adopt a fixed or managed exchange rate system, the UK government does not actively intervene to stabilize the pound at a predetermined level</w:t>
      </w:r>
      <w:r w:rsidR="00B2240D">
        <w:rPr>
          <w:lang w:val="en-MY"/>
        </w:rPr>
        <w:t xml:space="preserve"> </w:t>
      </w:r>
      <w:sdt>
        <w:sdtPr>
          <w:rPr>
            <w:lang w:val="en-MY"/>
          </w:rPr>
          <w:id w:val="-1165081864"/>
          <w:citation/>
        </w:sdtPr>
        <w:sdtContent>
          <w:r w:rsidR="00B2240D">
            <w:rPr>
              <w:lang w:val="en-MY"/>
            </w:rPr>
            <w:fldChar w:fldCharType="begin"/>
          </w:r>
          <w:r w:rsidR="00B2240D">
            <w:rPr>
              <w:lang w:val="en-US"/>
            </w:rPr>
            <w:instrText xml:space="preserve"> CITATION Fau22 \l 1033 </w:instrText>
          </w:r>
          <w:r w:rsidR="00B2240D">
            <w:rPr>
              <w:lang w:val="en-MY"/>
            </w:rPr>
            <w:fldChar w:fldCharType="separate"/>
          </w:r>
          <w:r w:rsidR="00B2240D">
            <w:rPr>
              <w:noProof/>
              <w:lang w:val="en-US"/>
            </w:rPr>
            <w:t>(Faudot, 2022)</w:t>
          </w:r>
          <w:r w:rsidR="00B2240D">
            <w:rPr>
              <w:lang w:val="en-MY"/>
            </w:rPr>
            <w:fldChar w:fldCharType="end"/>
          </w:r>
        </w:sdtContent>
      </w:sdt>
      <w:r w:rsidRPr="001A1595">
        <w:rPr>
          <w:lang w:val="en-MY"/>
        </w:rPr>
        <w:t xml:space="preserve">. However, the </w:t>
      </w:r>
      <w:r w:rsidRPr="001A1595">
        <w:rPr>
          <w:b/>
          <w:bCs/>
          <w:lang w:val="en-MY"/>
        </w:rPr>
        <w:t>Bank of England (BoE) influences exchange rates indirectly</w:t>
      </w:r>
      <w:r w:rsidRPr="001A1595">
        <w:rPr>
          <w:lang w:val="en-MY"/>
        </w:rPr>
        <w:t xml:space="preserve"> through monetary policy decisions such as interest rate adjustments and inflation control. A higher interest rate generally attracts foreign investment, strengthening the pound, whereas a lower interest rate can weaken it. Additionally, the BoE may step in under extreme circumstances</w:t>
      </w:r>
      <w:r w:rsidR="008232A3">
        <w:rPr>
          <w:lang w:val="en-MY"/>
        </w:rPr>
        <w:t xml:space="preserve">, </w:t>
      </w:r>
      <w:r w:rsidRPr="001A1595">
        <w:rPr>
          <w:lang w:val="en-MY"/>
        </w:rPr>
        <w:t>such as financial crises</w:t>
      </w:r>
      <w:r w:rsidR="008232A3">
        <w:rPr>
          <w:lang w:val="en-MY"/>
        </w:rPr>
        <w:t xml:space="preserve">, </w:t>
      </w:r>
      <w:r w:rsidRPr="001A1595">
        <w:rPr>
          <w:lang w:val="en-MY"/>
        </w:rPr>
        <w:t>to stabilize market confidence.</w:t>
      </w:r>
      <w:r w:rsidR="008232A3">
        <w:rPr>
          <w:lang w:val="en-MY"/>
        </w:rPr>
        <w:t xml:space="preserve"> </w:t>
      </w:r>
    </w:p>
    <w:p w14:paraId="71099669" w14:textId="77777777" w:rsidR="001A1595" w:rsidRPr="001A1595" w:rsidRDefault="001A1595" w:rsidP="001A1595">
      <w:pPr>
        <w:jc w:val="both"/>
        <w:rPr>
          <w:lang w:val="en-MY"/>
        </w:rPr>
      </w:pPr>
      <w:r w:rsidRPr="001A1595">
        <w:rPr>
          <w:lang w:val="en-MY"/>
        </w:rPr>
        <w:t xml:space="preserve">The floating exchange rate system exposes the UK’s currency to frequent fluctuations. Political events, economic reports, and global financial instability can lead to sharp movements in the pound's value. For example, </w:t>
      </w:r>
      <w:r w:rsidRPr="001A1595">
        <w:rPr>
          <w:b/>
          <w:bCs/>
          <w:lang w:val="en-MY"/>
        </w:rPr>
        <w:t>Brexit in 2016</w:t>
      </w:r>
      <w:r w:rsidRPr="001A1595">
        <w:rPr>
          <w:lang w:val="en-MY"/>
        </w:rPr>
        <w:t xml:space="preserve"> caused significant depreciation of the pound due to uncertainty in trade agreements and economic forecasts. Similarly, inflation data, GDP growth rates, and employment figures can trigger immediate currency shifts.</w:t>
      </w:r>
    </w:p>
    <w:p w14:paraId="17DC2F43" w14:textId="77777777" w:rsidR="001A1595" w:rsidRPr="001A1595" w:rsidRDefault="001A1595" w:rsidP="001A1595">
      <w:pPr>
        <w:jc w:val="both"/>
        <w:rPr>
          <w:lang w:val="en-MY"/>
        </w:rPr>
      </w:pPr>
      <w:r w:rsidRPr="001A1595">
        <w:rPr>
          <w:lang w:val="en-MY"/>
        </w:rPr>
        <w:t xml:space="preserve">Although the exchange rate is market-determined, the </w:t>
      </w:r>
      <w:r w:rsidRPr="001A1595">
        <w:rPr>
          <w:b/>
          <w:bCs/>
          <w:lang w:val="en-MY"/>
        </w:rPr>
        <w:t>Bank of England plays a critical role in maintaining stability</w:t>
      </w:r>
      <w:r w:rsidRPr="001A1595">
        <w:rPr>
          <w:lang w:val="en-MY"/>
        </w:rPr>
        <w:t xml:space="preserve"> through its monetary policies. The BoE sets interest rates to control inflation and stimulate economic growth, which in turn impacts currency value. If inflation rises above the target level, the BoE may increase interest rates to attract foreign investment and support the pound. Conversely, during economic downturns, lowering interest rates can encourage borrowing and spending but may lead to a weaker currency.</w:t>
      </w:r>
    </w:p>
    <w:p w14:paraId="750DCD37" w14:textId="77777777" w:rsidR="001A1595" w:rsidRPr="001A1595" w:rsidRDefault="001A1595" w:rsidP="001A1595">
      <w:pPr>
        <w:jc w:val="both"/>
        <w:rPr>
          <w:lang w:val="en-MY"/>
        </w:rPr>
      </w:pPr>
      <w:r w:rsidRPr="001A1595">
        <w:rPr>
          <w:lang w:val="en-MY"/>
        </w:rPr>
        <w:t>Since the UK follows a floating exchange rate system, there is no obligation to maintain large reserves of foreign currency to support the pound’s value. This allows the UK government to allocate resources toward domestic economic priorities, unlike countries with fixed exchange rates that require vast reserves to intervene in the Forex market.</w:t>
      </w:r>
    </w:p>
    <w:p w14:paraId="2D86B9CF" w14:textId="77777777" w:rsidR="001A1595" w:rsidRPr="001A1595" w:rsidRDefault="001A1595" w:rsidP="001A1595">
      <w:pPr>
        <w:jc w:val="both"/>
        <w:rPr>
          <w:lang w:val="en-MY"/>
        </w:rPr>
      </w:pPr>
      <w:r w:rsidRPr="001A1595">
        <w:rPr>
          <w:lang w:val="en-MY"/>
        </w:rPr>
        <w:t xml:space="preserve">The UK’s floating exchange rate system provides </w:t>
      </w:r>
      <w:r w:rsidRPr="001A1595">
        <w:rPr>
          <w:b/>
          <w:bCs/>
          <w:lang w:val="en-MY"/>
        </w:rPr>
        <w:t>flexibility, economic adaptability, and monetary policy independence</w:t>
      </w:r>
      <w:r w:rsidRPr="001A1595">
        <w:rPr>
          <w:lang w:val="en-MY"/>
        </w:rPr>
        <w:t>, ensuring that the currency reflects real economic performance. However, it also introduces volatility, requiring careful monetary policy management to stabilize inflation, interest rates, and investor confidence. While this system allows the UK to remain responsive to global economic changes, ongoing vigilance in financial regulation and economic policy is essential to mitigate potential risks associated with currency fluctuations.</w:t>
      </w:r>
    </w:p>
    <w:p w14:paraId="36CAF2FC" w14:textId="4DF38A11" w:rsidR="00B2240D" w:rsidRDefault="00B2240D">
      <w:r>
        <w:br w:type="page"/>
      </w:r>
    </w:p>
    <w:sdt>
      <w:sdtPr>
        <w:id w:val="2011869422"/>
        <w:docPartObj>
          <w:docPartGallery w:val="Bibliographies"/>
          <w:docPartUnique/>
        </w:docPartObj>
      </w:sdtPr>
      <w:sdtEndPr>
        <w:rPr>
          <w:rFonts w:ascii="Liberation Serif" w:eastAsiaTheme="minorHAnsi" w:hAnsi="Liberation Serif" w:cstheme="minorBidi"/>
          <w:color w:val="000000" w:themeColor="text1"/>
          <w:sz w:val="20"/>
          <w:szCs w:val="22"/>
        </w:rPr>
      </w:sdtEndPr>
      <w:sdtContent>
        <w:p w14:paraId="11A836B7" w14:textId="4672C4D3" w:rsidR="00B2240D" w:rsidRDefault="00B2240D">
          <w:pPr>
            <w:pStyle w:val="Heading1"/>
          </w:pPr>
          <w:r>
            <w:t>References</w:t>
          </w:r>
        </w:p>
        <w:sdt>
          <w:sdtPr>
            <w:id w:val="-573587230"/>
            <w:bibliography/>
          </w:sdtPr>
          <w:sdtContent>
            <w:p w14:paraId="3A5C56B2" w14:textId="77777777" w:rsidR="00B2240D" w:rsidRDefault="00B2240D" w:rsidP="00B2240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Sodersten, B. a. (1994). Macroeconomic Policy with Floating Exchange Rates. In B. a. Sodersten, </w:t>
              </w:r>
              <w:r>
                <w:rPr>
                  <w:i/>
                  <w:iCs/>
                  <w:noProof/>
                </w:rPr>
                <w:t>International Economics</w:t>
              </w:r>
              <w:r>
                <w:rPr>
                  <w:noProof/>
                </w:rPr>
                <w:t xml:space="preserve"> (pp. 597--612). London: Macmillan Education UK.</w:t>
              </w:r>
            </w:p>
            <w:p w14:paraId="7D47BD0E" w14:textId="6A2FCA5A" w:rsidR="00B2240D" w:rsidRDefault="00B2240D" w:rsidP="00B2240D">
              <w:r>
                <w:rPr>
                  <w:b/>
                  <w:bCs/>
                  <w:noProof/>
                </w:rPr>
                <w:fldChar w:fldCharType="end"/>
              </w:r>
            </w:p>
          </w:sdtContent>
        </w:sdt>
      </w:sdtContent>
    </w:sdt>
    <w:p w14:paraId="13049AAD" w14:textId="77777777" w:rsidR="00EA6584" w:rsidRDefault="00EA6584"/>
    <w:sectPr w:rsidR="00EA6584" w:rsidSect="000F4C22">
      <w:pgSz w:w="11906" w:h="16838" w:code="9"/>
      <w:pgMar w:top="851" w:right="851" w:bottom="851" w:left="851"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panose1 w:val="02020603050405020304"/>
    <w:charset w:val="00"/>
    <w:family w:val="roman"/>
    <w:pitch w:val="variable"/>
    <w:sig w:usb0="A00002AF" w:usb1="5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95"/>
    <w:rsid w:val="00022F49"/>
    <w:rsid w:val="000F4C22"/>
    <w:rsid w:val="001A1595"/>
    <w:rsid w:val="00233713"/>
    <w:rsid w:val="008232A3"/>
    <w:rsid w:val="009079B4"/>
    <w:rsid w:val="00925A78"/>
    <w:rsid w:val="00A27CEB"/>
    <w:rsid w:val="00B2240D"/>
    <w:rsid w:val="00DF383B"/>
    <w:rsid w:val="00EA658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2CA3D"/>
  <w15:chartTrackingRefBased/>
  <w15:docId w15:val="{52886B44-644C-4715-94FE-B7FC37C2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Theme="minorHAnsi" w:hAnsi="Liberation Serif" w:cstheme="minorBidi"/>
        <w:color w:val="000000" w:themeColor="text1"/>
        <w:kern w:val="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A15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15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159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159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59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A159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159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159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159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95"/>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A1595"/>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1A1595"/>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A1595"/>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A1595"/>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A1595"/>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A1595"/>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1A1595"/>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A1595"/>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1A159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A1595"/>
    <w:rPr>
      <w:rFonts w:asciiTheme="majorHAnsi" w:eastAsiaTheme="majorEastAsia" w:hAnsiTheme="majorHAnsi" w:cstheme="majorBidi"/>
      <w:color w:val="auto"/>
      <w:spacing w:val="-10"/>
      <w:kern w:val="28"/>
      <w:sz w:val="56"/>
      <w:szCs w:val="56"/>
      <w:lang w:val="en-GB"/>
    </w:rPr>
  </w:style>
  <w:style w:type="paragraph" w:styleId="Subtitle">
    <w:name w:val="Subtitle"/>
    <w:basedOn w:val="Normal"/>
    <w:next w:val="Normal"/>
    <w:link w:val="SubtitleChar"/>
    <w:uiPriority w:val="11"/>
    <w:qFormat/>
    <w:rsid w:val="001A159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1595"/>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A1595"/>
    <w:pPr>
      <w:spacing w:before="160"/>
      <w:jc w:val="center"/>
    </w:pPr>
    <w:rPr>
      <w:i/>
      <w:iCs/>
      <w:color w:val="404040" w:themeColor="text1" w:themeTint="BF"/>
    </w:rPr>
  </w:style>
  <w:style w:type="character" w:customStyle="1" w:styleId="QuoteChar">
    <w:name w:val="Quote Char"/>
    <w:basedOn w:val="DefaultParagraphFont"/>
    <w:link w:val="Quote"/>
    <w:uiPriority w:val="29"/>
    <w:rsid w:val="001A1595"/>
    <w:rPr>
      <w:i/>
      <w:iCs/>
      <w:color w:val="404040" w:themeColor="text1" w:themeTint="BF"/>
      <w:lang w:val="en-GB"/>
    </w:rPr>
  </w:style>
  <w:style w:type="paragraph" w:styleId="ListParagraph">
    <w:name w:val="List Paragraph"/>
    <w:basedOn w:val="Normal"/>
    <w:uiPriority w:val="34"/>
    <w:qFormat/>
    <w:rsid w:val="001A1595"/>
    <w:pPr>
      <w:ind w:left="720"/>
      <w:contextualSpacing/>
    </w:pPr>
  </w:style>
  <w:style w:type="character" w:styleId="IntenseEmphasis">
    <w:name w:val="Intense Emphasis"/>
    <w:basedOn w:val="DefaultParagraphFont"/>
    <w:uiPriority w:val="21"/>
    <w:qFormat/>
    <w:rsid w:val="001A1595"/>
    <w:rPr>
      <w:i/>
      <w:iCs/>
      <w:color w:val="2F5496" w:themeColor="accent1" w:themeShade="BF"/>
    </w:rPr>
  </w:style>
  <w:style w:type="paragraph" w:styleId="IntenseQuote">
    <w:name w:val="Intense Quote"/>
    <w:basedOn w:val="Normal"/>
    <w:next w:val="Normal"/>
    <w:link w:val="IntenseQuoteChar"/>
    <w:uiPriority w:val="30"/>
    <w:qFormat/>
    <w:rsid w:val="001A15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1595"/>
    <w:rPr>
      <w:i/>
      <w:iCs/>
      <w:color w:val="2F5496" w:themeColor="accent1" w:themeShade="BF"/>
      <w:lang w:val="en-GB"/>
    </w:rPr>
  </w:style>
  <w:style w:type="character" w:styleId="IntenseReference">
    <w:name w:val="Intense Reference"/>
    <w:basedOn w:val="DefaultParagraphFont"/>
    <w:uiPriority w:val="32"/>
    <w:qFormat/>
    <w:rsid w:val="001A1595"/>
    <w:rPr>
      <w:b/>
      <w:bCs/>
      <w:smallCaps/>
      <w:color w:val="2F5496" w:themeColor="accent1" w:themeShade="BF"/>
      <w:spacing w:val="5"/>
    </w:rPr>
  </w:style>
  <w:style w:type="paragraph" w:styleId="Bibliography">
    <w:name w:val="Bibliography"/>
    <w:basedOn w:val="Normal"/>
    <w:next w:val="Normal"/>
    <w:uiPriority w:val="37"/>
    <w:unhideWhenUsed/>
    <w:rsid w:val="00B22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320473">
      <w:bodyDiv w:val="1"/>
      <w:marLeft w:val="0"/>
      <w:marRight w:val="0"/>
      <w:marTop w:val="0"/>
      <w:marBottom w:val="0"/>
      <w:divBdr>
        <w:top w:val="none" w:sz="0" w:space="0" w:color="auto"/>
        <w:left w:val="none" w:sz="0" w:space="0" w:color="auto"/>
        <w:bottom w:val="none" w:sz="0" w:space="0" w:color="auto"/>
        <w:right w:val="none" w:sz="0" w:space="0" w:color="auto"/>
      </w:divBdr>
    </w:div>
    <w:div w:id="1143734757">
      <w:bodyDiv w:val="1"/>
      <w:marLeft w:val="0"/>
      <w:marRight w:val="0"/>
      <w:marTop w:val="0"/>
      <w:marBottom w:val="0"/>
      <w:divBdr>
        <w:top w:val="none" w:sz="0" w:space="0" w:color="auto"/>
        <w:left w:val="none" w:sz="0" w:space="0" w:color="auto"/>
        <w:bottom w:val="none" w:sz="0" w:space="0" w:color="auto"/>
        <w:right w:val="none" w:sz="0" w:space="0" w:color="auto"/>
      </w:divBdr>
    </w:div>
    <w:div w:id="1295024122">
      <w:bodyDiv w:val="1"/>
      <w:marLeft w:val="0"/>
      <w:marRight w:val="0"/>
      <w:marTop w:val="0"/>
      <w:marBottom w:val="0"/>
      <w:divBdr>
        <w:top w:val="none" w:sz="0" w:space="0" w:color="auto"/>
        <w:left w:val="none" w:sz="0" w:space="0" w:color="auto"/>
        <w:bottom w:val="none" w:sz="0" w:space="0" w:color="auto"/>
        <w:right w:val="none" w:sz="0" w:space="0" w:color="auto"/>
      </w:divBdr>
    </w:div>
    <w:div w:id="1516731088">
      <w:bodyDiv w:val="1"/>
      <w:marLeft w:val="0"/>
      <w:marRight w:val="0"/>
      <w:marTop w:val="0"/>
      <w:marBottom w:val="0"/>
      <w:divBdr>
        <w:top w:val="none" w:sz="0" w:space="0" w:color="auto"/>
        <w:left w:val="none" w:sz="0" w:space="0" w:color="auto"/>
        <w:bottom w:val="none" w:sz="0" w:space="0" w:color="auto"/>
        <w:right w:val="none" w:sz="0" w:space="0" w:color="auto"/>
      </w:divBdr>
    </w:div>
    <w:div w:id="191342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Sod94</b:Tag>
    <b:SourceType>BookSection</b:SourceType>
    <b:Guid>{76CB57FB-AFC9-4836-91B8-E0B53F8E226C}</b:Guid>
    <b:Title>Macroeconomic Policy with Floating Exchange Rates</b:Title>
    <b:Year>1994</b:Year>
    <b:City>London</b:City>
    <b:Publisher>Macmillan Education UK</b:Publisher>
    <b:Author>
      <b:Author>
        <b:NameList>
          <b:Person>
            <b:Last>Sodersten</b:Last>
            <b:First>Bo</b:First>
            <b:Middle>and Reed, Geoffrey</b:Middle>
          </b:Person>
        </b:NameList>
      </b:Author>
      <b:BookAuthor>
        <b:NameList>
          <b:Person>
            <b:Last>Sodersten</b:Last>
            <b:First>Bo</b:First>
            <b:Middle>and Reed, Geoffrey</b:Middle>
          </b:Person>
        </b:NameList>
      </b:BookAuthor>
    </b:Author>
    <b:BookTitle>International Economics</b:BookTitle>
    <b:Pages>597--612</b:Pages>
    <b:RefOrder>1</b:RefOrder>
  </b:Source>
  <b:Source>
    <b:Tag>Fau22</b:Tag>
    <b:SourceType>BookSection</b:SourceType>
    <b:Guid>{96172434-16F1-4B5F-8D4E-D5946E9613CF}</b:Guid>
    <b:Author>
      <b:Author>
        <b:NameList>
          <b:Person>
            <b:Last>Faudot</b:Last>
            <b:First>Adrien</b:First>
            <b:Middle>and Nenovsky, Nikolay</b:Middle>
          </b:Person>
        </b:NameList>
      </b:Author>
      <b:BookAuthor>
        <b:NameList>
          <b:Person>
            <b:Last>Faudot</b:Last>
            <b:First>Adrien</b:First>
            <b:Middle>and Nenovsky, Nikolay</b:Middle>
          </b:Person>
        </b:NameList>
      </b:BookAuthor>
    </b:Author>
    <b:Title>The Case for Fixed Exchange Rate Regimes: What for and in What Form?</b:Title>
    <b:BookTitle>Debates in Monetary Macroeconomics: Tackling Some Unsettled Questions</b:BookTitle>
    <b:Year>2022</b:Year>
    <b:Pages>193-216</b:Pages>
    <b:City>Cham</b:City>
    <b:Publisher>Springer International Publishing</b:Publisher>
    <b:RefOrder>2</b:RefOrder>
  </b:Source>
</b:Sources>
</file>

<file path=customXml/itemProps1.xml><?xml version="1.0" encoding="utf-8"?>
<ds:datastoreItem xmlns:ds="http://schemas.openxmlformats.org/officeDocument/2006/customXml" ds:itemID="{B0C1A4DB-AEBC-45A1-B2BD-867D91837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1</cp:revision>
  <dcterms:created xsi:type="dcterms:W3CDTF">2025-03-12T03:46:00Z</dcterms:created>
  <dcterms:modified xsi:type="dcterms:W3CDTF">2025-03-12T05:11:00Z</dcterms:modified>
</cp:coreProperties>
</file>