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9cib4sbhl75" w:id="0"/>
      <w:bookmarkEnd w:id="0"/>
      <w:r w:rsidDel="00000000" w:rsidR="00000000" w:rsidRPr="00000000">
        <w:rPr>
          <w:rtl w:val="0"/>
        </w:rPr>
        <w:t xml:space="preserve">The Master Checklist for Award-Winning Action Research Articles</w:t>
      </w:r>
    </w:p>
    <w:p w:rsidR="00000000" w:rsidDel="00000000" w:rsidP="00000000" w:rsidRDefault="00000000" w:rsidRPr="00000000" w14:paraId="00000002">
      <w:pPr>
        <w:rPr/>
      </w:pPr>
      <w:r w:rsidDel="00000000" w:rsidR="00000000" w:rsidRPr="00000000">
        <w:rPr>
          <w:rtl w:val="0"/>
        </w:rPr>
        <w:t xml:space="preserve">To achieve the distinction of award-winning scholarship, an action research article must transcend the mere reportage of classroom data. It must function as a sophisticated narrative of pedagogical evolution, documenting the journey of the "Reflective Practitioner" through rigorous methodological scaffolding. This guide, curated for researchers aiming for international publication and award consideration, utilizes the cyclical iterations of the Kemmis &amp; McTaggart (1988) model to bridge the gap between classroom intervention and high-level academic synthesis.</w:t>
      </w:r>
    </w:p>
    <w:p w:rsidR="00000000" w:rsidDel="00000000" w:rsidP="00000000" w:rsidRDefault="00000000" w:rsidRPr="00000000" w14:paraId="00000003">
      <w:pPr>
        <w:pStyle w:val="Heading4"/>
        <w:rPr/>
      </w:pPr>
      <w:bookmarkStart w:colFirst="0" w:colLast="0" w:name="_10yi6or0lu96" w:id="1"/>
      <w:bookmarkEnd w:id="1"/>
      <w:r w:rsidDel="00000000" w:rsidR="00000000" w:rsidRPr="00000000">
        <w:rPr>
          <w:rtl w:val="0"/>
        </w:rPr>
        <w:t xml:space="preserve">1. The Foundational Reflection and Problem Identification</w:t>
      </w:r>
    </w:p>
    <w:p w:rsidR="00000000" w:rsidDel="00000000" w:rsidP="00000000" w:rsidRDefault="00000000" w:rsidRPr="00000000" w14:paraId="00000004">
      <w:pPr>
        <w:rPr/>
      </w:pPr>
      <w:r w:rsidDel="00000000" w:rsidR="00000000" w:rsidRPr="00000000">
        <w:rPr>
          <w:rtl w:val="0"/>
        </w:rPr>
        <w:t xml:space="preserve">High-impact research originates not from a generic curiosity, but from a rigorous epistemological reflection on past pedagogical failures. Identifying a specific "pain point"—the precise juncture where conventional instruction fails—possesses higher utility for longitudinal learning outcomes than addressing broad educational themes. Whether it is the cognitive dissonance in understanding redox reactions or the "failure of nerve" (Tobias, 1978) regarding calculus, the researcher must articulate the inadequacy of the status quo.</w:t>
      </w:r>
    </w:p>
    <w:p w:rsidR="00000000" w:rsidDel="00000000" w:rsidP="00000000" w:rsidRDefault="00000000" w:rsidRPr="00000000" w14:paraId="00000005">
      <w:pPr>
        <w:pStyle w:val="Heading5"/>
        <w:rPr/>
      </w:pPr>
      <w:bookmarkStart w:colFirst="0" w:colLast="0" w:name="_i6oxzxfgcgpr" w:id="2"/>
      <w:bookmarkEnd w:id="2"/>
      <w:r w:rsidDel="00000000" w:rsidR="00000000" w:rsidRPr="00000000">
        <w:rPr>
          <w:rtl w:val="0"/>
        </w:rPr>
        <w:t xml:space="preserve">Problem Identification Checklist</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The Researcher’s Lens:</w:t>
      </w:r>
      <w:r w:rsidDel="00000000" w:rsidR="00000000" w:rsidRPr="00000000">
        <w:rPr>
          <w:rtl w:val="0"/>
        </w:rPr>
        <w:t xml:space="preserve">  Evaluate the systemic failure of "conventional" methods. Did the reliance on rote copying (Arabic writing) or lecture-heavy theory (Chemistry) create a barrier? Identify  </w:t>
      </w:r>
      <w:r w:rsidDel="00000000" w:rsidR="00000000" w:rsidRPr="00000000">
        <w:rPr>
          <w:b w:val="1"/>
          <w:bCs w:val="1"/>
          <w:rtl w:val="0"/>
        </w:rPr>
        <w:t xml:space="preserve">Prerequisite Deficits</w:t>
      </w:r>
      <w:r w:rsidDel="00000000" w:rsidR="00000000" w:rsidRPr="00000000">
        <w:rPr>
          <w:rtl w:val="0"/>
        </w:rPr>
        <w:t xml:space="preserve"> , such as the lack of algebra and trigonometry skills that stymie progress in integration techniques.</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The Student’s Lens:</w:t>
      </w:r>
      <w:r w:rsidDel="00000000" w:rsidR="00000000" w:rsidRPr="00000000">
        <w:rPr>
          <w:rtl w:val="0"/>
        </w:rPr>
        <w:t xml:space="preserve">  Synthesize the specific psychological and cognitive barriers found in the student cohort:</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Subject Anxiety:</w:t>
      </w:r>
      <w:r w:rsidDel="00000000" w:rsidR="00000000" w:rsidRPr="00000000">
        <w:rPr>
          <w:rtl w:val="0"/>
        </w:rPr>
        <w:t xml:space="preserve">  Document "math anxiety" or the perceived irrelevance of Chemistry in engineering tracks.</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The Affective Barrier:</w:t>
      </w:r>
      <w:r w:rsidDel="00000000" w:rsidR="00000000" w:rsidRPr="00000000">
        <w:rPr>
          <w:rtl w:val="0"/>
        </w:rPr>
        <w:t xml:space="preserve">  Note the "fear of failure" or being "scared of being laughed at" when attempting to write Hijaiyah letters on the whiteboard.</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Mechanical Memorization:</w:t>
      </w:r>
      <w:r w:rsidDel="00000000" w:rsidR="00000000" w:rsidRPr="00000000">
        <w:rPr>
          <w:rtl w:val="0"/>
        </w:rPr>
        <w:t xml:space="preserve">  Identify where students "memorize shapes" (Arabic) or "rote-learn formulas" (Calculus) without conceptualizing the underlying logic.</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The "So What?" Layer:</w:t>
      </w:r>
      <w:r w:rsidDel="00000000" w:rsidR="00000000" w:rsidRPr="00000000">
        <w:rPr>
          <w:rtl w:val="0"/>
        </w:rPr>
        <w:t xml:space="preserve">  Explain how these barriers catalyze a "failure of nerve," leading to passivity and a lack of independent agency. Articulate how a failure to master "mole calculations" or "letter connections" early on creates a cumulative deficit that halts academic progression.</w:t>
      </w:r>
      <w:r w:rsidDel="00000000" w:rsidR="00000000" w:rsidRPr="00000000">
        <w:rPr>
          <w:i w:val="1"/>
          <w:iCs w:val="1"/>
          <w:rtl w:val="0"/>
        </w:rPr>
        <w:t xml:space="preserve">By pinpointing the exact failure of conventional scaffolding, the researcher establishes the "urgency of intervention" required for top-tier scholarship.</w:t>
      </w:r>
    </w:p>
    <w:p w:rsidR="00000000" w:rsidDel="00000000" w:rsidP="00000000" w:rsidRDefault="00000000" w:rsidRPr="00000000" w14:paraId="0000000C">
      <w:pPr>
        <w:pStyle w:val="Heading4"/>
        <w:rPr/>
      </w:pPr>
      <w:bookmarkStart w:colFirst="0" w:colLast="0" w:name="_r0dz4erlddbi" w:id="3"/>
      <w:bookmarkEnd w:id="3"/>
      <w:r w:rsidDel="00000000" w:rsidR="00000000" w:rsidRPr="00000000">
        <w:rPr>
          <w:rtl w:val="0"/>
        </w:rPr>
        <w:t xml:space="preserve">2. Strategic Objectives and Targeted Demographics</w:t>
      </w:r>
    </w:p>
    <w:p w:rsidR="00000000" w:rsidDel="00000000" w:rsidP="00000000" w:rsidRDefault="00000000" w:rsidRPr="00000000" w14:paraId="0000000D">
      <w:pPr>
        <w:rPr/>
      </w:pPr>
      <w:r w:rsidDel="00000000" w:rsidR="00000000" w:rsidRPr="00000000">
        <w:rPr>
          <w:rtl w:val="0"/>
        </w:rPr>
        <w:t xml:space="preserve">Strategic alignment between curriculum standards (e.g., DSKP 3.1.1 for Arabic) and student-specific needs is non-negotiable. Precision in defining the target group ensures that the intervention is not a "scattergun" approach but a targeted surgical strike on specific learning deficits.</w:t>
      </w:r>
    </w:p>
    <w:p w:rsidR="00000000" w:rsidDel="00000000" w:rsidP="00000000" w:rsidRDefault="00000000" w:rsidRPr="00000000" w14:paraId="0000000E">
      <w:pPr>
        <w:pStyle w:val="Heading5"/>
        <w:rPr/>
      </w:pPr>
      <w:bookmarkStart w:colFirst="0" w:colLast="0" w:name="_ejfa2897oqzp" w:id="4"/>
      <w:bookmarkEnd w:id="4"/>
      <w:r w:rsidDel="00000000" w:rsidR="00000000" w:rsidRPr="00000000">
        <w:rPr>
          <w:rtl w:val="0"/>
        </w:rPr>
        <w:t xml:space="preserve">Goal-Setting Checklist</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Specific Objectives:</w:t>
      </w:r>
      <w:r w:rsidDel="00000000" w:rsidR="00000000" w:rsidRPr="00000000">
        <w:rPr>
          <w:rtl w:val="0"/>
        </w:rPr>
        <w:t xml:space="preserve">  Mandate the alignment of goals with measurable innovation.</w:t>
      </w:r>
    </w:p>
    <w:p w:rsidR="00000000" w:rsidDel="00000000" w:rsidP="00000000" w:rsidRDefault="00000000" w:rsidRPr="00000000" w14:paraId="00000010">
      <w:pPr>
        <w:numPr>
          <w:ilvl w:val="0"/>
          <w:numId w:val="1"/>
        </w:numPr>
        <w:ind w:left="720" w:hanging="360"/>
        <w:rPr>
          <w:u w:val="none"/>
        </w:rPr>
      </w:pPr>
      <w:r w:rsidDel="00000000" w:rsidR="00000000" w:rsidRPr="00000000">
        <w:rPr>
          <w:i w:val="1"/>
          <w:iCs w:val="1"/>
          <w:rtl w:val="0"/>
        </w:rPr>
        <w:t xml:space="preserve">General:</w:t>
      </w:r>
      <w:r w:rsidDel="00000000" w:rsidR="00000000" w:rsidRPr="00000000">
        <w:rPr>
          <w:rtl w:val="0"/>
        </w:rPr>
        <w:t xml:space="preserve">  Improving mastery of integration techniques or redox reaction comprehension.</w:t>
      </w:r>
    </w:p>
    <w:p w:rsidR="00000000" w:rsidDel="00000000" w:rsidP="00000000" w:rsidRDefault="00000000" w:rsidRPr="00000000" w14:paraId="00000011">
      <w:pPr>
        <w:numPr>
          <w:ilvl w:val="0"/>
          <w:numId w:val="1"/>
        </w:numPr>
        <w:ind w:left="720" w:hanging="360"/>
        <w:rPr>
          <w:u w:val="none"/>
        </w:rPr>
      </w:pPr>
      <w:r w:rsidDel="00000000" w:rsidR="00000000" w:rsidRPr="00000000">
        <w:rPr>
          <w:i w:val="1"/>
          <w:iCs w:val="1"/>
          <w:rtl w:val="0"/>
        </w:rPr>
        <w:t xml:space="preserve">Specific:</w:t>
      </w:r>
      <w:r w:rsidDel="00000000" w:rsidR="00000000" w:rsidRPr="00000000">
        <w:rPr>
          <w:rtl w:val="0"/>
        </w:rPr>
        <w:t xml:space="preserve">  Quantifying the efficacy of a digital artifact (Hija-e Flip) or a physical tool (Modul Maujud) in remediating identified gaps.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Target Group Precision:</w:t>
      </w:r>
      <w:r w:rsidDel="00000000" w:rsidR="00000000" w:rsidRPr="00000000">
        <w:rPr>
          <w:rtl w:val="0"/>
        </w:rPr>
        <w:t xml:space="preserve">  Define participants via rigorous diagnostic benchmarks. Explicitly select "at-risk" students, such as those with  </w:t>
      </w:r>
      <w:r w:rsidDel="00000000" w:rsidR="00000000" w:rsidRPr="00000000">
        <w:rPr>
          <w:b w:val="1"/>
          <w:bCs w:val="1"/>
          <w:rtl w:val="0"/>
        </w:rPr>
        <w:t xml:space="preserve">Grade D/E in SPM Chemistry</w:t>
      </w:r>
      <w:r w:rsidDel="00000000" w:rsidR="00000000" w:rsidRPr="00000000">
        <w:rPr>
          <w:rtl w:val="0"/>
        </w:rPr>
        <w:t xml:space="preserve">  or those scoring  </w:t>
      </w:r>
      <w:r w:rsidDel="00000000" w:rsidR="00000000" w:rsidRPr="00000000">
        <w:rPr>
          <w:b w:val="1"/>
          <w:bCs w:val="1"/>
          <w:rtl w:val="0"/>
        </w:rPr>
        <w:t xml:space="preserve">below 50% in "Weekly Maths" diagnostic tests</w:t>
      </w:r>
      <w:r w:rsidDel="00000000" w:rsidR="00000000" w:rsidRPr="00000000">
        <w:rPr>
          <w:rtl w:val="0"/>
        </w:rPr>
        <w:t xml:space="preserve">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The "So What?" Layer:</w:t>
      </w:r>
      <w:r w:rsidDel="00000000" w:rsidR="00000000" w:rsidRPr="00000000">
        <w:rPr>
          <w:rtl w:val="0"/>
        </w:rPr>
        <w:t xml:space="preserve">  Analyze why a small, focused cohort (e.g., 7–10 students) is strategically superior. This allows for  </w:t>
      </w:r>
      <w:r w:rsidDel="00000000" w:rsidR="00000000" w:rsidRPr="00000000">
        <w:rPr>
          <w:b w:val="1"/>
          <w:bCs w:val="1"/>
          <w:rtl w:val="0"/>
        </w:rPr>
        <w:t xml:space="preserve">"one-to-one coaching"</w:t>
      </w:r>
      <w:r w:rsidDel="00000000" w:rsidR="00000000" w:rsidRPr="00000000">
        <w:rPr>
          <w:rtl w:val="0"/>
        </w:rPr>
        <w:t xml:space="preserve">  and  </w:t>
      </w:r>
      <w:r w:rsidDel="00000000" w:rsidR="00000000" w:rsidRPr="00000000">
        <w:rPr>
          <w:b w:val="1"/>
          <w:bCs w:val="1"/>
          <w:rtl w:val="0"/>
        </w:rPr>
        <w:t xml:space="preserve">"focused monitoring"</w:t>
      </w:r>
      <w:r w:rsidDel="00000000" w:rsidR="00000000" w:rsidRPr="00000000">
        <w:rPr>
          <w:rtl w:val="0"/>
        </w:rPr>
        <w:t xml:space="preserve">  (Syafinas et al.), shifting the teacher’s role from a distance lecturer to a proximal facilitator.</w:t>
      </w:r>
    </w:p>
    <w:p w:rsidR="00000000" w:rsidDel="00000000" w:rsidP="00000000" w:rsidRDefault="00000000" w:rsidRPr="00000000" w14:paraId="00000014">
      <w:pPr>
        <w:pStyle w:val="Heading4"/>
        <w:rPr/>
      </w:pPr>
      <w:bookmarkStart w:colFirst="0" w:colLast="0" w:name="_5bccofqv2nyk" w:id="5"/>
      <w:bookmarkEnd w:id="5"/>
      <w:r w:rsidDel="00000000" w:rsidR="00000000" w:rsidRPr="00000000">
        <w:rPr>
          <w:rtl w:val="0"/>
        </w:rPr>
        <w:t xml:space="preserve">3. Intervention Design: The Innovation Framework</w:t>
      </w:r>
    </w:p>
    <w:p w:rsidR="00000000" w:rsidDel="00000000" w:rsidP="00000000" w:rsidRDefault="00000000" w:rsidRPr="00000000" w14:paraId="00000015">
      <w:pPr>
        <w:rPr/>
      </w:pPr>
      <w:r w:rsidDel="00000000" w:rsidR="00000000" w:rsidRPr="00000000">
        <w:rPr>
          <w:rtl w:val="0"/>
        </w:rPr>
        <w:t xml:space="preserve">The distinction of an award-winning article often lies in the sophistication of its innovation framework. This involves a  </w:t>
      </w:r>
      <w:r w:rsidDel="00000000" w:rsidR="00000000" w:rsidRPr="00000000">
        <w:rPr>
          <w:b w:val="1"/>
          <w:bCs w:val="1"/>
          <w:rtl w:val="0"/>
        </w:rPr>
        <w:t xml:space="preserve">Hybrid Approach</w:t>
      </w:r>
      <w:r w:rsidDel="00000000" w:rsidR="00000000" w:rsidRPr="00000000">
        <w:rPr>
          <w:rtl w:val="0"/>
        </w:rPr>
        <w:t xml:space="preserve">  (Zhuang, 2025) that integrates digital tools, physical modules, and pedagogical shifts to create a robust learning environment.</w:t>
      </w:r>
    </w:p>
    <w:p w:rsidR="00000000" w:rsidDel="00000000" w:rsidP="00000000" w:rsidRDefault="00000000" w:rsidRPr="00000000" w14:paraId="00000016">
      <w:pPr>
        <w:pStyle w:val="Heading5"/>
        <w:rPr/>
      </w:pPr>
      <w:bookmarkStart w:colFirst="0" w:colLast="0" w:name="_kl6rob7aqhj3" w:id="6"/>
      <w:bookmarkEnd w:id="6"/>
      <w:r w:rsidDel="00000000" w:rsidR="00000000" w:rsidRPr="00000000">
        <w:rPr>
          <w:rtl w:val="0"/>
        </w:rPr>
        <w:t xml:space="preserve">Solution Design Checklist</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Methodological Grounding:</w:t>
      </w:r>
      <w:r w:rsidDel="00000000" w:rsidR="00000000" w:rsidRPr="00000000">
        <w:rPr>
          <w:rtl w:val="0"/>
        </w:rPr>
        <w:t xml:space="preserve">  Explicitly document the  </w:t>
      </w:r>
      <w:r w:rsidDel="00000000" w:rsidR="00000000" w:rsidRPr="00000000">
        <w:rPr>
          <w:b w:val="1"/>
          <w:bCs w:val="1"/>
          <w:rtl w:val="0"/>
        </w:rPr>
        <w:t xml:space="preserve">Kemmis &amp; McTaggart (1988)</w:t>
      </w:r>
      <w:r w:rsidDel="00000000" w:rsidR="00000000" w:rsidRPr="00000000">
        <w:rPr>
          <w:rtl w:val="0"/>
        </w:rPr>
        <w:t xml:space="preserve">  cycle:  </w:t>
      </w:r>
      <w:r w:rsidDel="00000000" w:rsidR="00000000" w:rsidRPr="00000000">
        <w:rPr>
          <w:b w:val="1"/>
          <w:bCs w:val="1"/>
          <w:rtl w:val="0"/>
        </w:rPr>
        <w:t xml:space="preserve">Plan, Act, Observe, and Reflect</w:t>
      </w:r>
      <w:r w:rsidDel="00000000" w:rsidR="00000000" w:rsidRPr="00000000">
        <w:rPr>
          <w:rtl w:val="0"/>
        </w:rPr>
        <w:t xml:space="preserve">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The Intervention Toolkit:</w:t>
      </w:r>
      <w:r w:rsidDel="00000000" w:rsidR="00000000" w:rsidRPr="00000000">
        <w:rPr>
          <w:rtl w:val="0"/>
        </w:rPr>
        <w:t xml:space="preserve">  Synthesize a multi-modal approach:</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Digital:</w:t>
      </w:r>
      <w:r w:rsidDel="00000000" w:rsidR="00000000" w:rsidRPr="00000000">
        <w:rPr>
          <w:rtl w:val="0"/>
        </w:rPr>
        <w:t xml:space="preserve">  GPT-4 as a "More Knowledgeable Other" (MKO) for step-by-step calculus scaffolding; Hija-e Flip for interactive Hijaiyah visualization.</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Physical/Pedagogical:</w:t>
      </w:r>
      <w:r w:rsidDel="00000000" w:rsidR="00000000" w:rsidRPr="00000000">
        <w:rPr>
          <w:rtl w:val="0"/>
        </w:rPr>
        <w:t xml:space="preserve">  "Modul Maujud" for concrete chemistry concepts; "Flipped Classroom" to enhance kesiapsiagaan (readiness).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The "So What?" Layer:</w:t>
      </w:r>
      <w:r w:rsidDel="00000000" w:rsidR="00000000" w:rsidRPr="00000000">
        <w:rPr>
          <w:rtl w:val="0"/>
        </w:rPr>
        <w:t xml:space="preserve">  Contrast the "Conventional" vs. "Innovative" approach in a comparative analysis.| Feature | Conventional Approach | Innovative/Hybrid Intervention || ------ | ------ | ------ || </w:t>
      </w:r>
      <w:r w:rsidDel="00000000" w:rsidR="00000000" w:rsidRPr="00000000">
        <w:rPr>
          <w:b w:val="1"/>
          <w:bCs w:val="1"/>
          <w:rtl w:val="0"/>
        </w:rPr>
        <w:t xml:space="preserve">Medium</w:t>
      </w:r>
      <w:r w:rsidDel="00000000" w:rsidR="00000000" w:rsidRPr="00000000">
        <w:rPr>
          <w:rtl w:val="0"/>
        </w:rPr>
        <w:t xml:space="preserve"> | Textbooks, copy-work, rote theory. | Digital (AI/Flipcards) + Physical (Modul Maujud). || </w:t>
      </w:r>
      <w:r w:rsidDel="00000000" w:rsidR="00000000" w:rsidRPr="00000000">
        <w:rPr>
          <w:b w:val="1"/>
          <w:bCs w:val="1"/>
          <w:rtl w:val="0"/>
        </w:rPr>
        <w:t xml:space="preserve">Engagement</w:t>
      </w:r>
      <w:r w:rsidDel="00000000" w:rsidR="00000000" w:rsidRPr="00000000">
        <w:rPr>
          <w:rtl w:val="0"/>
        </w:rPr>
        <w:t xml:space="preserve"> | Passive, repetitive, "Mechanical." | Active, visual, and "one-to-one coaching." || </w:t>
      </w:r>
      <w:r w:rsidDel="00000000" w:rsidR="00000000" w:rsidRPr="00000000">
        <w:rPr>
          <w:b w:val="1"/>
          <w:bCs w:val="1"/>
          <w:rtl w:val="0"/>
        </w:rPr>
        <w:t xml:space="preserve">Scaffolding</w:t>
      </w:r>
      <w:r w:rsidDel="00000000" w:rsidR="00000000" w:rsidRPr="00000000">
        <w:rPr>
          <w:rtl w:val="0"/>
        </w:rPr>
        <w:t xml:space="preserve"> | Linear, teacher-dependent. | Dynamic (ZPD-focused), Immediate Feedback. || </w:t>
      </w:r>
      <w:r w:rsidDel="00000000" w:rsidR="00000000" w:rsidRPr="00000000">
        <w:rPr>
          <w:b w:val="1"/>
          <w:bCs w:val="1"/>
          <w:rtl w:val="0"/>
        </w:rPr>
        <w:t xml:space="preserve">Pedagogy</w:t>
      </w:r>
      <w:r w:rsidDel="00000000" w:rsidR="00000000" w:rsidRPr="00000000">
        <w:rPr>
          <w:rtl w:val="0"/>
        </w:rPr>
        <w:t xml:space="preserve"> | Theory-first. | Flipped Classroom; Rational Questioning (Zhuang, 2025). |</w:t>
      </w:r>
    </w:p>
    <w:p w:rsidR="00000000" w:rsidDel="00000000" w:rsidP="00000000" w:rsidRDefault="00000000" w:rsidRPr="00000000" w14:paraId="0000001C">
      <w:pPr>
        <w:pStyle w:val="Heading4"/>
        <w:rPr/>
      </w:pPr>
      <w:bookmarkStart w:colFirst="0" w:colLast="0" w:name="_9qm0fgoy0pee" w:id="7"/>
      <w:bookmarkEnd w:id="7"/>
      <w:r w:rsidDel="00000000" w:rsidR="00000000" w:rsidRPr="00000000">
        <w:rPr>
          <w:rtl w:val="0"/>
        </w:rPr>
        <w:t xml:space="preserve">4. Data Collection and Triangulation Mastery</w:t>
      </w:r>
    </w:p>
    <w:p w:rsidR="00000000" w:rsidDel="00000000" w:rsidP="00000000" w:rsidRDefault="00000000" w:rsidRPr="00000000" w14:paraId="0000001D">
      <w:pPr>
        <w:rPr/>
      </w:pPr>
      <w:r w:rsidDel="00000000" w:rsidR="00000000" w:rsidRPr="00000000">
        <w:rPr>
          <w:rtl w:val="0"/>
        </w:rPr>
        <w:t xml:space="preserve">To establish  </w:t>
      </w:r>
      <w:r w:rsidDel="00000000" w:rsidR="00000000" w:rsidRPr="00000000">
        <w:rPr>
          <w:b w:val="1"/>
          <w:bCs w:val="1"/>
          <w:rtl w:val="0"/>
        </w:rPr>
        <w:t xml:space="preserve">Triangulated Validity</w:t>
      </w:r>
      <w:r w:rsidDel="00000000" w:rsidR="00000000" w:rsidRPr="00000000">
        <w:rPr>
          <w:rtl w:val="0"/>
        </w:rPr>
        <w:t xml:space="preserve"> , the researcher must employ multiple data streams. This ensures the research captures both the quantitative "what" and the qualitative "why."</w:t>
      </w:r>
    </w:p>
    <w:p w:rsidR="00000000" w:rsidDel="00000000" w:rsidP="00000000" w:rsidRDefault="00000000" w:rsidRPr="00000000" w14:paraId="0000001E">
      <w:pPr>
        <w:pStyle w:val="Heading5"/>
        <w:rPr/>
      </w:pPr>
      <w:bookmarkStart w:colFirst="0" w:colLast="0" w:name="_pvyha8vgeb4k" w:id="8"/>
      <w:bookmarkEnd w:id="8"/>
      <w:r w:rsidDel="00000000" w:rsidR="00000000" w:rsidRPr="00000000">
        <w:rPr>
          <w:rtl w:val="0"/>
        </w:rPr>
        <w:t xml:space="preserve">Data Integrity Checklist</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Quantitative Metrics:</w:t>
      </w:r>
      <w:r w:rsidDel="00000000" w:rsidR="00000000" w:rsidRPr="00000000">
        <w:rPr>
          <w:rtl w:val="0"/>
        </w:rPr>
        <w:t xml:space="preserve">  Mandate Pre-tests and Post-tests. For award-level recognition, track the shift in mean scores (e.g., the benchmark  </w:t>
      </w:r>
      <w:r w:rsidDel="00000000" w:rsidR="00000000" w:rsidRPr="00000000">
        <w:rPr>
          <w:b w:val="1"/>
          <w:bCs w:val="1"/>
          <w:rtl w:val="0"/>
        </w:rPr>
        <w:t xml:space="preserve">40.3% to 75.2%</w:t>
      </w:r>
      <w:r w:rsidDel="00000000" w:rsidR="00000000" w:rsidRPr="00000000">
        <w:rPr>
          <w:rtl w:val="0"/>
        </w:rPr>
        <w:t xml:space="preserve">  increase).</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Qualitative Depth:</w:t>
      </w:r>
      <w:r w:rsidDel="00000000" w:rsidR="00000000" w:rsidRPr="00000000">
        <w:rPr>
          <w:rtl w:val="0"/>
        </w:rPr>
        <w:t xml:space="preserve">  Use semi-structured interviews to capture the "Human Story." Document the transition from "Fear of being mocked" (Arabic source) to "Confidence in questioning AI" (Calculus source).</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Observational Evidence:</w:t>
      </w:r>
      <w:r w:rsidDel="00000000" w:rsidR="00000000" w:rsidRPr="00000000">
        <w:rPr>
          <w:rtl w:val="0"/>
        </w:rPr>
        <w:t xml:space="preserve">  Maintain "Daily Journals" to record behavioral shifts. Note where students move from "passive/scared" to "autonomous/independent."</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The "So What?" Layer:</w:t>
      </w:r>
      <w:r w:rsidDel="00000000" w:rsidR="00000000" w:rsidRPr="00000000">
        <w:rPr>
          <w:rtl w:val="0"/>
        </w:rPr>
        <w:t xml:space="preserve">  Critique the necessity of triangulation to identify discrepancies. For example, note how scores might rise while 20% of students still rely on the teacher due to  </w:t>
      </w:r>
      <w:r w:rsidDel="00000000" w:rsidR="00000000" w:rsidRPr="00000000">
        <w:rPr>
          <w:b w:val="1"/>
          <w:bCs w:val="1"/>
          <w:rtl w:val="0"/>
        </w:rPr>
        <w:t xml:space="preserve">AI’s arithmetic errors</w:t>
      </w:r>
      <w:r w:rsidDel="00000000" w:rsidR="00000000" w:rsidRPr="00000000">
        <w:rPr>
          <w:rtl w:val="0"/>
        </w:rPr>
        <w:t xml:space="preserve">  (Zhuang, 2025)—this nuance proves the researcher's critical distance.</w:t>
      </w:r>
    </w:p>
    <w:p w:rsidR="00000000" w:rsidDel="00000000" w:rsidP="00000000" w:rsidRDefault="00000000" w:rsidRPr="00000000" w14:paraId="00000023">
      <w:pPr>
        <w:pStyle w:val="Heading4"/>
        <w:rPr/>
      </w:pPr>
      <w:bookmarkStart w:colFirst="0" w:colLast="0" w:name="_alknfh9o6llj" w:id="9"/>
      <w:bookmarkEnd w:id="9"/>
      <w:r w:rsidDel="00000000" w:rsidR="00000000" w:rsidRPr="00000000">
        <w:rPr>
          <w:rtl w:val="0"/>
        </w:rPr>
        <w:t xml:space="preserve">5. Analytical Synthesis of Findings</w:t>
      </w:r>
    </w:p>
    <w:p w:rsidR="00000000" w:rsidDel="00000000" w:rsidP="00000000" w:rsidRDefault="00000000" w:rsidRPr="00000000" w14:paraId="00000024">
      <w:pPr>
        <w:rPr/>
      </w:pPr>
      <w:r w:rsidDel="00000000" w:rsidR="00000000" w:rsidRPr="00000000">
        <w:rPr>
          <w:rtl w:val="0"/>
        </w:rPr>
        <w:t xml:space="preserve">Superior reports interpret data through the lens of student transformation. The analysis should synthesize thematic coding with quantitative gains to present a narrative of educational triumph.</w:t>
      </w:r>
    </w:p>
    <w:p w:rsidR="00000000" w:rsidDel="00000000" w:rsidP="00000000" w:rsidRDefault="00000000" w:rsidRPr="00000000" w14:paraId="00000025">
      <w:pPr>
        <w:pStyle w:val="Heading5"/>
        <w:rPr/>
      </w:pPr>
      <w:bookmarkStart w:colFirst="0" w:colLast="0" w:name="_6wk3rl7nwwyo" w:id="10"/>
      <w:bookmarkEnd w:id="10"/>
      <w:r w:rsidDel="00000000" w:rsidR="00000000" w:rsidRPr="00000000">
        <w:rPr>
          <w:rtl w:val="0"/>
        </w:rPr>
        <w:t xml:space="preserve">Findings Checklist</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Visualizing Success:</w:t>
      </w:r>
      <w:r w:rsidDel="00000000" w:rsidR="00000000" w:rsidRPr="00000000">
        <w:rPr>
          <w:rtl w:val="0"/>
        </w:rPr>
        <w:t xml:space="preserve">  Utilize Markdown tables to display significant gains. Ensure 100% of the target group achieves a passing mark (e.g., surpassing the 50% threshold).</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Thematic Coding:</w:t>
      </w:r>
      <w:r w:rsidDel="00000000" w:rsidR="00000000" w:rsidRPr="00000000">
        <w:rPr>
          <w:rtl w:val="0"/>
        </w:rPr>
        <w:t xml:space="preserve">  Categorize transcripts into the "Student Journey":</w:t>
      </w:r>
    </w:p>
    <w:p w:rsidR="00000000" w:rsidDel="00000000" w:rsidP="00000000" w:rsidRDefault="00000000" w:rsidRPr="00000000" w14:paraId="00000028">
      <w:pPr>
        <w:numPr>
          <w:ilvl w:val="0"/>
          <w:numId w:val="3"/>
        </w:numPr>
        <w:ind w:left="720" w:hanging="360"/>
        <w:rPr>
          <w:u w:val="none"/>
        </w:rPr>
      </w:pPr>
      <w:r w:rsidDel="00000000" w:rsidR="00000000" w:rsidRPr="00000000">
        <w:rPr>
          <w:i w:val="1"/>
          <w:iCs w:val="1"/>
          <w:rtl w:val="0"/>
        </w:rPr>
        <w:t xml:space="preserve">Phase 1 (Confusion):</w:t>
      </w:r>
      <w:r w:rsidDel="00000000" w:rsidR="00000000" w:rsidRPr="00000000">
        <w:rPr>
          <w:rtl w:val="0"/>
        </w:rPr>
        <w:t xml:space="preserve">  "I didn't know how the letter 'Ain' looked in the middle."</w:t>
      </w:r>
    </w:p>
    <w:p w:rsidR="00000000" w:rsidDel="00000000" w:rsidP="00000000" w:rsidRDefault="00000000" w:rsidRPr="00000000" w14:paraId="00000029">
      <w:pPr>
        <w:numPr>
          <w:ilvl w:val="0"/>
          <w:numId w:val="3"/>
        </w:numPr>
        <w:ind w:left="720" w:hanging="360"/>
        <w:rPr>
          <w:u w:val="none"/>
        </w:rPr>
      </w:pPr>
      <w:r w:rsidDel="00000000" w:rsidR="00000000" w:rsidRPr="00000000">
        <w:rPr>
          <w:i w:val="1"/>
          <w:iCs w:val="1"/>
          <w:rtl w:val="0"/>
        </w:rPr>
        <w:t xml:space="preserve">Phase 2 (Rational Questioning):</w:t>
      </w:r>
      <w:r w:rsidDel="00000000" w:rsidR="00000000" w:rsidRPr="00000000">
        <w:rPr>
          <w:rtl w:val="0"/>
        </w:rPr>
        <w:t xml:space="preserve">  "I realized ChatGPT made an arithmetic error here, so I asked it to refine the answer."</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The "So What?" Layer:</w:t>
      </w:r>
      <w:r w:rsidDel="00000000" w:rsidR="00000000" w:rsidRPr="00000000">
        <w:rPr>
          <w:rtl w:val="0"/>
        </w:rPr>
        <w:t xml:space="preserve">  Evaluate the  </w:t>
      </w:r>
      <w:r w:rsidDel="00000000" w:rsidR="00000000" w:rsidRPr="00000000">
        <w:rPr>
          <w:b w:val="1"/>
          <w:bCs w:val="1"/>
          <w:rtl w:val="0"/>
        </w:rPr>
        <w:t xml:space="preserve">Rational Questioning</w:t>
      </w:r>
      <w:r w:rsidDel="00000000" w:rsidR="00000000" w:rsidRPr="00000000">
        <w:rPr>
          <w:rtl w:val="0"/>
        </w:rPr>
        <w:t xml:space="preserve">  approach. Explain how forcing students to verify AI-generated content (like the "Sue" case study) fosters high-order critical thinking and student autonomy, rather than mere digital dependency.</w:t>
      </w:r>
    </w:p>
    <w:p w:rsidR="00000000" w:rsidDel="00000000" w:rsidP="00000000" w:rsidRDefault="00000000" w:rsidRPr="00000000" w14:paraId="0000002B">
      <w:pPr>
        <w:pStyle w:val="Heading4"/>
        <w:rPr/>
      </w:pPr>
      <w:bookmarkStart w:colFirst="0" w:colLast="0" w:name="_jnfviydzqul3" w:id="11"/>
      <w:bookmarkEnd w:id="11"/>
      <w:r w:rsidDel="00000000" w:rsidR="00000000" w:rsidRPr="00000000">
        <w:rPr>
          <w:rtl w:val="0"/>
        </w:rPr>
        <w:t xml:space="preserve">6. The Reflective Conclusion and Future Roadmap</w:t>
      </w:r>
    </w:p>
    <w:p w:rsidR="00000000" w:rsidDel="00000000" w:rsidP="00000000" w:rsidRDefault="00000000" w:rsidRPr="00000000" w14:paraId="0000002C">
      <w:pPr>
        <w:rPr/>
      </w:pPr>
      <w:r w:rsidDel="00000000" w:rsidR="00000000" w:rsidRPr="00000000">
        <w:rPr>
          <w:rtl w:val="0"/>
        </w:rPr>
        <w:t xml:space="preserve">The final section must cement the researcher’s status as a "Reflective Practitioner." This requires acknowledging the study’s boundaries while offering a visionary roadmap for the educational community.</w:t>
      </w:r>
    </w:p>
    <w:p w:rsidR="00000000" w:rsidDel="00000000" w:rsidP="00000000" w:rsidRDefault="00000000" w:rsidRPr="00000000" w14:paraId="0000002D">
      <w:pPr>
        <w:pStyle w:val="Heading5"/>
        <w:rPr/>
      </w:pPr>
      <w:bookmarkStart w:colFirst="0" w:colLast="0" w:name="_vx03tch6f2o3" w:id="12"/>
      <w:bookmarkEnd w:id="12"/>
      <w:r w:rsidDel="00000000" w:rsidR="00000000" w:rsidRPr="00000000">
        <w:rPr>
          <w:rtl w:val="0"/>
        </w:rPr>
        <w:t xml:space="preserve">Final Review Checklist</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Self-Evaluation:</w:t>
      </w:r>
      <w:r w:rsidDel="00000000" w:rsidR="00000000" w:rsidRPr="00000000">
        <w:rPr>
          <w:rtl w:val="0"/>
        </w:rPr>
        <w:t xml:space="preserve">  Reflect on the teacher's evolution from a "theory provider" to a "creative facilitator." Discuss the adoption of AI as an MKO within the  </w:t>
      </w:r>
      <w:r w:rsidDel="00000000" w:rsidR="00000000" w:rsidRPr="00000000">
        <w:rPr>
          <w:b w:val="1"/>
          <w:bCs w:val="1"/>
          <w:rtl w:val="0"/>
        </w:rPr>
        <w:t xml:space="preserve">Zone of Proximal Development (ZPD)</w:t>
      </w:r>
      <w:r w:rsidDel="00000000" w:rsidR="00000000" w:rsidRPr="00000000">
        <w:rPr>
          <w:rtl w:val="0"/>
        </w:rPr>
        <w:t xml:space="preserve"> .</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Scalability &amp; Suggestions:</w:t>
      </w:r>
      <w:r w:rsidDel="00000000" w:rsidR="00000000" w:rsidRPr="00000000">
        <w:rPr>
          <w:rtl w:val="0"/>
        </w:rPr>
        <w:t xml:space="preserve">  Provide concrete future directions:</w:t>
      </w:r>
    </w:p>
    <w:p w:rsidR="00000000" w:rsidDel="00000000" w:rsidP="00000000" w:rsidRDefault="00000000" w:rsidRPr="00000000" w14:paraId="00000030">
      <w:pPr>
        <w:numPr>
          <w:ilvl w:val="0"/>
          <w:numId w:val="6"/>
        </w:numPr>
        <w:ind w:left="720" w:hanging="360"/>
        <w:rPr>
          <w:u w:val="none"/>
        </w:rPr>
      </w:pPr>
      <w:r w:rsidDel="00000000" w:rsidR="00000000" w:rsidRPr="00000000">
        <w:rPr>
          <w:b w:val="1"/>
          <w:bCs w:val="1"/>
          <w:rtl w:val="0"/>
        </w:rPr>
        <w:t xml:space="preserve">Gamification:</w:t>
      </w:r>
      <w:r w:rsidDel="00000000" w:rsidR="00000000" w:rsidRPr="00000000">
        <w:rPr>
          <w:rtl w:val="0"/>
        </w:rPr>
        <w:t xml:space="preserve">  Integrating game-based mechanics into Hija-e Flip or Chemistry modules.</w:t>
      </w:r>
    </w:p>
    <w:p w:rsidR="00000000" w:rsidDel="00000000" w:rsidP="00000000" w:rsidRDefault="00000000" w:rsidRPr="00000000" w14:paraId="00000031">
      <w:pPr>
        <w:numPr>
          <w:ilvl w:val="0"/>
          <w:numId w:val="6"/>
        </w:numPr>
        <w:ind w:left="720" w:hanging="360"/>
        <w:rPr>
          <w:u w:val="none"/>
        </w:rPr>
      </w:pPr>
      <w:r w:rsidDel="00000000" w:rsidR="00000000" w:rsidRPr="00000000">
        <w:rPr>
          <w:b w:val="1"/>
          <w:bCs w:val="1"/>
          <w:rtl w:val="0"/>
        </w:rPr>
        <w:t xml:space="preserve">Automated Assessment:</w:t>
      </w:r>
      <w:r w:rsidDel="00000000" w:rsidR="00000000" w:rsidRPr="00000000">
        <w:rPr>
          <w:rtl w:val="0"/>
        </w:rPr>
        <w:t xml:space="preserve">  Using AI tools to reduce teacher workload in monitoring student-AI interactions.</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The "So What?" Layer:</w:t>
      </w:r>
      <w:r w:rsidDel="00000000" w:rsidR="00000000" w:rsidRPr="00000000">
        <w:rPr>
          <w:rtl w:val="0"/>
        </w:rPr>
        <w:t xml:space="preserve">  Synthesize the final argument: Technology is a  </w:t>
      </w:r>
      <w:r w:rsidDel="00000000" w:rsidR="00000000" w:rsidRPr="00000000">
        <w:rPr>
          <w:b w:val="1"/>
          <w:bCs w:val="1"/>
          <w:rtl w:val="0"/>
        </w:rPr>
        <w:t xml:space="preserve">complement, not a replacement</w:t>
      </w:r>
      <w:r w:rsidDel="00000000" w:rsidR="00000000" w:rsidRPr="00000000">
        <w:rPr>
          <w:rtl w:val="0"/>
        </w:rPr>
        <w:t xml:space="preserve"> , for pedagogy. The teacher remains vital in guiding students to use these tools critically, ethically, and autonomously.</w:t>
      </w:r>
      <w:r w:rsidDel="00000000" w:rsidR="00000000" w:rsidRPr="00000000">
        <w:rPr>
          <w:b w:val="1"/>
          <w:bCs w:val="1"/>
          <w:rtl w:val="0"/>
        </w:rPr>
        <w:t xml:space="preserve">Final Statement:</w:t>
      </w:r>
      <w:r w:rsidDel="00000000" w:rsidR="00000000" w:rsidRPr="00000000">
        <w:rPr>
          <w:rtl w:val="0"/>
        </w:rPr>
        <w:t xml:space="preserve">  Action research is an elite commitment to the continuous refinement of the pedagogical craft. By adhering to this rigorous framework, you ensure your work is not merely a report, but a powerful, evidence-based testament to the transformative power of innovative teaching.</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