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color w:val="000000"/>
          <w:sz w:val="28"/>
          <w:szCs w:val="28"/>
        </w:rPr>
        <w:t xml:space="preserve">THINLENS EXPLORE: PENGGUNAAN SIMULASI DIGITAL INTERAKTIF</w:t>
      </w:r>
    </w:p>
    <w:p>
      <w:pPr>
        <w:spacing w:after="60"/>
        <w:jc w:val="center"/>
      </w:pPr>
      <w:r>
        <w:rPr>
          <w:rFonts w:ascii="Times New Roman" w:cs="Times New Roman" w:eastAsia="Times New Roman" w:hAnsi="Times New Roman"/>
          <w:b/>
          <w:bCs/>
          <w:i w:val="false"/>
          <w:iCs w:val="false"/>
          <w:color w:val="000000"/>
          <w:sz w:val="28"/>
          <w:szCs w:val="28"/>
        </w:rPr>
        <w:t xml:space="preserve">UNTUK MENINGKATKAN PENGUASAAN PERSAMAAN KANTA NIPIS DAN</w:t>
      </w:r>
    </w:p>
    <w:p>
      <w:pPr>
        <w:spacing w:after="60"/>
        <w:jc w:val="center"/>
      </w:pPr>
      <w:r>
        <w:rPr>
          <w:rFonts w:ascii="Times New Roman" w:cs="Times New Roman" w:eastAsia="Times New Roman" w:hAnsi="Times New Roman"/>
          <w:b/>
          <w:bCs/>
          <w:i w:val="false"/>
          <w:iCs w:val="false"/>
          <w:color w:val="000000"/>
          <w:sz w:val="28"/>
          <w:szCs w:val="28"/>
        </w:rPr>
        <w:t xml:space="preserve">PERSAMAAN PEMBUAT KANTA DALAM KALANGAN PELAJAR FIZIK</w:t>
      </w:r>
    </w:p>
    <w:p>
      <w:pPr>
        <w:spacing w:after="240"/>
        <w:jc w:val="center"/>
      </w:pPr>
      <w:r>
        <w:rPr>
          <w:rFonts w:ascii="Times New Roman" w:cs="Times New Roman" w:eastAsia="Times New Roman" w:hAnsi="Times New Roman"/>
          <w:b/>
          <w:bCs/>
          <w:i w:val="false"/>
          <w:iCs w:val="false"/>
          <w:color w:val="000000"/>
          <w:sz w:val="28"/>
          <w:szCs w:val="28"/>
        </w:rPr>
        <w:t xml:space="preserve">MATRIKULASI</w:t>
      </w:r>
    </w:p>
    <w:p>
      <w:pPr>
        <w:spacing w:after="60"/>
        <w:jc w:val="center"/>
      </w:pPr>
      <w:r>
        <w:rPr>
          <w:rFonts w:ascii="Times New Roman" w:cs="Times New Roman" w:eastAsia="Times New Roman" w:hAnsi="Times New Roman"/>
          <w:b/>
          <w:bCs/>
          <w:i w:val="false"/>
          <w:iCs w:val="false"/>
          <w:color w:val="000000"/>
          <w:sz w:val="22"/>
          <w:szCs w:val="22"/>
        </w:rPr>
        <w:t xml:space="preserve">[Nama Pengkaji]</w:t>
      </w:r>
    </w:p>
    <w:p>
      <w:pPr>
        <w:spacing w:after="60"/>
        <w:jc w:val="center"/>
      </w:pPr>
      <w:r>
        <w:rPr>
          <w:rFonts w:ascii="Times New Roman" w:cs="Times New Roman" w:eastAsia="Times New Roman" w:hAnsi="Times New Roman"/>
          <w:b w:val="false"/>
          <w:bCs w:val="false"/>
          <w:i w:val="false"/>
          <w:iCs w:val="false"/>
          <w:color w:val="000000"/>
          <w:sz w:val="22"/>
          <w:szCs w:val="22"/>
        </w:rPr>
        <w:t xml:space="preserve">Kolej Matrikulasi Sarawak</w:t>
      </w:r>
    </w:p>
    <w:p>
      <w:pPr>
        <w:spacing w:after="320"/>
        <w:jc w:val="center"/>
      </w:pPr>
      <w:r>
        <w:rPr>
          <w:rFonts w:ascii="Times New Roman" w:cs="Times New Roman" w:eastAsia="Times New Roman" w:hAnsi="Times New Roman"/>
          <w:b w:val="false"/>
          <w:bCs w:val="false"/>
          <w:i/>
          <w:iCs/>
          <w:color w:val="000000"/>
          <w:sz w:val="22"/>
          <w:szCs w:val="22"/>
        </w:rPr>
        <w:t xml:space="preserve">[emel@example.com]</w:t>
      </w:r>
    </w:p>
    <w:p>
      <w:pPr>
        <w:spacing w:after="100"/>
      </w:pPr>
      <w:r>
        <w:rPr>
          <w:rFonts w:ascii="Times New Roman" w:cs="Times New Roman" w:eastAsia="Times New Roman" w:hAnsi="Times New Roman"/>
          <w:b/>
          <w:bCs/>
          <w:i w:val="false"/>
          <w:iCs w:val="false"/>
          <w:color w:val="000000"/>
          <w:sz w:val="24"/>
          <w:szCs w:val="24"/>
        </w:rPr>
        <w:t xml:space="preserve">ABSTRAK</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tindakan ini bertujuan meningkatkan penguasaan persamaan kanta nipis dan persamaan pembuat kanta dalam kalangan pelajar Fizik Matrikulasi melalui penggunaan simulasi digital interaktif ThinLens Explore. Kajian ini melibatkan 12 orang pelajar yang menunjukkan prestasi lemah dalam kuiz diagnostik awal. Intervensi dijalankan dalam dua kitar selama dua minggu dengan dua sesi seminggu, berasaskan Model Kajian Tindakan Kemmis dan McTaggart (1988). ThinLens Explore merupakan simulasi berasaskan penyemak imbas (browser-based) yang membolehkan pelajar memanipulasi parameter kanta — termasuk indeks biasan dan jejari kelengkungan — secara interaktif dan melihat kesan langsung terhadap pembentukan imej melalui rajah sinar yang dinamik. Data dikumpul melalui ujian pra, ujian pasca bagi setiap kitar, dan temu bual ad-hoc melalui aplikasi web. Dapatan menunjukkan peningkatan markah min daripada 10.0% (Ujian Pra) kepada 40.0% (Pasca Kitar 1). Tujuh orang pelajar yang memerlukan sokongan lanjutan menjalani Kitar 2 dan mencapai markah min sebanyak 79.0%. Kajian ini menunjukkan bahawa simulasi digital interaktif berpotensi besar sebagai alat bantu pengajaran dalam meningkatkan penguasaan konsep Fizik yang bersifat abstrak dan melibatkan manipulasi matematik yang kompleks.</w:t>
      </w:r>
    </w:p>
    <w:p>
      <w:pPr>
        <w:spacing w:after="320"/>
      </w:pPr>
      <w:r>
        <w:rPr>
          <w:rFonts w:ascii="Times New Roman" w:cs="Times New Roman" w:eastAsia="Times New Roman" w:hAnsi="Times New Roman"/>
          <w:b/>
          <w:bCs/>
          <w:i w:val="false"/>
          <w:iCs w:val="false"/>
          <w:color w:val="000000"/>
          <w:sz w:val="22"/>
          <w:szCs w:val="22"/>
        </w:rPr>
        <w:t xml:space="preserve">Kata Kunci: </w:t>
      </w:r>
      <w:r>
        <w:rPr>
          <w:rFonts w:ascii="Times New Roman" w:cs="Times New Roman" w:eastAsia="Times New Roman" w:hAnsi="Times New Roman"/>
          <w:b w:val="false"/>
          <w:bCs w:val="false"/>
          <w:i/>
          <w:iCs/>
          <w:color w:val="000000"/>
          <w:sz w:val="22"/>
          <w:szCs w:val="22"/>
        </w:rPr>
        <w:t xml:space="preserve">Kanta Nipis, Persamaan Pembuat Kanta, Simulasi Digital, Kajian Tindakan, Fizik Matrikulasi</w:t>
      </w:r>
    </w:p>
    <w:p>
      <w:pPr>
        <w:spacing w:before="280" w:after="120"/>
      </w:pPr>
      <w:r>
        <w:rPr>
          <w:rFonts w:ascii="Times New Roman" w:cs="Times New Roman" w:eastAsia="Times New Roman" w:hAnsi="Times New Roman"/>
          <w:b/>
          <w:bCs/>
          <w:i w:val="false"/>
          <w:iCs w:val="false"/>
          <w:color w:val="000000"/>
          <w:sz w:val="26"/>
          <w:szCs w:val="26"/>
        </w:rPr>
        <w:t xml:space="preserve">1.0 PENDAHULUAN</w:t>
      </w:r>
    </w:p>
    <w:p>
      <w:pPr>
        <w:spacing w:before="200" w:after="100"/>
      </w:pPr>
      <w:r>
        <w:rPr>
          <w:rFonts w:ascii="Times New Roman" w:cs="Times New Roman" w:eastAsia="Times New Roman" w:hAnsi="Times New Roman"/>
          <w:b/>
          <w:bCs/>
          <w:i w:val="false"/>
          <w:iCs w:val="false"/>
          <w:color w:val="000000"/>
          <w:sz w:val="24"/>
          <w:szCs w:val="24"/>
        </w:rPr>
        <w:t xml:space="preserve">1.1 LATAR BELAKANG</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Fizik merupakan salah satu subjek teras dalam program Matrikulasi Kementerian Pendidikan Malaysia yang memainkan peranan penting dalam menyediakan pelajar untuk pengajian lanjutan dalam bidang sains, teknologi, kejuruteraan dan matematik (STEM). Pelan Pembangunan Pendidikan Malaysia (PPPM) 2013-2025 menekankan kepentingan penguasaan subjek STEM dalam kalangan pelajar bagi memastikan negara bersaing di persada antarabangsa (KPM, 2012). Justeru, penguasaan konsep asas Fizik seperti optik geometri yang merangkumi persamaan kanta nipis dan persamaan pembuat kanta adalah amat kritikal bagi pelajar matrikulasi yang berhasrat melanjutkan pelajaran dalam bidang berkaitan.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Optik geometri melibatkan pembiasan dan pemantulan cahaya serta pembentukan imej oleh kanta dan cermin. Dalam silibus Fizik Program Matrikulasi, topik kanta nipis memerlukan pelajar menguasai dua persamaan utama, iaitu persamaan kanta nipis (1/f = 1/u + 1/v) dan persamaan pembuat kanta (1/f = (n₁/n₂ − 1)(1/R₁ − 1/R₂)). Kedua-dua persamaan ini melibatkan konsepsi abstrak yang menghubungkan parameter fizikal kanta seperti indeks biasan dan jejari kelengkungan dengan sifat optik yang dapat diukur seperti panjang fokus, kedudukan imej dan pembesaran. Kajian mendapati bahawa pelajar kerap menghadapi kesukaran dalam memahami hubungan antara parameter-parameter ini, terutamanya apabila melibatkan konvensyen tanda yang digunakan dalam sistem koordinat Cartesian (Finkelstein et al., 2005). Justeru, keperluan kepada pendekatan pengajaran yang lebih visual dan interaktif amat mendesak bagi topik ini.</w:t>
      </w:r>
    </w:p>
    <w:p>
      <w:pPr>
        <w:spacing w:before="200" w:after="100"/>
      </w:pPr>
      <w:r>
        <w:rPr>
          <w:rFonts w:ascii="Times New Roman" w:cs="Times New Roman" w:eastAsia="Times New Roman" w:hAnsi="Times New Roman"/>
          <w:b/>
          <w:bCs/>
          <w:i w:val="false"/>
          <w:iCs w:val="false"/>
          <w:color w:val="000000"/>
          <w:sz w:val="24"/>
          <w:szCs w:val="24"/>
        </w:rPr>
        <w:t xml:space="preserve">1.2 PENGALAMAN PdP</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Dalam pengalaman mengajar topik Optik kepada pelajar Fizik Program Matrikulasi di Kolej Matrikulasi Sarawak, saya mendapati majoriti pelajar yang lemah menghadapi kesukaran ketara dalam menguasai persamaan kanta nipis dan persamaan pembuat kanta. Meskipun pelajar mampu menyatakan semula formula tersebut secara hafalan, mereka tidak dapat mengaplikasikannya dengan tepat dalam soalan penyelesaian masalah, khususnya yang melibatkan konvensyen tanda bagi nilai u, v, R₁ dan R₂. Pelajar juga kerap keliru tentang cara perubahan dalam parameter pembuat kanta memberi kesan kepada panjang fokus dan pembentukan imej.</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Pendekatan pengajaran yang digunakan sebelum ini tertumpu kepada penerangan menggunakan papan putih dan rajah statik dari buku teks. Walaupun rajah pembentukan sinar telah ditunjukkan dengan jelas, pelajar tidak mempunyai peluang untuk memanipulasi parameter secara langsung dan melihat kesannya secara masa nyata. Akibatnya, pelajar yang lemah kerap kekal dalam keadaan pasif dan hanya menghafal langkah penyelesaian tanpa memahami konsep yang mendasarinya. Situasi ini mendorong saya untuk mencari pendekatan yang lebih aktif dan berasaskan eksplorasi bagi membantu pelajar membina pemahaman konseptual yang lebih kukuh.</w:t>
      </w:r>
    </w:p>
    <w:p>
      <w:pPr>
        <w:spacing w:before="200" w:after="100"/>
      </w:pPr>
      <w:r>
        <w:rPr>
          <w:rFonts w:ascii="Times New Roman" w:cs="Times New Roman" w:eastAsia="Times New Roman" w:hAnsi="Times New Roman"/>
          <w:b/>
          <w:bCs/>
          <w:i w:val="false"/>
          <w:iCs w:val="false"/>
          <w:color w:val="000000"/>
          <w:sz w:val="24"/>
          <w:szCs w:val="24"/>
        </w:rPr>
        <w:t xml:space="preserve">1.3 KEPENTINGAN KAJIAN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ini dijalankan bagi menangani isu kelemahan pelajar dalam menguasai persamaan kanta nipis dan persamaan pembuat kanta yang merupakan sebahagian daripada topik Optik Geometri dalam silibus Fizik Program Matrikulasi. Penguasaan terhadap persamaan-persamaan ini penting bukan sahaja untuk pencapaian dalam peperiksaan, malah ia merupakan asas kepada pemahaman topik lanjutan seperti instrumen optik. Kelemahan dalam aspek ini turut menjejaskan keyakinan pelajar untuk menghadapi soalan berbentuk penyelesaian masalah yang merupakan sebahagian besar daripada format peperiksaan matrikulasi.</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ini turut penting dalam konteks usaha Bahagian Matrikulasi untuk mengintegrasikan teknologi digital dalam proses PdP selaras dengan matlamat PPPM 2013-2025 (KPM, 2012). Memandangkan topik optik geometri amat bergantung kepada visualisasi spatial, penggunaan simulasi digital yang mampu memaparkan pergerakan sinar cahaya dan kesan perubahan parameter secara dinamik dilihat sebagai pendekatan paling sesuai untuk mengatasi kelemahan yang dikenal pasti.</w:t>
      </w:r>
    </w:p>
    <w:p>
      <w:pPr>
        <w:spacing w:before="200" w:after="100"/>
      </w:pPr>
      <w:r>
        <w:rPr>
          <w:rFonts w:ascii="Times New Roman" w:cs="Times New Roman" w:eastAsia="Times New Roman" w:hAnsi="Times New Roman"/>
          <w:b/>
          <w:bCs/>
          <w:i w:val="false"/>
          <w:iCs w:val="false"/>
          <w:color w:val="000000"/>
          <w:sz w:val="24"/>
          <w:szCs w:val="24"/>
        </w:rPr>
        <w:t xml:space="preserve">1.4 ANDAIAN, NILAI DAN KEPERCAYAAN PENGKAJI TERHADAP PdP</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Sebagai seorang pengajar Fizik di peringkat matrikulasi, saya berpegang kepada kepercayaan bahawa setiap pelajar mampu menguasai konsep Fizik yang kompleks sekiranya pendekatan pengajaran yang digunakan bertepatan dengan keperluan kognitif mereka. Saya mengandaikan bahawa kelemahan pelajar dalam persamaan kanta nipis dan persamaan pembuat kanta bukan berpunca daripada kekurangan kemampuan intelektual, sebaliknya disebabkan oleh kekurangan pendedahan kepada representasi visual yang dinamik dan interaktif. Pelajar yang diberikan peluang untuk meneroka dan memanipulasi parameter secara langsung akan lebih berupaya membina pemahaman konseptual yang bermakna berbanding mereka yang hanya menerima penerangan secara pasif (Wieman et al., 2008).</w:t>
      </w:r>
    </w:p>
    <w:p>
      <w:pPr>
        <w:spacing w:before="200" w:after="100"/>
      </w:pPr>
      <w:r>
        <w:rPr>
          <w:rFonts w:ascii="Times New Roman" w:cs="Times New Roman" w:eastAsia="Times New Roman" w:hAnsi="Times New Roman"/>
          <w:b/>
          <w:bCs/>
          <w:i w:val="false"/>
          <w:iCs w:val="false"/>
          <w:color w:val="000000"/>
          <w:sz w:val="24"/>
          <w:szCs w:val="24"/>
        </w:rPr>
        <w:t xml:space="preserve">1.5 LAIN-LAIN YANG BERKAITAN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ini dijalankan berasaskan Model Kajian Tindakan Kemmis dan McTaggart (1988) yang menekankan prinsip refleksi, perancangan, tindakan dan pemerhatian secara bersiklikal. Model ini dipilih kerana ia membolehkan pengkaji mengubah suai intervensi berdasarkan dapatan setiap kitar bagi memastikan keberkesanan PdP ditingkatkan secara berterusan. Kajian ini melibatkan dua kitar intervensi, setiap satu berdurasi satu minggu dengan dua sesi PdP. Melalui pendekatan ini, pengkaji bertindak bukan sahaja sebagai pengajar, tetapi juga sebagai penyelidik reflektif yang sentiasa menilai keberkesanan alat dan strategi yang digunakan serta melakukan penambahbaikan berasaskan data pemerhatian sebenar.</w:t>
      </w:r>
    </w:p>
    <w:p>
      <w:pPr>
        <w:spacing w:before="280" w:after="120"/>
      </w:pPr>
      <w:r>
        <w:rPr>
          <w:rFonts w:ascii="Times New Roman" w:cs="Times New Roman" w:eastAsia="Times New Roman" w:hAnsi="Times New Roman"/>
          <w:b/>
          <w:bCs/>
          <w:i w:val="false"/>
          <w:iCs w:val="false"/>
          <w:color w:val="000000"/>
          <w:sz w:val="26"/>
          <w:szCs w:val="26"/>
        </w:rPr>
        <w:t xml:space="preserve">2.0 REFLEKSI AMALAN PdP LALU</w:t>
      </w:r>
    </w:p>
    <w:p>
      <w:pPr>
        <w:spacing w:before="200" w:after="100"/>
      </w:pPr>
      <w:r>
        <w:rPr>
          <w:rFonts w:ascii="Times New Roman" w:cs="Times New Roman" w:eastAsia="Times New Roman" w:hAnsi="Times New Roman"/>
          <w:b/>
          <w:bCs/>
          <w:i w:val="false"/>
          <w:iCs w:val="false"/>
          <w:color w:val="000000"/>
          <w:sz w:val="24"/>
          <w:szCs w:val="24"/>
        </w:rPr>
        <w:t xml:space="preserve">2.1 REFLEKSI KENDIRI GURU</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Berdasarkan refleksi saya terhadap amalan PdP dalam topik Optik Geometri, saya mendapati bahawa kaedah pengajaran konvensional yang saya gunakan mempunyai beberapa kelemahan yang ketara. Rajah pembentukan sinar yang dilukis di atas papan putih bersifat statik dan tidak mampu menunjukkan kepada pelajar kesan dinamik apabila parameter kanta diubah. Sebagai contoh, apabila pelajar bertanya tentang kesan pengurangan nilai R₁ terhadap imej, saya perlu melukis semula seluruh rajah, yang memakan masa dan kerap menimbulkan kekeliruan disebabkan skala yang tidak konsisten.</w:t>
      </w:r>
    </w:p>
    <w:p>
      <w:pPr>
        <w:spacing w:before="160" w:after="60"/>
      </w:pPr>
      <w:r>
        <w:rPr>
          <w:rFonts w:ascii="Times New Roman" w:cs="Times New Roman" w:eastAsia="Times New Roman" w:hAnsi="Times New Roman"/>
          <w:b/>
          <w:bCs/>
          <w:i/>
          <w:iCs/>
          <w:color w:val="000000"/>
          <w:sz w:val="22"/>
          <w:szCs w:val="22"/>
        </w:rPr>
        <w:t xml:space="preserve">Jadual 1. Analisis Kelemahan yang Dikenal Pasti dalam Amalan PdP Lalu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Aspek</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Pemerhatian</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Representasi visual</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Rajah statik di papan putih; tidak dapat menunjukkan perubahan parameter secara masa nyata</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Penglibatan pelajar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Pelajar pasif; kurang bertanya dan kurang berinteraksi dengan rajah pembentukan sinar</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Pemahaman konvensyen tanda</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Pelajar keliru antara nilai positif dan negatif untuk u, v, R₁ dan R₂</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Penghubungkitan dua persamaan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Pelajar tidak dapat menghubungkan persamaan pembuat kanta dengan persamaan kanta nipis</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Saya juga menyedari bahawa pengajaran saya lebih banyak menekankan prosedur pengiraan berbanding pemahaman konseptual. Akibatnya, pelajar yang lemah hanya mampu menyelesaikan soalan berformat mudah yang hampir sama dengan contoh yang diberikan, tetapi gagal apabila soalan melibatkan senario yang sedikit berbeza.</w:t>
      </w:r>
    </w:p>
    <w:p>
      <w:pPr>
        <w:spacing w:before="200" w:after="100"/>
      </w:pPr>
      <w:r>
        <w:rPr>
          <w:rFonts w:ascii="Times New Roman" w:cs="Times New Roman" w:eastAsia="Times New Roman" w:hAnsi="Times New Roman"/>
          <w:b/>
          <w:bCs/>
          <w:i w:val="false"/>
          <w:iCs w:val="false"/>
          <w:color w:val="000000"/>
          <w:sz w:val="24"/>
          <w:szCs w:val="24"/>
        </w:rPr>
        <w:t xml:space="preserve">2.2 REFLEKSI TERHADAP PELAJAR</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Berdasarkan temu bual ad-hoc yang dijalankan melalui aplikasi web selepas sesi PdP konvensional, pelajar yang terlibat menunjukkan beberapa corak kelemahan yang konsisten. Mereka mengakui kesukaran dalam memvisualisasikan pembentukan sinar cahaya melalui kanta, terutamanya bagi kes kanta cembung dan kanta cekung dengan kedudukan objek yang berbeza. Pelajar juga melaporkan kekeliruan tentang penggunaan konvensyen tanda, khususnya bagi nilai u yang perlu diambil sebagai negatif apabila objek berada di sebelah kiri kanta.</w:t>
      </w:r>
    </w:p>
    <w:p>
      <w:pPr>
        <w:spacing w:before="160" w:after="60"/>
      </w:pPr>
      <w:r>
        <w:rPr>
          <w:rFonts w:ascii="Times New Roman" w:cs="Times New Roman" w:eastAsia="Times New Roman" w:hAnsi="Times New Roman"/>
          <w:b/>
          <w:bCs/>
          <w:i/>
          <w:iCs/>
          <w:color w:val="000000"/>
          <w:sz w:val="22"/>
          <w:szCs w:val="22"/>
        </w:rPr>
        <w:t xml:space="preserve">Jadual 2. Respons Pelajar dalam Temu Bual Ad-Hoc (Pra-Intervensi)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Soalan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Jawapan Pelajar</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Bahagian mana yang paling sukar dalam topik ini?</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"Saya keliru dengan tanda positif dan negatif untuk u dan v. Kalau u negatif, v pula positif, saya tak faham kenapa."</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Adakah anda memahami persamaan pembuat kanta?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"Saya hafal formula tu, tapi saya tak faham apa maksud R₁ dan R₂. Macam mana nak tahu mana satu positif atau negatif?"</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Bagaimana anda menyelesaikan soalan kanta nipis?</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"Saya cuba ingat formula dan gantikan nilai je. Tapi kalau soalan lain sikit, saya tak tahu nak buat macam mana."</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Selain itu, pelajar turut melaporkan tahap keyakinan yang rendah semasa menghadapi soalan optik dalam ujian. Majoriti mengakui bahawa mereka meninggalkan soalan optik sebagai pilihan terakhir dalam peperiksaan, walaupun menyedari bahawa topik ini membawa markah yang signifikan.</w:t>
      </w:r>
    </w:p>
    <w:p>
      <w:pPr>
        <w:spacing w:before="200" w:after="100"/>
      </w:pPr>
      <w:r>
        <w:rPr>
          <w:rFonts w:ascii="Times New Roman" w:cs="Times New Roman" w:eastAsia="Times New Roman" w:hAnsi="Times New Roman"/>
          <w:b/>
          <w:bCs/>
          <w:i w:val="false"/>
          <w:iCs w:val="false"/>
          <w:color w:val="000000"/>
          <w:sz w:val="24"/>
          <w:szCs w:val="24"/>
        </w:rPr>
        <w:t xml:space="preserve">2.3 ASPEK BERKAITAN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Maklum balas yang diberikan oleh rakan kritis — seorang pengajar Fizik yang berpengalaman di Kolej Matrikulasi Sarawak — turut mengukuhkan pemerhatian yang telah dikenal pasti. Rakan kritis yang memerhatikan sesi PdP saya memberikan maklum balas bahawa pelajar kelihatan pasif dan kurang terlibat semasa penerangan menggunakan rajah statik di papan putih. Beliau turut mencadangkan penggunaan simulasi atau animasi bagi membantu pelajar memahami konsep pembentukan imej secara lebih intuitif. Maklum balas ini, bersama-sama dengan analisis prestasi pelajar dalam kuiz diagnostik awal, memberikan justifikasi yang kukuh untuk melaksanakan intervensi berasaskan simulasi digital interaktif.</w:t>
      </w:r>
    </w:p>
    <w:p>
      <w:pPr>
        <w:spacing w:before="280" w:after="120"/>
      </w:pPr>
      <w:r>
        <w:rPr>
          <w:rFonts w:ascii="Times New Roman" w:cs="Times New Roman" w:eastAsia="Times New Roman" w:hAnsi="Times New Roman"/>
          <w:b/>
          <w:bCs/>
          <w:i w:val="false"/>
          <w:iCs w:val="false"/>
          <w:color w:val="000000"/>
          <w:sz w:val="26"/>
          <w:szCs w:val="26"/>
        </w:rPr>
        <w:t xml:space="preserve">3.0 FOKUS KAJIAN / ISU KEPRIHATINAN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Fokus kajian ini tertumpu kepada isu penguasaan yang lemah dalam kalangan pelajar Fizik Matrikulasi di Kolej Matrikulasi Sarawak terhadap persamaan kanta nipis dan persamaan pembuat kanta. Isu ini dikenal pasti melalui analisis keputusan kuiz diagnostik awal yang menunjukkan majoriti pelajar memperoleh markah di bawah 30% daripada jumlah markah penuh. Kelemahan ini bukan sahaja meliputi aspek pengiraan, malah turut merangkumi ketidakupayaan pelajar untuk memvisualisasikan pembentukan sinar dan memahami hubungan antara parameter fizikal kanta dengan sifat optik yang dihasilkan.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Keadaan ini memberi kesan langsung kepada pencapaian pelajar dalam subtopik optik geometri. Tanpa penguasaan yang kukuh terhadap kedua-dua persamaan ini, pelajar tidak berupaya menangani soalan berbentuk penyelesaian masalah yang kerap muncul dalam peperiksaan. Justeru, diperlukan satu bentuk intervensi yang dapat menangani jurang pemahaman ini secara langsung melalui pendekatan yang lebih visual, eksploratif dan berasaskan maklum balas segera.</w:t>
      </w:r>
    </w:p>
    <w:p>
      <w:pPr>
        <w:spacing w:before="280" w:after="120"/>
      </w:pPr>
      <w:r>
        <w:rPr>
          <w:rFonts w:ascii="Times New Roman" w:cs="Times New Roman" w:eastAsia="Times New Roman" w:hAnsi="Times New Roman"/>
          <w:b/>
          <w:bCs/>
          <w:i w:val="false"/>
          <w:iCs w:val="false"/>
          <w:color w:val="000000"/>
          <w:sz w:val="26"/>
          <w:szCs w:val="26"/>
        </w:rPr>
        <w:t xml:space="preserve">4.0 OBJEKTIF KAJIAN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Objektif umum kajian ini adalah untuk meningkatkan penguasaan persamaan kanta nipis dan persamaan pembuat kanta dalam kalangan pelajar Fizik Matrikulasi melalui penggunaan simulasi digital interaktif ThinLens Explore.</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Objektif khusus kajian ini pula adalah untuk:</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	Menilai keberkesanan penggunaan ThinLens Explore dalam meningkatkan penguasaan pelajar terhadap persamaan kanta nipis dan persamaan pembuat kanta.</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ii.	Meningkatkan keyakinan dan motivasi pelajar dalam menyelesaikan masalah yang berkaitan dengan topik kanta nipis.</w:t>
      </w:r>
    </w:p>
    <w:p>
      <w:pPr>
        <w:spacing w:before="280" w:after="120"/>
      </w:pPr>
      <w:r>
        <w:rPr>
          <w:rFonts w:ascii="Times New Roman" w:cs="Times New Roman" w:eastAsia="Times New Roman" w:hAnsi="Times New Roman"/>
          <w:b/>
          <w:bCs/>
          <w:i w:val="false"/>
          <w:iCs w:val="false"/>
          <w:color w:val="000000"/>
          <w:sz w:val="26"/>
          <w:szCs w:val="26"/>
        </w:rPr>
        <w:t xml:space="preserve">5.0 KUMPULAN SASARAN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Kumpulan sasaran bagi kajian ini terdiri daripada 12 orang pelajar Fizik semester dua di Kolej Matrikulasi Sarawak yang menunjukkan prestasi lemah dalam kuiz diagnostik yang dijalankan sebelum pelaksanaan intervensi. Pemilihan pelajar dibuat berdasarkan keputusan kuiz diagnostik awal di mana mereka memperoleh markah di bawah 40% (iaitu kurang daripada 6/15 markah). Pelajar-pelajar ini mewakili kumpulan yang memerlukan sokongan tambahan dalam memahami konsep optik geometri yang bersifat abstrak.</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Mereka menunjukkan pola kekeliruan yang serupa berkaitan konvensyen tanda dan ketidakupayaan menghubungkan persamaan pembuat kanta dengan persamaan kanta nipis. Pemilihan kumpulan ini membolehkan intervensi dijalankan secara lebih berfokus dan terarah, di samping memudahkan pemantauan perkembangan setiap individu sepanjang dua kitar kajian tindakan.</w:t>
      </w:r>
    </w:p>
    <w:p>
      <w:pPr>
        <w:spacing w:before="280" w:after="120"/>
      </w:pPr>
      <w:r>
        <w:rPr>
          <w:rFonts w:ascii="Times New Roman" w:cs="Times New Roman" w:eastAsia="Times New Roman" w:hAnsi="Times New Roman"/>
          <w:b/>
          <w:bCs/>
          <w:i w:val="false"/>
          <w:iCs w:val="false"/>
          <w:color w:val="000000"/>
          <w:sz w:val="26"/>
          <w:szCs w:val="26"/>
        </w:rPr>
        <w:t xml:space="preserve">6.0 PERANCANGAN DAN PELAKSANAAN TINDAKAN</w:t>
      </w:r>
    </w:p>
    <w:p>
      <w:pPr>
        <w:spacing w:before="200" w:after="100"/>
      </w:pPr>
      <w:r>
        <w:rPr>
          <w:rFonts w:ascii="Times New Roman" w:cs="Times New Roman" w:eastAsia="Times New Roman" w:hAnsi="Times New Roman"/>
          <w:b/>
          <w:bCs/>
          <w:i w:val="false"/>
          <w:iCs w:val="false"/>
          <w:color w:val="000000"/>
          <w:sz w:val="24"/>
          <w:szCs w:val="24"/>
        </w:rPr>
        <w:t xml:space="preserve">6.1 PENGUMPULAN DATA AWAL</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Sebelum pelaksanaan intervensi, sebuah kuiz diagnostik yang mengandungi 15 markah telah diberikan kepada pelajar bagi menilai tahap penguasaan awal mereka dalam persamaan kanta nipis dan persamaan pembuat kanta. Kuiz tersebut merangkumi soalan pengiraan panjang fokus menggunakan persamaan pembuat kanta, penentuan kedudukan dan sifat imej menggunakan persamaan kanta nipis, serta lukisan rajah pembentukan sinar asas. Keputusan kuiz diagnostik adalah seperti yang ditunjukkan dalam Jadual 3.</w:t>
      </w:r>
    </w:p>
    <w:p>
      <w:pPr>
        <w:spacing w:before="160" w:after="60"/>
      </w:pPr>
      <w:r>
        <w:rPr>
          <w:rFonts w:ascii="Times New Roman" w:cs="Times New Roman" w:eastAsia="Times New Roman" w:hAnsi="Times New Roman"/>
          <w:b/>
          <w:bCs/>
          <w:i/>
          <w:iCs/>
          <w:color w:val="000000"/>
          <w:sz w:val="22"/>
          <w:szCs w:val="22"/>
        </w:rPr>
        <w:t xml:space="preserve">Jadual 3. Keputusan Kuiz Diagnostik Awal (n =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895"/>
        <w:gridCol w:w="1895"/>
        <w:gridCol w:w="3612"/>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Pelajar</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Markah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Peratus (%)</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Tahap Penguasaan</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6.7</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6.7</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P5</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6.7</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P6</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P7</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13.3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P8</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20.0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P9</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13.3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20.0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6.7</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26.7</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Lemah</w:t>
            </w:r>
          </w:p>
        </w:tc>
      </w:tr>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Min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1.50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10.0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Keputusan kuiz diagnostik menunjukkan bahawa semua 12 orang pelajar berada dalam tahap penguasaan yang lemah, dengan markah min sebanyak 1.50/15 (10.0%). Majoriti pelajar menunjukkan kesilapan berulang dalam mengaplikasikan konvensyen tanda, mengira panjang fokus menggunakan persamaan pembuat kanta, dan menentukan sifat imej yang terbentuk. Dapatan ini mengesahkan keperluan mendesak untuk melaksanakan intervensi yang bersasar.</w:t>
      </w:r>
    </w:p>
    <w:p>
      <w:pPr>
        <w:spacing w:before="200" w:after="100"/>
      </w:pPr>
      <w:r>
        <w:rPr>
          <w:rFonts w:ascii="Times New Roman" w:cs="Times New Roman" w:eastAsia="Times New Roman" w:hAnsi="Times New Roman"/>
          <w:b/>
          <w:bCs/>
          <w:i w:val="false"/>
          <w:iCs w:val="false"/>
          <w:color w:val="000000"/>
          <w:sz w:val="24"/>
          <w:szCs w:val="24"/>
        </w:rPr>
        <w:t xml:space="preserve">6.2 TINDAKAN YANG DILAKSANAKAN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Intervensi dijalankan selama dua minggu dengan dua sesi PdP setiap minggu, menggunakan simulasi digital interaktif ThinLens Explore yang diakses melalui penyemak imbas. Setiap kitar intervensi berlangsung selama satu minggu (dua sesi). Jadual 4 menunjukkan kronologi pelaksanaan intervensi secara keseluruhan.</w:t>
      </w:r>
    </w:p>
    <w:p>
      <w:pPr>
        <w:spacing w:before="160" w:after="60"/>
      </w:pPr>
      <w:r>
        <w:rPr>
          <w:rFonts w:ascii="Times New Roman" w:cs="Times New Roman" w:eastAsia="Times New Roman" w:hAnsi="Times New Roman"/>
          <w:b/>
          <w:bCs/>
          <w:i/>
          <w:iCs/>
          <w:color w:val="000000"/>
          <w:sz w:val="22"/>
          <w:szCs w:val="22"/>
        </w:rPr>
        <w:t xml:space="preserve">Jadual 4. Kronologi Pelaksanaan Intervensi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992"/>
        <w:gridCol w:w="1444"/>
        <w:gridCol w:w="5507"/>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Minggu</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Sesi</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Kitar</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Aktiviti</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Kitar 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Pengenalan ThinLens Explore; penjelajahan terpandu bagi persamaan pembuat kanta dan persamaan kanta nipis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Kitar 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Penjelajahan bebas berasaskan set latihan berstruktur; temu bual ad-hoc; ujian pasca Kitar 1</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Kitar 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(7 pelajar) Refleksi dapatan Kitar 1; penjelajahan mendalam persamaan kanta nipis dan konvensyen tanda</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Kitar 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Penyelesaian masalah komprehensif berasaskan hipotesis; ujian pasca Kitar 2</w:t>
            </w:r>
          </w:p>
        </w:tc>
      </w:tr>
    </w:tbl>
    <w:p>
      <w:pPr>
        <w:spacing w:before="200" w:after="80"/>
      </w:pPr>
      <w:r>
        <w:rPr>
          <w:rFonts w:ascii="Times New Roman" w:cs="Times New Roman" w:eastAsia="Times New Roman" w:hAnsi="Times New Roman"/>
          <w:b/>
          <w:bCs/>
          <w:i w:val="false"/>
          <w:iCs w:val="false"/>
          <w:color w:val="000000"/>
          <w:sz w:val="24"/>
          <w:szCs w:val="24"/>
        </w:rPr>
        <w:t xml:space="preserve">Kitar 1</w:t>
      </w:r>
    </w:p>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Pada Sesi 1 Kitar 1, pelajar diperkenalkan kepada ThinLens Explore — sebuah simulasi berasaskan penyemak imbas yang menggabungkan kedua-dua persamaan kanta nipis dan persamaan pembuat kanta dalam satu antara muka interaktif yang bersepadu. Simulasi ini memaparkan panel kawalan di sebelah kiri yang mengandungi peluncur (slider) untuk melaraskan indeks biasan kanta (n₁), indeks biasan medium (n₂), jejari kelengkungan pertama (R₁) dan jejari kelengkungan kedua (R₂) bagi persamaan pembuat kanta, serta kedudukan objek (u) dan ketinggian objek bagi persamaan kanta nipis. Panel output di bahagian bawah memaparkan secara langsung nilai panjang fokus (f), kedudukan imej (v), pembesaran (M), dan sifat imej yang terbentuk.</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Rajah geometri yang dipaparkan di bahagian kanvas kanan menunjukkan tiga sinar utama — sinar selari paksi prinsipal (kuning), sinar melalui pusat optik (hijau), dan sinar melalui titik fokus (ungu) — secara berwarna berbeza, membolehkan pelajar menjejak laluan setiap sinar dengan jelas. Objek dalam simulasi juga boleh diseret (drag) secara terus di atas kanvas, memberikan pengalaman eksplorasi yang lebih intuitif. Simulasi turut menyokong penggunaan peranti mudah alih melalui sokongan sentuhan (touch support).</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Aktiviti penjelajahan terpandu pada Sesi 1 memerlukan pelajar mengubah nilai n₁ dan n₂ sambil memerhati perubahan panjang fokus, kemudian mengubah nilai R₁ dan R₂ sambil merekod kesannya. Latihan ini secara langsung menghubungkan manipulasi parameter dalam persamaan pembuat kanta dengan kesan optik yang dapat dilihat, justeru membantu pelajar membina kefahaman konseptual yang lebih mendalam. Pada Sesi 2, pelajar diberikan kebebasan untuk meneroka simulasi secara berdikari sambil menyelesaikan set latihan berstruktur. Temu bual ad-hoc dijalankan melalui aplikasi web semasa sesi ini, dan ujian pasca Kitar 1 diberikan pada akhir Sesi 2.</w:t>
      </w:r>
    </w:p>
    <w:p>
      <w:pPr>
        <w:spacing w:before="200" w:after="80"/>
      </w:pPr>
      <w:r>
        <w:rPr>
          <w:rFonts w:ascii="Times New Roman" w:cs="Times New Roman" w:eastAsia="Times New Roman" w:hAnsi="Times New Roman"/>
          <w:b/>
          <w:bCs/>
          <w:i w:val="false"/>
          <w:iCs w:val="false"/>
          <w:color w:val="000000"/>
          <w:sz w:val="24"/>
          <w:szCs w:val="24"/>
        </w:rPr>
        <w:t xml:space="preserve">Kitar 2</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Selepas analisis keputusan ujian pasca Kitar 1, didapati bahawa lima orang pelajar (P7, P8, P9, P11, P12) telah mencapai tahap penguasaan yang memuaskan (markah ≥ 8/15 atau ≥ 53%). Justeru, tujuh orang pelajar yang masih menunjukkan prestasi lemah (P1, P2, P3, P4, P5, P6, P10) terus menyertai Kitar 2 dengan intervensi yang lebih intensif.</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Kitar 2 dimulakan dengan sesi refleksi kolektif bersama tujuh pelajar untuk mengenal pasti secara spesifik aspek yang masih lemah berdasarkan keputusan ujian Kitar 1. Sesi penjelajahan pada Kitar 2 difokuskan kepada hubungan antara persamaan pembuat kanta dan persamaan kanta nipis serta penggunaan konvensyen tanda dalam pelbagai senario. Pelajar digalakkan untuk menguji hipotesis sendiri — contohnya menentukan kesan ke atas pembentukan imej apabila R₁ dan R₂ mempunyai tanda yang sama, atau apabila nilai n₁ melebihi n₂. Ujian pasca Kitar 2 diberikan pada Sesi 4.</w:t>
      </w:r>
    </w:p>
    <w:p>
      <w:pPr>
        <w:spacing w:before="280" w:after="120"/>
      </w:pPr>
      <w:r>
        <w:rPr>
          <w:rFonts w:ascii="Times New Roman" w:cs="Times New Roman" w:eastAsia="Times New Roman" w:hAnsi="Times New Roman"/>
          <w:b/>
          <w:bCs/>
          <w:i w:val="false"/>
          <w:iCs w:val="false"/>
          <w:color w:val="000000"/>
          <w:sz w:val="26"/>
          <w:szCs w:val="26"/>
        </w:rPr>
        <w:t xml:space="preserve">7.0 PEMERHATIAN DAN DAPATAN KAJIAN</w:t>
      </w:r>
    </w:p>
    <w:p>
      <w:pPr>
        <w:spacing w:before="200" w:after="100"/>
      </w:pPr>
      <w:r>
        <w:rPr>
          <w:rFonts w:ascii="Times New Roman" w:cs="Times New Roman" w:eastAsia="Times New Roman" w:hAnsi="Times New Roman"/>
          <w:b/>
          <w:bCs/>
          <w:i w:val="false"/>
          <w:iCs w:val="false"/>
          <w:color w:val="000000"/>
          <w:sz w:val="24"/>
          <w:szCs w:val="24"/>
        </w:rPr>
        <w:t xml:space="preserve">7.1 ANALISIS UJIAN PASCA KITAR 1 (n = 12)</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Jadual 5 menunjukkan perbandingan markah pelajar antara Ujian Pra dan Ujian Pasca Kitar 1.</w:t>
      </w:r>
    </w:p>
    <w:p>
      <w:pPr>
        <w:spacing w:before="160" w:after="60"/>
      </w:pPr>
      <w:r>
        <w:rPr>
          <w:rFonts w:ascii="Times New Roman" w:cs="Times New Roman" w:eastAsia="Times New Roman" w:hAnsi="Times New Roman"/>
          <w:b/>
          <w:bCs/>
          <w:i/>
          <w:iCs/>
          <w:color w:val="000000"/>
          <w:sz w:val="22"/>
          <w:szCs w:val="22"/>
        </w:rPr>
        <w:t xml:space="preserve">Jadual 5. Perbandingan Markah Ujian Pra dan Ujian Pasca Kitar 1 (n =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985"/>
        <w:gridCol w:w="1985"/>
        <w:gridCol w:w="3522"/>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Pelajar</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Ujian Pra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Pasca Kitar 1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Peningkatan (markah)</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5</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+5</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P5</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P6</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P7</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9</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+7</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P8</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8</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+5</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P9</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+8</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9</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+8</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+6</w:t>
            </w:r>
          </w:p>
        </w:tc>
      </w:tr>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Min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1.50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6.00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+4.50</w:t>
            </w:r>
          </w:p>
        </w:tc>
      </w:tr>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Peratus Min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10.0%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40.0%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Dapatan menunjukkan peningkatan markah min yang signifikan daripada 1.50/15 (10.0%) dalam Ujian Pra kepada 6.00/15 (40.0%) selepas Kitar 1, iaitu peningkatan sebanyak 30 mata peratusan. Semua 12 orang pelajar menunjukkan peningkatan dalam markah mereka, yang menandakan keberkesanan awal simulasi ThinLens Explore sebagai alat bantu pengajaran. Lima orang pelajar (P7, P8, P9, P11, P12) berjaya mencapai markah ≥ 8/15 dan dianggap telah mencapai tahap penguasaan yang memuaskan. Selaras dengan dapatan Rutten et al. (2012), penggunaan simulasi komputer dalam pendidikan sains berupaya meningkatkan pemahaman pelajar terhadap konsep abstrak melalui maklum balas visual yang segera.</w:t>
      </w:r>
    </w:p>
    <w:p>
      <w:pPr>
        <w:spacing w:before="200" w:after="100"/>
      </w:pPr>
      <w:r>
        <w:rPr>
          <w:rFonts w:ascii="Times New Roman" w:cs="Times New Roman" w:eastAsia="Times New Roman" w:hAnsi="Times New Roman"/>
          <w:b/>
          <w:bCs/>
          <w:i w:val="false"/>
          <w:iCs w:val="false"/>
          <w:color w:val="000000"/>
          <w:sz w:val="24"/>
          <w:szCs w:val="24"/>
        </w:rPr>
        <w:t xml:space="preserve">7.2 ANALISIS UJIAN PASCA KITAR 2 (n = 7)</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Jadual 6 menunjukkan perkembangan markah tujuh orang pelajar yang menyertai Kitar 2 merentasi ketiga-tiga titik penilaian.</w:t>
      </w:r>
    </w:p>
    <w:p>
      <w:pPr>
        <w:spacing w:before="160" w:after="60"/>
      </w:pPr>
      <w:r>
        <w:rPr>
          <w:rFonts w:ascii="Times New Roman" w:cs="Times New Roman" w:eastAsia="Times New Roman" w:hAnsi="Times New Roman"/>
          <w:b/>
          <w:bCs/>
          <w:i/>
          <w:iCs/>
          <w:color w:val="000000"/>
          <w:sz w:val="22"/>
          <w:szCs w:val="22"/>
        </w:rPr>
        <w:t xml:space="preserve">Jadual 6. Perkembangan Markah Pelajar dalam Kitar 2 (n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714"/>
        <w:gridCol w:w="1985"/>
        <w:gridCol w:w="1985"/>
        <w:gridCol w:w="2169"/>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Pelajar</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Ujian Pra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Pasca Kitar 1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Pasca Kitar 2 (/15)</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Jumlah Peningkatan</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5</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+12</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+10</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P5</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14</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+13</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P6</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+13</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P10</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12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+9</w:t>
            </w:r>
          </w:p>
        </w:tc>
      </w:tr>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Min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0.86</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3.71</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11.86</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w:t>
            </w:r>
          </w:p>
        </w:tc>
      </w:tr>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Peratus Min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5.7%</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24.8%</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79.0%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i w:val="false"/>
                <w:iCs w:val="false"/>
                <w:color w:val="FFFFFF"/>
                <w:sz w:val="22"/>
                <w:szCs w:val="22"/>
              </w:rPr>
              <w:t xml:space="preserve">—</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Dapatan menunjukkan peningkatan yang amat ketara dalam markah tujuh orang pelajar, dengan markah min meningkat daripada 0.86/15 (5.7%) dalam Ujian Pra kepada 11.86/15 (79.0%) selepas Kitar 2 — satu peningkatan sebanyak 73.3 mata peratusan merentasi keseluruhan tempoh kajian. Semua tujuh orang pelajar berjaya memperoleh markah melebihi 60% selepas Kitar 2, dengan pelajar P5 mencapai markah tertinggi sebanyak 14/15 (93.3%). Peningkatan drastik ini amat signifikan memandangkan ketiga-tiga pelajar yang memperoleh markah sifar dalam Ujian Pra (P1, P3, P6) turut berjaya mencapai markah melebihi 10/15 pada akhir kajian. Dapatan ini selaras dengan Zacharia dan Olympiou (2011) yang mendapati bahawa manipulasi maya berupaya memberikan pengalaman pembelajaran yang bermakna, terutamanya bagi pelajar yang mengalami kesukaran dengan pendekatan konvensional.</w:t>
      </w:r>
    </w:p>
    <w:p>
      <w:pPr>
        <w:spacing w:before="200" w:after="100"/>
      </w:pPr>
      <w:r>
        <w:rPr>
          <w:rFonts w:ascii="Times New Roman" w:cs="Times New Roman" w:eastAsia="Times New Roman" w:hAnsi="Times New Roman"/>
          <w:b/>
          <w:bCs/>
          <w:i w:val="false"/>
          <w:iCs w:val="false"/>
          <w:color w:val="000000"/>
          <w:sz w:val="24"/>
          <w:szCs w:val="24"/>
        </w:rPr>
        <w:t xml:space="preserve">7.3 DAPATAN TEMU BUAL AD-HOC</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Temu bual ad-hoc yang dijalankan melalui aplikasi web semasa sesi intervensi menghasilkan maklum balas yang positif daripada pelajar. Respons yang dikumpul mencerminkan perubahan dalam pemahaman dan keyakinan pelajar selepas berinteraksi dengan ThinLens Explore.</w:t>
      </w:r>
    </w:p>
    <w:p>
      <w:pPr>
        <w:spacing w:before="160" w:after="60"/>
      </w:pPr>
      <w:r>
        <w:rPr>
          <w:rFonts w:ascii="Times New Roman" w:cs="Times New Roman" w:eastAsia="Times New Roman" w:hAnsi="Times New Roman"/>
          <w:b/>
          <w:bCs/>
          <w:i/>
          <w:iCs/>
          <w:color w:val="000000"/>
          <w:sz w:val="22"/>
          <w:szCs w:val="22"/>
        </w:rPr>
        <w:t xml:space="preserve">Jadual 7. Dapatan Temu Bual Ad-Hoc Pelajar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Fasa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Respons Pelajar</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Selepas Sesi 1
(Kitar 1)</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"Bila saya gerakkan slider R₁, saya boleh nampak sendiri macam mana panjang fokus berubah. Lebih senang faham berbanding tengok formula je."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Selepas Sesi 2
(Kitar 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"Saya sekarang faham kenapa u kena negatif. Simulasi tunjuk objek berada di sebelah kiri kanta, jadi nilai u negatif ikut konvensyen tanda."</w:t>
            </w:r>
          </w:p>
        </w:tc>
      </w:tr>
      <w:tr>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Selepas Sesi 3
(Kitar 2)</w:t>
            </w:r>
          </w:p>
        </w:tc>
        <w:tc>
          <w:tcPr>
            <w:tcBorders>
              <w:top w:val="single" w:color="2E75B6" w:sz="4"/>
              <w:left w:val="single" w:color="2E75B6" w:sz="4"/>
              <w:bottom w:val="single" w:color="2E75B6" w:sz="4"/>
              <w:right w:val="single" w:color="2E75B6" w:sz="4"/>
            </w:tcBorders>
            <w:shd w:fill="EEF3FB"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"Dulu saya ingat persamaan pembuat kanta dan persamaan kanta nipis adalah dua perkara berbeza. Sekarang saya nampak keduanya berhubung — pembuat kanta tentukan f, kemudian f digunakan dalam persamaan kanta nipis."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2"/>
                <w:szCs w:val="22"/>
              </w:rPr>
              <w:t xml:space="preserve">Selepas Sesi 4
(Kitar 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2"/>
                <w:szCs w:val="22"/>
              </w:rPr>
              <w:t xml:space="preserve">"Saya rasa yakin sekarang. Kalau ada soalan kanta dalam exam, saya tahu nak buat macam mana. Sebelum ni saya skip je soalan kanta."</w:t>
            </w:r>
          </w:p>
        </w:tc>
      </w:tr>
    </w:tbl>
    <w:p>
      <w:pPr>
        <w:spacing w:after="160" w:before="160" w:line="276"/>
        <w:jc w:val="both"/>
      </w:pPr>
      <w:r>
        <w:rPr>
          <w:rFonts w:ascii="Times New Roman" w:cs="Times New Roman" w:eastAsia="Times New Roman" w:hAnsi="Times New Roman"/>
          <w:b w:val="false"/>
          <w:bCs w:val="false"/>
          <w:i w:val="false"/>
          <w:iCs w:val="false"/>
          <w:color w:val="000000"/>
          <w:sz w:val="22"/>
          <w:szCs w:val="22"/>
        </w:rPr>
        <w:t xml:space="preserve">Maklum balas pelajar menunjukkan berlakunya perubahan dalam pemahaman konseptual mereka, bukan sekadar kemahiran prosedural. Pelajar bukan sahaja dapat menjawab soalan dengan lebih baik, malah mula mampu menjelaskan hubungan antara parameter yang berbeza secara verbal. Ini menunjukkan bahawa ThinLens Explore telah berjaya menjadi alat yang mengembangkan pemikiran konseptual pelajar, selaras dengan matlamat kajian ini.</w:t>
      </w:r>
    </w:p>
    <w:p>
      <w:pPr>
        <w:spacing w:before="280" w:after="120"/>
      </w:pPr>
      <w:r>
        <w:rPr>
          <w:rFonts w:ascii="Times New Roman" w:cs="Times New Roman" w:eastAsia="Times New Roman" w:hAnsi="Times New Roman"/>
          <w:b/>
          <w:bCs/>
          <w:i w:val="false"/>
          <w:iCs w:val="false"/>
          <w:color w:val="000000"/>
          <w:sz w:val="26"/>
          <w:szCs w:val="26"/>
        </w:rPr>
        <w:t xml:space="preserve">8.0 REFLEKSI DAN KESIMPULAN</w:t>
      </w:r>
    </w:p>
    <w:p>
      <w:pPr>
        <w:spacing w:before="200" w:after="100"/>
      </w:pPr>
      <w:r>
        <w:rPr>
          <w:rFonts w:ascii="Times New Roman" w:cs="Times New Roman" w:eastAsia="Times New Roman" w:hAnsi="Times New Roman"/>
          <w:b/>
          <w:bCs/>
          <w:i w:val="false"/>
          <w:iCs w:val="false"/>
          <w:color w:val="000000"/>
          <w:sz w:val="24"/>
          <w:szCs w:val="24"/>
        </w:rPr>
        <w:t xml:space="preserve">8.1 REFLEKSI</w:t>
      </w:r>
    </w:p>
    <w:p>
      <w:pPr>
        <w:spacing w:before="100" w:after="80"/>
      </w:pPr>
      <w:r>
        <w:rPr>
          <w:rFonts w:ascii="Times New Roman" w:cs="Times New Roman" w:eastAsia="Times New Roman" w:hAnsi="Times New Roman"/>
          <w:b/>
          <w:bCs/>
          <w:i w:val="false"/>
          <w:iCs w:val="false"/>
          <w:color w:val="000000"/>
          <w:sz w:val="22"/>
          <w:szCs w:val="22"/>
        </w:rPr>
        <w:t xml:space="preserve">Perubahan dalam Diri Pengkaji</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Pengalaman melaksanakan kajian tindakan ini telah mengubah perspektif saya sebagai pengajar Fizik secara mendalam. Saya menyedari bahawa keberkesanan pengajaran bukan hanya bergantung kepada kejelasan penerangan yang diberikan, tetapi juga kepada sejauh mana pelajar diberikan peluang untuk membina pemahaman mereka sendiri melalui penjelajahan aktif. Saya juga mula memahami kepentingan maklum balas visual yang segera dalam membantu pelajar memahami hubungan antara persamaan matematik dengan fenomena fizikal yang mendasarinya. Kajian ini juga mendorong saya untuk lebih kerap merujuk kepada literatur pendidikan Fizik dalam merangka strategi pengajaran yang berasaskan bukti.</w:t>
      </w:r>
    </w:p>
    <w:p>
      <w:pPr>
        <w:spacing w:before="100" w:after="80"/>
      </w:pPr>
      <w:r>
        <w:rPr>
          <w:rFonts w:ascii="Times New Roman" w:cs="Times New Roman" w:eastAsia="Times New Roman" w:hAnsi="Times New Roman"/>
          <w:b/>
          <w:bCs/>
          <w:i w:val="false"/>
          <w:iCs w:val="false"/>
          <w:color w:val="000000"/>
          <w:sz w:val="22"/>
          <w:szCs w:val="22"/>
        </w:rPr>
        <w:t xml:space="preserve">Perubahan dalam Diri Pelajar</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Perubahan yang paling ketara dapat diperhatikan dalam aspek keyakinan diri pelajar. Pelajar yang sebelumnya mengelak daripada soalan optik kini menunjukkan keberanian untuk mencuba menyelesaikan masalah yang lebih kompleks. Mereka juga mula menggunakan bahasa fizik yang lebih tepat dalam menjelaskan proses pembentukan imej, mencerminkan peningkatan dalam pemahaman konseptual mereka. Pelajar P5 yang mencapai markah 14/15 dalam Ujian Pasca Kitar 2 — berbanding markah sifar dalam Ujian Pra — merupakan antara pelajar yang paling ketara perubahannya dalam kajian ini.</w:t>
      </w:r>
    </w:p>
    <w:p>
      <w:pPr>
        <w:spacing w:before="100" w:after="80"/>
      </w:pPr>
      <w:r>
        <w:rPr>
          <w:rFonts w:ascii="Times New Roman" w:cs="Times New Roman" w:eastAsia="Times New Roman" w:hAnsi="Times New Roman"/>
          <w:b/>
          <w:bCs/>
          <w:i w:val="false"/>
          <w:iCs w:val="false"/>
          <w:color w:val="000000"/>
          <w:sz w:val="22"/>
          <w:szCs w:val="22"/>
        </w:rPr>
        <w:t xml:space="preserve">Perubahan dalam Proses PdP</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ini telah mendorong saya untuk mengintegrasikan elemen simulasi digital secara lebih sistematik dalam pengajaran topik-topik Fizik yang melibatkan konsep abstrak. Kaedah penjelajahan terpandu yang digunakan dalam kajian ini, di mana pelajar dibimbing untuk membuat pemerhatian dan inferens sendiri daripada simulasi, terbukti lebih berkesan berbanding pendekatan penerangan searah. Pendekatan dua-kitar juga menunjukkan nilai yang signifikan — pembahagian kepada kumpulan yang lebih kecil pada Kitar 2 membolehkan penambahbaikan yang lebih bersasar.</w:t>
      </w:r>
    </w:p>
    <w:p>
      <w:pPr>
        <w:spacing w:before="200" w:after="100"/>
      </w:pPr>
      <w:r>
        <w:rPr>
          <w:rFonts w:ascii="Times New Roman" w:cs="Times New Roman" w:eastAsia="Times New Roman" w:hAnsi="Times New Roman"/>
          <w:b/>
          <w:bCs/>
          <w:i w:val="false"/>
          <w:iCs w:val="false"/>
          <w:color w:val="000000"/>
          <w:sz w:val="24"/>
          <w:szCs w:val="24"/>
        </w:rPr>
        <w:t xml:space="preserve">8.2 KESIMPULAN DAN CADANGAN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Kajian tindakan ini berjaya menunjukkan bahawa penggunaan simulasi digital interaktif ThinLens Explore dapat meningkatkan penguasaan pelajar Fizik Matrikulasi dalam persamaan kanta nipis dan persamaan pembuat kanta secara signifikan. Kedua-dua objektif kajian telah dicapai — markah min kumpulan kajian meningkat daripada 10.0% (Ujian Pra) kepada 79.0% (Pasca Kitar 2 bagi kumpulan sasaran), dan maklum balas pelajar menunjukkan peningkatan ketara dalam keyakinan mereka.</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Antara kekuatan ThinLens Explore ialah keupayaannya menggabungkan kedua-dua persamaan dalam satu antara muka bersepadu dengan visualisasi rajah sinar yang dinamik, kebolehaksesan yang tinggi kerana berasaskan penyemak imbas tanpa memerlukan pemasangan perisian tambahan, serta sokongan peranti mudah alih. Namun demikian, kekangan kajian ini termasuk bilangan sampel yang kecil (n = 12) dan tempoh intervensi yang singkat (dua minggu).</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Bagi kajian tindakan pada masa hadapan, pengkaji mencadangkan:</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	Pelanjutan kajian kepada populasi yang lebih besar dan merangkumi pelbagai topik optik lain seperti cermin sfera dan optik fizikal.</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ii.	Pengintegrasian ThinLens Explore sebagai pelengkap kepada amali makmal bagi topik kanta nipis bagi membandingkan kefahaman konseptual antara pendekatan fizikal dan maya.</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iii.	Penambahbaikan simulasi untuk menyertakan modul penilaian kendiri yang terintegrasi, membolehkan pelajar mengukur kefahaman mereka secara langsung.</w:t>
      </w:r>
    </w:p>
    <w:p>
      <w:pPr>
        <w:spacing w:after="100"/>
        <w:ind w:left="720" w:hanging="360"/>
      </w:pPr>
      <w:r>
        <w:rPr>
          <w:rFonts w:ascii="Times New Roman" w:cs="Times New Roman" w:eastAsia="Times New Roman" w:hAnsi="Times New Roman"/>
          <w:b w:val="false"/>
          <w:bCs w:val="false"/>
          <w:i w:val="false"/>
          <w:iCs w:val="false"/>
          <w:color w:val="000000"/>
          <w:sz w:val="22"/>
          <w:szCs w:val="22"/>
        </w:rPr>
        <w:t xml:space="preserve">iv.	Kajian perbandingan (comparative study) antara penggunaan simulasi digital dengan kaedah konvensional bagi memperoleh data yang lebih kukuh tentang keberkesanan pendekatan ini.</w:t>
      </w:r>
    </w:p>
    <w:p>
      <w:pPr>
        <w:spacing w:before="280" w:after="120"/>
      </w:pPr>
      <w:r>
        <w:rPr>
          <w:rFonts w:ascii="Times New Roman" w:cs="Times New Roman" w:eastAsia="Times New Roman" w:hAnsi="Times New Roman"/>
          <w:b/>
          <w:bCs/>
          <w:i w:val="false"/>
          <w:iCs w:val="false"/>
          <w:color w:val="000000"/>
          <w:sz w:val="26"/>
          <w:szCs w:val="26"/>
        </w:rPr>
        <w:t xml:space="preserve">RUJUKAN</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Finkelstein, N. D., Adams, W. K., Keller, C. J., Kohl, P. B., Perkins, K. K., Podolefsky, N. S., Reid, S., &amp; LeMaster, R. (2005). When learning about the real world is better done virtually: A study of substituting computer simulations for laboratory equipment. </w:t>
      </w:r>
      <w:r>
        <w:rPr>
          <w:rFonts w:ascii="Times New Roman" w:cs="Times New Roman" w:eastAsia="Times New Roman" w:hAnsi="Times New Roman"/>
          <w:b w:val="false"/>
          <w:bCs w:val="false"/>
          <w:i/>
          <w:iCs/>
          <w:color w:val="000000"/>
          <w:sz w:val="22"/>
          <w:szCs w:val="22"/>
        </w:rPr>
        <w:t xml:space="preserve">Physical Review Physics Education Research</w:t>
      </w:r>
      <w:r>
        <w:rPr>
          <w:rFonts w:ascii="Times New Roman" w:cs="Times New Roman" w:eastAsia="Times New Roman" w:hAnsi="Times New Roman"/>
          <w:b w:val="false"/>
          <w:bCs w:val="false"/>
          <w:i w:val="false"/>
          <w:iCs w:val="false"/>
          <w:color w:val="000000"/>
          <w:sz w:val="22"/>
          <w:szCs w:val="22"/>
        </w:rPr>
        <w:t xml:space="preserve">, 1(1), 010103.</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Kemmis, S., &amp; McTaggart, R. (1988). </w:t>
      </w:r>
      <w:r>
        <w:rPr>
          <w:rFonts w:ascii="Times New Roman" w:cs="Times New Roman" w:eastAsia="Times New Roman" w:hAnsi="Times New Roman"/>
          <w:b w:val="false"/>
          <w:bCs w:val="false"/>
          <w:i/>
          <w:iCs/>
          <w:color w:val="000000"/>
          <w:sz w:val="22"/>
          <w:szCs w:val="22"/>
        </w:rPr>
        <w:t xml:space="preserve">The Action Research Planner </w:t>
      </w:r>
      <w:r>
        <w:rPr>
          <w:rFonts w:ascii="Times New Roman" w:cs="Times New Roman" w:eastAsia="Times New Roman" w:hAnsi="Times New Roman"/>
          <w:b w:val="false"/>
          <w:bCs w:val="false"/>
          <w:i w:val="false"/>
          <w:iCs w:val="false"/>
          <w:color w:val="000000"/>
          <w:sz w:val="22"/>
          <w:szCs w:val="22"/>
        </w:rPr>
        <w:t xml:space="preserve">(3rd ed.). Deakin University Press.</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Kementerian Pendidikan Malaysia. (2012). </w:t>
      </w:r>
      <w:r>
        <w:rPr>
          <w:rFonts w:ascii="Times New Roman" w:cs="Times New Roman" w:eastAsia="Times New Roman" w:hAnsi="Times New Roman"/>
          <w:b w:val="false"/>
          <w:bCs w:val="false"/>
          <w:i/>
          <w:iCs/>
          <w:color w:val="000000"/>
          <w:sz w:val="22"/>
          <w:szCs w:val="22"/>
        </w:rPr>
        <w:t xml:space="preserve">Pelan Pembangunan Pendidikan Malaysia 2013-2025</w:t>
      </w:r>
      <w:r>
        <w:rPr>
          <w:rFonts w:ascii="Times New Roman" w:cs="Times New Roman" w:eastAsia="Times New Roman" w:hAnsi="Times New Roman"/>
          <w:b w:val="false"/>
          <w:bCs w:val="false"/>
          <w:i w:val="false"/>
          <w:iCs w:val="false"/>
          <w:color w:val="000000"/>
          <w:sz w:val="22"/>
          <w:szCs w:val="22"/>
        </w:rPr>
        <w:t xml:space="preserve">. Kementerian Pendidikan Malaysia.</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Rutten, N., van Joolingen, W. R., &amp; van der Veen, J. T. (2012). The learning effects of computer simulations in science education. </w:t>
      </w:r>
      <w:r>
        <w:rPr>
          <w:rFonts w:ascii="Times New Roman" w:cs="Times New Roman" w:eastAsia="Times New Roman" w:hAnsi="Times New Roman"/>
          <w:b w:val="false"/>
          <w:bCs w:val="false"/>
          <w:i/>
          <w:iCs/>
          <w:color w:val="000000"/>
          <w:sz w:val="22"/>
          <w:szCs w:val="22"/>
        </w:rPr>
        <w:t xml:space="preserve">Computers &amp; Education</w:t>
      </w:r>
      <w:r>
        <w:rPr>
          <w:rFonts w:ascii="Times New Roman" w:cs="Times New Roman" w:eastAsia="Times New Roman" w:hAnsi="Times New Roman"/>
          <w:b w:val="false"/>
          <w:bCs w:val="false"/>
          <w:i w:val="false"/>
          <w:iCs w:val="false"/>
          <w:color w:val="000000"/>
          <w:sz w:val="22"/>
          <w:szCs w:val="22"/>
        </w:rPr>
        <w:t xml:space="preserve">, 58(1), 136–153.</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Wieman, C. E., Adams, W. K., &amp; Perkins, K. K. (2008). PhET: Simulations that enhance learning. </w:t>
      </w:r>
      <w:r>
        <w:rPr>
          <w:rFonts w:ascii="Times New Roman" w:cs="Times New Roman" w:eastAsia="Times New Roman" w:hAnsi="Times New Roman"/>
          <w:b w:val="false"/>
          <w:bCs w:val="false"/>
          <w:i/>
          <w:iCs/>
          <w:color w:val="000000"/>
          <w:sz w:val="22"/>
          <w:szCs w:val="22"/>
        </w:rPr>
        <w:t xml:space="preserve">Science</w:t>
      </w:r>
      <w:r>
        <w:rPr>
          <w:rFonts w:ascii="Times New Roman" w:cs="Times New Roman" w:eastAsia="Times New Roman" w:hAnsi="Times New Roman"/>
          <w:b w:val="false"/>
          <w:bCs w:val="false"/>
          <w:i w:val="false"/>
          <w:iCs w:val="false"/>
          <w:color w:val="000000"/>
          <w:sz w:val="22"/>
          <w:szCs w:val="22"/>
        </w:rPr>
        <w:t xml:space="preserve">, 322(5902), 682–683.</w:t>
      </w:r>
    </w:p>
    <w:p>
      <w:pPr>
        <w:spacing w:after="120" w:before="0" w:line="276"/>
        <w:jc w:val="left"/>
      </w:pPr>
      <w:r>
        <w:rPr>
          <w:rFonts w:ascii="Times New Roman" w:cs="Times New Roman" w:eastAsia="Times New Roman" w:hAnsi="Times New Roman"/>
          <w:b w:val="false"/>
          <w:bCs w:val="false"/>
          <w:i w:val="false"/>
          <w:iCs w:val="false"/>
          <w:color w:val="000000"/>
          <w:sz w:val="22"/>
          <w:szCs w:val="22"/>
        </w:rPr>
        <w:t xml:space="preserve">Zacharia, Z. C., &amp; Olympiou, G. (2011). Physical versus virtual manipulatives during science laboratory tasks: Is one better than the other? </w:t>
      </w:r>
      <w:r>
        <w:rPr>
          <w:rFonts w:ascii="Times New Roman" w:cs="Times New Roman" w:eastAsia="Times New Roman" w:hAnsi="Times New Roman"/>
          <w:b w:val="false"/>
          <w:bCs w:val="false"/>
          <w:i/>
          <w:iCs/>
          <w:color w:val="000000"/>
          <w:sz w:val="22"/>
          <w:szCs w:val="22"/>
        </w:rPr>
        <w:t xml:space="preserve">Educational Research Review</w:t>
      </w:r>
      <w:r>
        <w:rPr>
          <w:rFonts w:ascii="Times New Roman" w:cs="Times New Roman" w:eastAsia="Times New Roman" w:hAnsi="Times New Roman"/>
          <w:b w:val="false"/>
          <w:bCs w:val="false"/>
          <w:i w:val="false"/>
          <w:iCs w:val="false"/>
          <w:color w:val="000000"/>
          <w:sz w:val="22"/>
          <w:szCs w:val="22"/>
        </w:rPr>
        <w:t xml:space="preserve">, 6(2), 123–139.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2026-03-21T10:17:59.277Z</dcterms:created>
  <dcterms:modified xsi:type="dcterms:W3CDTF">2026-03-21T10:17:59.278Z</dcterms:modified>
</cp:coreProperties>
</file>

<file path=docProps/custom.xml><?xml version="1.0" encoding="utf-8"?>
<Properties xmlns="http://schemas.openxmlformats.org/officeDocument/2006/custom-properties" xmlns:vt="http://schemas.openxmlformats.org/officeDocument/2006/docPropsVTypes"/>
</file>