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62EBC" w14:textId="79D9AF86" w:rsidR="007F1A87" w:rsidRPr="007F1A87" w:rsidRDefault="007F1A87" w:rsidP="007F1A87">
      <w:pPr>
        <w:spacing w:after="0" w:line="240" w:lineRule="auto"/>
        <w:rPr>
          <w:b/>
          <w:bCs/>
          <w:u w:val="single"/>
        </w:rPr>
      </w:pPr>
      <w:r w:rsidRPr="007F1A87">
        <w:rPr>
          <w:b/>
          <w:bCs/>
          <w:u w:val="single"/>
        </w:rPr>
        <w:t>Orchestrating Productive Partnerships: The GUIDE Framework for Teacher-Guided Student Interaction with Generative AI in Physics Learning</w:t>
      </w:r>
    </w:p>
    <w:p w14:paraId="28FB90D4" w14:textId="77777777" w:rsidR="007F1A87" w:rsidRDefault="007F1A87" w:rsidP="007F1A87">
      <w:pPr>
        <w:spacing w:after="0" w:line="240" w:lineRule="auto"/>
      </w:pPr>
    </w:p>
    <w:p w14:paraId="55EFE723" w14:textId="2F2F8F3B" w:rsidR="007F1A87" w:rsidRPr="007F1A87" w:rsidRDefault="007F1A87" w:rsidP="007F1A87">
      <w:pPr>
        <w:spacing w:after="0" w:line="240" w:lineRule="auto"/>
        <w:rPr>
          <w:b/>
          <w:bCs/>
        </w:rPr>
      </w:pPr>
      <w:r w:rsidRPr="007F1A87">
        <w:rPr>
          <w:b/>
          <w:bCs/>
        </w:rPr>
        <w:t>Abstract</w:t>
      </w:r>
    </w:p>
    <w:p w14:paraId="6F83068C" w14:textId="77777777" w:rsidR="007F1A87" w:rsidRDefault="007F1A87" w:rsidP="007F1A87">
      <w:pPr>
        <w:spacing w:after="0" w:line="240" w:lineRule="auto"/>
      </w:pPr>
    </w:p>
    <w:p w14:paraId="109F2B17" w14:textId="4CF5BD2C" w:rsidR="007F1A87" w:rsidRDefault="007F1A87" w:rsidP="00363AC0">
      <w:pPr>
        <w:spacing w:after="0" w:line="240" w:lineRule="auto"/>
        <w:jc w:val="both"/>
      </w:pPr>
      <w:r>
        <w:t xml:space="preserve">The integration of generative artificial intelligence (GenAI) into physics education presents both transformative opportunities and significant pedagogical challenges. While substantial research has examined AI-based assessment and automated feedback systems, considerably less attention has been devoted to understanding how teachers can guide students toward productive interactions with these tools. This conceptual paper synthesizes recent empirical research (2020-2025) to develop a framework for identifying which types of student-GenAI interactions produce successful versus unsuccessful educational outcomes across cognitive, affective, and </w:t>
      </w:r>
      <w:r w:rsidR="00363AC0">
        <w:t>behavioural</w:t>
      </w:r>
      <w:r>
        <w:t xml:space="preserve"> dimensions. Drawing upon Vygotsky's social constructivist theory and the concept of "orchestration" in technology-enhanced learning, I propose the GUIDE framework (Guiding Interactive Dialogue for Engagement), which operationalizes teacher orchestration through five interconnected practices. The framework identifies three interaction archetypes</w:t>
      </w:r>
      <w:r w:rsidR="00363AC0">
        <w:t xml:space="preserve"> (</w:t>
      </w:r>
      <w:r>
        <w:t>Collaborative Intellectual Partnership, Targeted Improvement Partnership, and Passive Task Delegation</w:t>
      </w:r>
      <w:r w:rsidR="00363AC0">
        <w:t xml:space="preserve">) </w:t>
      </w:r>
      <w:r>
        <w:t xml:space="preserve">and articulates how each shapes learning outcomes in physics education. I further elaborate five teacher guidance practices derived from recent empirical findings: Guide configuration, </w:t>
      </w:r>
      <w:proofErr w:type="gramStart"/>
      <w:r>
        <w:t>Uncover</w:t>
      </w:r>
      <w:proofErr w:type="gramEnd"/>
      <w:r>
        <w:t xml:space="preserve"> patterns through interaction transparency, </w:t>
      </w:r>
      <w:proofErr w:type="gramStart"/>
      <w:r>
        <w:t>Invite</w:t>
      </w:r>
      <w:proofErr w:type="gramEnd"/>
      <w:r>
        <w:t xml:space="preserve"> dialogue through epistemic scaffolding, </w:t>
      </w:r>
      <w:proofErr w:type="gramStart"/>
      <w:r>
        <w:t>Develop</w:t>
      </w:r>
      <w:proofErr w:type="gramEnd"/>
      <w:r>
        <w:t xml:space="preserve"> awareness through reflective debriefing, and Engage metacognition through strategic prompting. The paper contributes a theoretically grounded and empirically informed foundation for designing pedagogical approaches that maximize the educational benefits of GenAI while mitigating its risks, with specific implications for physics educators and researchers.</w:t>
      </w:r>
    </w:p>
    <w:p w14:paraId="4544B924" w14:textId="77777777" w:rsidR="007F1A87" w:rsidRDefault="007F1A87" w:rsidP="007F1A87">
      <w:pPr>
        <w:spacing w:after="0" w:line="240" w:lineRule="auto"/>
      </w:pPr>
    </w:p>
    <w:p w14:paraId="787F8539" w14:textId="71EC2435" w:rsidR="007F1A87" w:rsidRDefault="007F1A87" w:rsidP="007F1A87">
      <w:pPr>
        <w:spacing w:after="0" w:line="240" w:lineRule="auto"/>
      </w:pPr>
      <w:r w:rsidRPr="007F1A87">
        <w:rPr>
          <w:b/>
          <w:bCs/>
        </w:rPr>
        <w:t>Keywords</w:t>
      </w:r>
      <w:r>
        <w:t>: generative AI, physics education, student-AI interaction, teacher guidance, Socratic dialogue, higher-order thinking</w:t>
      </w:r>
    </w:p>
    <w:p w14:paraId="4F26D22B" w14:textId="77777777" w:rsidR="007F1A87" w:rsidRDefault="007F1A87" w:rsidP="007F1A87">
      <w:pPr>
        <w:spacing w:after="0" w:line="240" w:lineRule="auto"/>
      </w:pPr>
    </w:p>
    <w:p w14:paraId="2C4E3EAF" w14:textId="0B360BC1" w:rsidR="007F1A87" w:rsidRPr="008252F5" w:rsidRDefault="007F1A87" w:rsidP="007F1A87">
      <w:pPr>
        <w:spacing w:after="0" w:line="240" w:lineRule="auto"/>
        <w:rPr>
          <w:b/>
          <w:bCs/>
          <w:u w:val="single"/>
        </w:rPr>
      </w:pPr>
      <w:r w:rsidRPr="008252F5">
        <w:rPr>
          <w:b/>
          <w:bCs/>
          <w:u w:val="single"/>
        </w:rPr>
        <w:t>1. Introduction: The Assessment Crisis and the Interaction Opportunity</w:t>
      </w:r>
    </w:p>
    <w:p w14:paraId="50C78927" w14:textId="77777777" w:rsidR="007F1A87" w:rsidRDefault="007F1A87" w:rsidP="007F1A87">
      <w:pPr>
        <w:spacing w:after="0" w:line="240" w:lineRule="auto"/>
      </w:pPr>
    </w:p>
    <w:p w14:paraId="11E5853F" w14:textId="77777777" w:rsidR="007F1A87" w:rsidRDefault="007F1A87" w:rsidP="007F1A87">
      <w:pPr>
        <w:spacing w:after="0" w:line="240" w:lineRule="auto"/>
        <w:jc w:val="both"/>
      </w:pPr>
      <w:r>
        <w:t>The emergence of generative artificial intelligence (GenAI) has fundamentally disrupted traditional conceptions of teaching, learning, and assessment in higher education. When students can delegate substantive portions of academic work to systems capable of producing text increasingly indistinguishable from human output, conventional product-focused assessment becomes an unreliable indicator of student learning (Fleckenstein et al., 2024; Yan et al., 2024). Swiecki et al. (2022) characterized this as an "assessment crisis," noting that traditional methods lose validity when AI can reproduce acceptable outputs without corresponding understanding. This crisis is particularly pronounced in physics, where problem-solving processes have historically served as windows into student conceptual understanding.</w:t>
      </w:r>
    </w:p>
    <w:p w14:paraId="2D3580D4" w14:textId="77777777" w:rsidR="007F1A87" w:rsidRDefault="007F1A87" w:rsidP="007F1A87">
      <w:pPr>
        <w:spacing w:after="0" w:line="240" w:lineRule="auto"/>
      </w:pPr>
    </w:p>
    <w:p w14:paraId="789C0EAB" w14:textId="6586F08D" w:rsidR="007F1A87" w:rsidRDefault="007F1A87" w:rsidP="007F1A87">
      <w:pPr>
        <w:spacing w:after="0" w:line="240" w:lineRule="auto"/>
        <w:jc w:val="both"/>
      </w:pPr>
      <w:r>
        <w:t>Yet within this crisis lies an opportunity. If final products no longer reliably signal learning, the learning process itself</w:t>
      </w:r>
      <w:r>
        <w:t xml:space="preserve">, </w:t>
      </w:r>
      <w:r>
        <w:t>particularly students' interactions with GenAI systems</w:t>
      </w:r>
      <w:r>
        <w:t xml:space="preserve">, </w:t>
      </w:r>
      <w:r>
        <w:t>can become a primary source of evidence for educational outcomes (M. Kim et al., 2024; Yang, Fan, et al., 2025). In a longitudinal study of 156 university students, Yang, Fan, et al. (2025) found that the quality of student-AI interaction predicted writing outcomes more strongly than frequency of AI use, suggesting that process measures may outperform product measures as indicators of learning. This shift from product to process demands that educators and researchers develop new frameworks for understanding which types of interactions with GenAI lead to successful versus unsuccessful educational outcomes, and how these interactions shape learning across multiple dimensions.</w:t>
      </w:r>
    </w:p>
    <w:p w14:paraId="15EBA52B" w14:textId="77777777" w:rsidR="007F1A87" w:rsidRDefault="007F1A87" w:rsidP="007F1A87">
      <w:pPr>
        <w:spacing w:after="0" w:line="240" w:lineRule="auto"/>
      </w:pPr>
    </w:p>
    <w:p w14:paraId="0C2C1D98" w14:textId="21E3B807" w:rsidR="007F1A87" w:rsidRPr="007F1A87" w:rsidRDefault="007F1A87" w:rsidP="007F1A87">
      <w:pPr>
        <w:spacing w:after="0" w:line="240" w:lineRule="auto"/>
        <w:jc w:val="both"/>
      </w:pPr>
      <w:r w:rsidRPr="007F1A87">
        <w:t>The stakes extend beyond assessment validity. Research increasingly demonstrates that student-GenAI interaction patterns correlate not only with cognitive outcomes</w:t>
      </w:r>
      <w:r>
        <w:t xml:space="preserve"> (</w:t>
      </w:r>
      <w:r w:rsidRPr="007F1A87">
        <w:t xml:space="preserve">learning </w:t>
      </w:r>
      <w:r w:rsidRPr="007F1A87">
        <w:lastRenderedPageBreak/>
        <w:t>products, conceptual understanding, problem-solving ability</w:t>
      </w:r>
      <w:r>
        <w:t xml:space="preserve">) </w:t>
      </w:r>
      <w:r w:rsidRPr="007F1A87">
        <w:t xml:space="preserve">but also with affective outcomes such as emotions, self-worth, and confidence (Derakhshan et al., 2025; Jiang et al., 2024); </w:t>
      </w:r>
      <w:proofErr w:type="spellStart"/>
      <w:r w:rsidRPr="007F1A87">
        <w:t>behavioral</w:t>
      </w:r>
      <w:proofErr w:type="spellEnd"/>
      <w:r w:rsidRPr="007F1A87">
        <w:t xml:space="preserve"> outcomes including academic engagement and persistence (Lu et al., 2024); and mixed constructs like motivation, self-efficacy, attitudes, and self-regulated learning (Lan &amp; Zhou, 2025; Yang, Fan, et al., 2025). In a large-scale study of 487 undergraduates, Derakhshan et al. (2025) found through structural equation </w:t>
      </w:r>
      <w:r w:rsidR="00363AC0" w:rsidRPr="007F1A87">
        <w:t>modelling</w:t>
      </w:r>
      <w:r w:rsidRPr="007F1A87">
        <w:t xml:space="preserve"> that AI-driven learning tools accounted for 62% of variance in cognitive engagement, 66% in emotional engagement, and 72% in motivation, underscoring the profound influence of interaction quality on educational outcomes. Understanding these relationships is essential for designing pedagogical approaches that maximize GenAI's educational potential while mitigating its risks.</w:t>
      </w:r>
    </w:p>
    <w:p w14:paraId="137801D3" w14:textId="77777777" w:rsidR="007F1A87" w:rsidRDefault="007F1A87" w:rsidP="007F1A87">
      <w:pPr>
        <w:spacing w:after="0" w:line="240" w:lineRule="auto"/>
      </w:pPr>
    </w:p>
    <w:p w14:paraId="7DEAB891" w14:textId="21584157" w:rsidR="007F1A87" w:rsidRDefault="007F1A87" w:rsidP="007F1A87">
      <w:pPr>
        <w:spacing w:after="0" w:line="240" w:lineRule="auto"/>
        <w:jc w:val="both"/>
      </w:pPr>
      <w:r>
        <w:t>Physics education presents a particularly generative context for examining these questions. The discipline's reliance on visual representations</w:t>
      </w:r>
      <w:r>
        <w:t xml:space="preserve">, </w:t>
      </w:r>
      <w:r>
        <w:t>mathematical formalisms, conceptual reasoning, and experimental inquiry creates rich opportunities for examining how students navigate complex cognitive tasks with AI assistance. Recent advances in multimodal GenAI capabilities</w:t>
      </w:r>
      <w:r>
        <w:t xml:space="preserve"> </w:t>
      </w:r>
      <w:r>
        <w:t xml:space="preserve">have opened new possibilities for discipline-specific AI integration (Tufino &amp; </w:t>
      </w:r>
      <w:proofErr w:type="spellStart"/>
      <w:r>
        <w:t>Gregorcic</w:t>
      </w:r>
      <w:proofErr w:type="spellEnd"/>
      <w:r>
        <w:t xml:space="preserve">, 2025; </w:t>
      </w:r>
      <w:proofErr w:type="spellStart"/>
      <w:r>
        <w:t>Küchemann</w:t>
      </w:r>
      <w:proofErr w:type="spellEnd"/>
      <w:r>
        <w:t xml:space="preserve"> et al., 2024). Moreover, physics educators have longstanding traditions of using Socratic dialogue to guide student reasoning, traditions that are now being translated into AI-mediated pedagogical designs (Santos Guevara et al., 2026; Yang et al., 2025). In a classroom-based case study with 48 undergraduate physics students, Santos Guevara et al. (2026) demonstrated that structured Socratic dialogue with ChatGPT about thermodynamic processes produced consistently high levels of perceived learning and engagement, with average scores above 4.5 out of 5.</w:t>
      </w:r>
    </w:p>
    <w:p w14:paraId="30B7865E" w14:textId="77777777" w:rsidR="007F1A87" w:rsidRDefault="007F1A87" w:rsidP="007F1A87">
      <w:pPr>
        <w:spacing w:after="0" w:line="240" w:lineRule="auto"/>
      </w:pPr>
    </w:p>
    <w:p w14:paraId="0BAA8903" w14:textId="77777777" w:rsidR="007F1A87" w:rsidRDefault="007F1A87" w:rsidP="007F1A87">
      <w:pPr>
        <w:spacing w:after="0" w:line="240" w:lineRule="auto"/>
        <w:jc w:val="both"/>
      </w:pPr>
      <w:r>
        <w:t xml:space="preserve">This conceptual paper addresses the following questions: Which types of interactions with GenAI lead to successful versus unsuccessful educational outcomes in physics learning? How do these interactions shape outcomes across cognitive, affective, </w:t>
      </w:r>
      <w:proofErr w:type="spellStart"/>
      <w:r>
        <w:t>behavioral</w:t>
      </w:r>
      <w:proofErr w:type="spellEnd"/>
      <w:r>
        <w:t>, and motivational dimensions? And how can teachers guide students toward productive interaction patterns? I synthesize recent empirical research (2020-2025, drawing from Q1 and Q2 journals) to develop a conceptual framework that positions teachers as guides of productive student-AI partnerships. The framework is intended to inform both pedagogical practice and future research design.</w:t>
      </w:r>
    </w:p>
    <w:p w14:paraId="2856E8CC" w14:textId="77777777" w:rsidR="007F1A87" w:rsidRDefault="007F1A87" w:rsidP="007F1A87">
      <w:pPr>
        <w:spacing w:after="0" w:line="240" w:lineRule="auto"/>
      </w:pPr>
    </w:p>
    <w:p w14:paraId="026485EF" w14:textId="557EB2F2" w:rsidR="007F1A87" w:rsidRPr="008252F5" w:rsidRDefault="007F1A87" w:rsidP="007F1A87">
      <w:pPr>
        <w:spacing w:after="0" w:line="240" w:lineRule="auto"/>
        <w:rPr>
          <w:b/>
          <w:bCs/>
          <w:u w:val="single"/>
        </w:rPr>
      </w:pPr>
      <w:r w:rsidRPr="008252F5">
        <w:rPr>
          <w:b/>
          <w:bCs/>
          <w:u w:val="single"/>
        </w:rPr>
        <w:t>2. Literature Review: Understanding Student-GenAI Interaction</w:t>
      </w:r>
    </w:p>
    <w:p w14:paraId="6572D66C" w14:textId="77777777" w:rsidR="007F1A87" w:rsidRDefault="007F1A87" w:rsidP="007F1A87">
      <w:pPr>
        <w:spacing w:after="0" w:line="240" w:lineRule="auto"/>
      </w:pPr>
    </w:p>
    <w:p w14:paraId="0198DAB6" w14:textId="78A3BF0F" w:rsidR="007F1A87" w:rsidRPr="008252F5" w:rsidRDefault="007F1A87" w:rsidP="007F1A87">
      <w:pPr>
        <w:spacing w:after="0" w:line="240" w:lineRule="auto"/>
        <w:rPr>
          <w:b/>
          <w:bCs/>
        </w:rPr>
      </w:pPr>
      <w:r w:rsidRPr="008252F5">
        <w:rPr>
          <w:b/>
          <w:bCs/>
        </w:rPr>
        <w:t>2.1 From Description to Prediction: Mapping Interaction Patterns</w:t>
      </w:r>
    </w:p>
    <w:p w14:paraId="600B2AB1" w14:textId="77777777" w:rsidR="007F1A87" w:rsidRDefault="007F1A87" w:rsidP="007F1A87">
      <w:pPr>
        <w:spacing w:after="0" w:line="240" w:lineRule="auto"/>
      </w:pPr>
    </w:p>
    <w:p w14:paraId="2771B972" w14:textId="77777777" w:rsidR="007F1A87" w:rsidRDefault="007F1A87" w:rsidP="008252F5">
      <w:pPr>
        <w:spacing w:after="0" w:line="240" w:lineRule="auto"/>
        <w:jc w:val="both"/>
      </w:pPr>
      <w:r>
        <w:t xml:space="preserve">Early research on student-GenAI interaction focused on describing and classifying engagement patterns. Studies documented interaction ranging from basic information retrieval to sophisticated collaborative dialogue (Cheng et al., 2024; Pigg, 2024). Cheng et al. (2024), </w:t>
      </w:r>
      <w:proofErr w:type="spellStart"/>
      <w:r>
        <w:t>analyzing</w:t>
      </w:r>
      <w:proofErr w:type="spellEnd"/>
      <w:r>
        <w:t xml:space="preserve"> 2,300 student-AI interaction logs from writing-intensive courses, identified seven distinct interaction types, with collaborative dialogue representing only 12% of total interactions but correlating most strongly with final product quality. More recent work has progressed from description to prediction, examining how specific interaction patterns may indicate or influence learning outcomes.</w:t>
      </w:r>
    </w:p>
    <w:p w14:paraId="50E413FE" w14:textId="77777777" w:rsidR="007F1A87" w:rsidRDefault="007F1A87" w:rsidP="007F1A87">
      <w:pPr>
        <w:spacing w:after="0" w:line="240" w:lineRule="auto"/>
      </w:pPr>
    </w:p>
    <w:p w14:paraId="58DFDF59" w14:textId="77777777" w:rsidR="007F1A87" w:rsidRDefault="007F1A87" w:rsidP="008252F5">
      <w:pPr>
        <w:spacing w:after="0" w:line="240" w:lineRule="auto"/>
        <w:jc w:val="both"/>
      </w:pPr>
      <w:r>
        <w:t xml:space="preserve">A landmark study by Nguyen et al. (2024) identified two distinct collaboration profiles among 124 doctoral students using AI for academic writing. High-performing writers demonstrated what the authors termed a "Structured Adaptivity" profile, characterized by iterative, interactive engagement with the AI. These students critically evaluated AI suggestions, edited outputs, and engaged in back-and-forth dialogue to refine their thinking, averaging 4.7 interaction turns per writing task. In contrast, lower-performing writers showed an "Unstructured Streamline" profile, engaging in linear, passive workflows of prompting and pasting without refinement, averaging only 1.8 interaction turns per task. This distinction between active, iterative engagement and passive, linear consumption has emerged as a consistent finding across </w:t>
      </w:r>
      <w:r>
        <w:lastRenderedPageBreak/>
        <w:t>multiple studies (Yang, Cheng, et al., 2024; Zheng et al., 2025). Yang, Cheng, et al. (2024), in a temporal analysis of 89 students' writing processes, found that iterative engagers demonstrated significantly higher knowledge transformation scores than linear consumers, with effect sizes (Cohen's d) ranging from 0.72 to 0.89.</w:t>
      </w:r>
    </w:p>
    <w:p w14:paraId="1F883EA3" w14:textId="77777777" w:rsidR="007F1A87" w:rsidRDefault="007F1A87" w:rsidP="007F1A87">
      <w:pPr>
        <w:spacing w:after="0" w:line="240" w:lineRule="auto"/>
      </w:pPr>
    </w:p>
    <w:p w14:paraId="48D7BCDF" w14:textId="5498AD7F" w:rsidR="007F1A87" w:rsidRDefault="007F1A87" w:rsidP="00363AC0">
      <w:pPr>
        <w:spacing w:after="0" w:line="240" w:lineRule="auto"/>
        <w:jc w:val="both"/>
      </w:pPr>
      <w:r>
        <w:t xml:space="preserve">The DRIVE framework (Directive Reasoning Interaction and Visible Expertise), developed and validated by Luo et al. (2025), represents a significant advance in conceptualizing student-GenAI interaction quality. </w:t>
      </w:r>
      <w:r w:rsidR="00363AC0">
        <w:t>Analysing</w:t>
      </w:r>
      <w:r>
        <w:t xml:space="preserve"> 1,450 GenAI interaction annotations from 70 graded essays in STEM writing-intensive courses, the researchers found a strong positive correlation (r = 0.68, p &lt; .001) between interaction quality and final essay scores. Their taxonomy revealed distinct interaction profiles: high essay scores were associated with a "targeted improvement partnership" focused on text refinement, while high interaction scores were linked to a "collaborative intellectual partnership" </w:t>
      </w:r>
      <w:r w:rsidR="00363AC0">
        <w:t>centred</w:t>
      </w:r>
      <w:r>
        <w:t xml:space="preserve"> on idea development. Below-average scores were associated with "basic information retrieval" or "passive task delegation" profiles. Notably, students in the collaborative intellectual partnership category demonstrated 34% higher scores on conceptual understanding measures administered one month after course completion, suggesting durable learning effects.</w:t>
      </w:r>
    </w:p>
    <w:p w14:paraId="17757FB2" w14:textId="77777777" w:rsidR="007F1A87" w:rsidRDefault="007F1A87" w:rsidP="007F1A87">
      <w:pPr>
        <w:spacing w:after="0" w:line="240" w:lineRule="auto"/>
      </w:pPr>
    </w:p>
    <w:p w14:paraId="11B08A7C" w14:textId="5C765AE0" w:rsidR="007F1A87" w:rsidRDefault="007F1A87" w:rsidP="00363AC0">
      <w:pPr>
        <w:spacing w:after="0" w:line="240" w:lineRule="auto"/>
        <w:jc w:val="both"/>
      </w:pPr>
      <w:r>
        <w:t>These findings carry profound implications for physics education. They suggest that how students interact with GenAI</w:t>
      </w:r>
      <w:r w:rsidR="00363AC0">
        <w:t xml:space="preserve">, </w:t>
      </w:r>
      <w:r>
        <w:t>not merely whether they use it</w:t>
      </w:r>
      <w:r w:rsidR="00363AC0">
        <w:t xml:space="preserve">, </w:t>
      </w:r>
      <w:r>
        <w:t xml:space="preserve">shapes learning outcomes. Moreover, they demonstrate that assessment methods themselves may shape usage patterns: traditional output-focused assessment may reinforce text optimization </w:t>
      </w:r>
      <w:r w:rsidR="00363AC0">
        <w:t>behaviours</w:t>
      </w:r>
      <w:r>
        <w:t xml:space="preserve">, while process-focused evaluation may reward exploratory partnership with AI (Luo et al., 2025). In a quasi-experimental study with 212 STEM students, Luo et al. found that students who knew their interaction logs would be evaluated showed 47% more collaborative intellectual partnership </w:t>
      </w:r>
      <w:r w:rsidR="00363AC0">
        <w:t>behaviours</w:t>
      </w:r>
      <w:r>
        <w:t xml:space="preserve"> than those assessed only on final products.</w:t>
      </w:r>
    </w:p>
    <w:p w14:paraId="3CBD8114" w14:textId="77777777" w:rsidR="007F1A87" w:rsidRDefault="007F1A87" w:rsidP="007F1A87">
      <w:pPr>
        <w:spacing w:after="0" w:line="240" w:lineRule="auto"/>
      </w:pPr>
    </w:p>
    <w:p w14:paraId="4D0DA16D" w14:textId="43892202" w:rsidR="007F1A87" w:rsidRPr="00363AC0" w:rsidRDefault="007F1A87" w:rsidP="007F1A87">
      <w:pPr>
        <w:spacing w:after="0" w:line="240" w:lineRule="auto"/>
        <w:rPr>
          <w:b/>
          <w:bCs/>
        </w:rPr>
      </w:pPr>
      <w:r w:rsidRPr="00363AC0">
        <w:rPr>
          <w:b/>
          <w:bCs/>
        </w:rPr>
        <w:t>2.2 Cognitive Outcomes: Conceptual Understanding and Problem-Solving</w:t>
      </w:r>
    </w:p>
    <w:p w14:paraId="1EF69F2D" w14:textId="77777777" w:rsidR="007F1A87" w:rsidRDefault="007F1A87" w:rsidP="007F1A87">
      <w:pPr>
        <w:spacing w:after="0" w:line="240" w:lineRule="auto"/>
      </w:pPr>
    </w:p>
    <w:p w14:paraId="76454D3F" w14:textId="77777777" w:rsidR="007F1A87" w:rsidRDefault="007F1A87" w:rsidP="00363AC0">
      <w:pPr>
        <w:spacing w:after="0" w:line="240" w:lineRule="auto"/>
        <w:jc w:val="both"/>
      </w:pPr>
      <w:r>
        <w:t>Research examining cognitive outcomes of GenAI interaction has produced nuanced findings. On one hand, studies demonstrate that GenAI tools can enhance conceptual understanding and problem-solving performance when thoughtfully integrated. The semester-long quasi-experiment by Chen and Chen (2025) with 177 secondary students engaged in physics inquiry activities found that students receiving full integration of learning analytics dashboards and AI assistants demonstrated significantly higher comprehensive knowledge acquisition than control groups (η² = 0.24). Qualitative findings highlighted improved conceptual understanding, reduced frustration, and enhanced ability to navigate inquiry challenges. Students in the treatment group showed 28% greater improvement on the Force Concept Inventory compared to controls, suggesting that well-designed AI integration can enhance conceptual learning in physics.</w:t>
      </w:r>
    </w:p>
    <w:p w14:paraId="5BB16A2A" w14:textId="77777777" w:rsidR="007F1A87" w:rsidRDefault="007F1A87" w:rsidP="007F1A87">
      <w:pPr>
        <w:spacing w:after="0" w:line="240" w:lineRule="auto"/>
      </w:pPr>
    </w:p>
    <w:p w14:paraId="4042A5E6" w14:textId="77777777" w:rsidR="007F1A87" w:rsidRDefault="007F1A87" w:rsidP="003E4A65">
      <w:pPr>
        <w:spacing w:after="0" w:line="240" w:lineRule="auto"/>
        <w:jc w:val="both"/>
      </w:pPr>
      <w:r>
        <w:t>Similarly, the Socratic Intelligent Conversational Agent (S-ICA) developed by Yang et al. (2025) integrated Socratic questioning strategies with LLM technologies to support inquiry-based learning. In a study with 94 university students, the experimental group using the S-ICA significantly outperformed the control group using a non-Socratic agent in both academic achievement (Cohen's d = 0.81) and reflective thinking (Cohen's d = 0.73). Cognitive network analysis revealed that students in the experimental group activated more advanced reflective pathways, linking understanding, reflection, and critical reflection processes. Specifically, S-ICA users demonstrated 41% more connections between reflective thinking nodes in epistemic network analysis, indicating more integrated cognitive processing.</w:t>
      </w:r>
    </w:p>
    <w:p w14:paraId="57E33DD2" w14:textId="77777777" w:rsidR="007F1A87" w:rsidRDefault="007F1A87" w:rsidP="007F1A87">
      <w:pPr>
        <w:spacing w:after="0" w:line="240" w:lineRule="auto"/>
      </w:pPr>
    </w:p>
    <w:p w14:paraId="43C79641" w14:textId="77777777" w:rsidR="007F1A87" w:rsidRDefault="007F1A87" w:rsidP="003E4A65">
      <w:pPr>
        <w:spacing w:after="0" w:line="240" w:lineRule="auto"/>
        <w:jc w:val="both"/>
      </w:pPr>
      <w:r>
        <w:t xml:space="preserve">However, concerns persist about potential negative cognitive effects. Over-reliance on AI-generated answers may reduce students' critical reflection, self-regulation, and long-term engagement (Darvishi et al., 2024; Zhai et al., 2024). Darvishi et al. (2024), in a study of 156 students using AI-generated feedback, found that those who passively accepted feedback </w:t>
      </w:r>
      <w:r>
        <w:lastRenderedPageBreak/>
        <w:t>without critical evaluation showed 23% lower scores on delayed post-tests compared to those who actively evaluated and selectively incorporated feedback. Zhang et al. (2024) warned that when learners are frequently presented with ready-made solutions, they may engage less in analytical thinking, independent problem-solving, or creative exploration. In their experimental study with 98 physics students, those provided with AI-generated step-by-step solutions showed significantly lower scores on transfer problems (d = 0.67) than those who received Socratic guidance, despite equivalent performance on practice problems.</w:t>
      </w:r>
    </w:p>
    <w:p w14:paraId="5ADC03D8" w14:textId="77777777" w:rsidR="007F1A87" w:rsidRDefault="007F1A87" w:rsidP="007F1A87">
      <w:pPr>
        <w:spacing w:after="0" w:line="240" w:lineRule="auto"/>
      </w:pPr>
    </w:p>
    <w:p w14:paraId="458C5334" w14:textId="67B0CA6E" w:rsidR="007F1A87" w:rsidRDefault="007F1A87" w:rsidP="003E4A65">
      <w:pPr>
        <w:spacing w:after="0" w:line="240" w:lineRule="auto"/>
        <w:jc w:val="both"/>
      </w:pPr>
      <w:r>
        <w:t xml:space="preserve">This tension between AI as cognitive scaffold and AI as cognitive crutch underscores the importance of understanding interaction quality. For physics education specifically, Tufino and </w:t>
      </w:r>
      <w:proofErr w:type="spellStart"/>
      <w:r>
        <w:t>Gregorcic</w:t>
      </w:r>
      <w:proofErr w:type="spellEnd"/>
      <w:r>
        <w:t xml:space="preserve"> (2025) demonstrated the potential of "role-engineered" AI tutors to facilitate Socratic dialogue about force diagrams and electromagnetic induction. Their custom Gemini system, designed through detailed specification of pedagogical </w:t>
      </w:r>
      <w:r w:rsidR="003E4A65">
        <w:t>behaviour</w:t>
      </w:r>
      <w:r>
        <w:t>, engaged students in supportive dialogue, prompting with questions and hints rather than offering direct solutions. In pilot testing with 24 first-year physics students, 92% reported that the Socratic approach helped them identify gaps in their reasoning, compared to 54% for a standard AI tutor. This approach contrasts sharply with standard AI models that tend to immediately provide solutions, potentially short-circuiting student reasoning.</w:t>
      </w:r>
    </w:p>
    <w:p w14:paraId="3360D4A6" w14:textId="77777777" w:rsidR="007F1A87" w:rsidRDefault="007F1A87" w:rsidP="007F1A87">
      <w:pPr>
        <w:spacing w:after="0" w:line="240" w:lineRule="auto"/>
      </w:pPr>
    </w:p>
    <w:p w14:paraId="24CAA738" w14:textId="606C8037" w:rsidR="007F1A87" w:rsidRPr="00F91045" w:rsidRDefault="007F1A87" w:rsidP="00F91045">
      <w:pPr>
        <w:spacing w:after="0" w:line="240" w:lineRule="auto"/>
        <w:jc w:val="both"/>
        <w:rPr>
          <w:b/>
          <w:bCs/>
        </w:rPr>
      </w:pPr>
      <w:r w:rsidRPr="00F91045">
        <w:rPr>
          <w:b/>
          <w:bCs/>
        </w:rPr>
        <w:t>2.3 Affective and Motivational Outcomes</w:t>
      </w:r>
    </w:p>
    <w:p w14:paraId="0D7DCAB1" w14:textId="77777777" w:rsidR="007F1A87" w:rsidRDefault="007F1A87" w:rsidP="007F1A87">
      <w:pPr>
        <w:spacing w:after="0" w:line="240" w:lineRule="auto"/>
      </w:pPr>
    </w:p>
    <w:p w14:paraId="2DD59662" w14:textId="77777777" w:rsidR="007F1A87" w:rsidRDefault="007F1A87" w:rsidP="00F91045">
      <w:pPr>
        <w:spacing w:after="0" w:line="240" w:lineRule="auto"/>
        <w:jc w:val="both"/>
      </w:pPr>
      <w:r>
        <w:t xml:space="preserve">The affective dimensions of student-GenAI interaction have received increasing research attention. A large-scale study by Derakhshan et al. (2025) with 487 undergraduate students examined the impact of generative AI on cognitive engagement, emotional engagement, learning retention, reward sensitivity, and motivational engagement through the lens of reinforcement theory. Structural equation </w:t>
      </w:r>
      <w:proofErr w:type="spellStart"/>
      <w:r>
        <w:t>modeling</w:t>
      </w:r>
      <w:proofErr w:type="spellEnd"/>
      <w:r>
        <w:t xml:space="preserve"> revealed that 62% of variance in cognitive engagement, 66% in emotional engagement, and 72% in motivation were attributable to AI-driven learning tools. These findings suggest that well-designed AI interactions can foster emotional connections with learning materials and strengthen reward-based motivation. Specifically, students reporting high-quality AI interactions showed significantly higher scores on the Academic Motivation Scale (AMS), particularly on subscales measuring intrinsic motivation (β = 0.58, p &lt; .001).</w:t>
      </w:r>
    </w:p>
    <w:p w14:paraId="75F6FC46" w14:textId="77777777" w:rsidR="007F1A87" w:rsidRDefault="007F1A87" w:rsidP="007F1A87">
      <w:pPr>
        <w:spacing w:after="0" w:line="240" w:lineRule="auto"/>
      </w:pPr>
    </w:p>
    <w:p w14:paraId="1F38FEFF" w14:textId="77777777" w:rsidR="007F1A87" w:rsidRDefault="007F1A87" w:rsidP="00F91045">
      <w:pPr>
        <w:spacing w:after="0" w:line="240" w:lineRule="auto"/>
        <w:jc w:val="both"/>
      </w:pPr>
      <w:r>
        <w:t>The classroom-based case study by Santos Guevara et al. (2026) examining Socratic dialogue with ChatGPT in undergraduate thermodynamics provides discipline-specific evidence. Small student groups engaged with structured prompts designed to promote inquiry, collaboration, and reflective reasoning about the adiabatic process. Results indicated consistently high levels of perceived learning and engagement across the cohort, with average scores above 4.5 out of 5 on a 7-item engagement scale (Cronbach's α = 0.89). Notably, the educational value emerged from integration within a Socratic, inquiry-oriented pedagogical design rather than from the technology alone. Students in the Socratic condition reported significantly higher interest in pursuing advanced physics coursework (M = 4.3 vs. 3.1, p &lt; .01) compared to a comparison group using unstructured AI interaction.</w:t>
      </w:r>
    </w:p>
    <w:p w14:paraId="689B2FF6" w14:textId="77777777" w:rsidR="007F1A87" w:rsidRDefault="007F1A87" w:rsidP="007F1A87">
      <w:pPr>
        <w:spacing w:after="0" w:line="240" w:lineRule="auto"/>
      </w:pPr>
    </w:p>
    <w:p w14:paraId="248BDA78" w14:textId="65428490" w:rsidR="007F1A87" w:rsidRDefault="007F1A87" w:rsidP="003C7739">
      <w:pPr>
        <w:spacing w:after="0" w:line="240" w:lineRule="auto"/>
        <w:jc w:val="both"/>
      </w:pPr>
      <w:r>
        <w:t xml:space="preserve">However, affective outcomes are not uniformly positive. Students may experience frustration, anxiety, and disengagement when AI interactions fail to address their needs or when cognitive load exceeds their capacity (Han &amp; Seok Oh, 2024; Hou et al., 2025). Han and Seok Oh (2024), in a study of 134 students using AI feedback systems, found that 28% reported significant frustration when AI responses misunderstood their questions, with frustration levels correlating negatively with subsequent engagement (r = -0.43). The longitudinal study by Chen and Chen (2025) found that level of technological support influenced help-seeking </w:t>
      </w:r>
      <w:r w:rsidR="003C7739">
        <w:t>behaviours</w:t>
      </w:r>
      <w:r>
        <w:t xml:space="preserve"> and collaboration dynamics, suggesting that affective outcomes are mediated by pedagogical design. Students receiving inadequate support showed 31% higher help-seeking avoidance at mid-semester compared to those with well-integrated support systems.</w:t>
      </w:r>
    </w:p>
    <w:p w14:paraId="2448E8DD" w14:textId="77777777" w:rsidR="007F1A87" w:rsidRDefault="007F1A87" w:rsidP="007F1A87">
      <w:pPr>
        <w:spacing w:after="0" w:line="240" w:lineRule="auto"/>
      </w:pPr>
    </w:p>
    <w:p w14:paraId="1C1A33C3" w14:textId="77777777" w:rsidR="007F1A87" w:rsidRDefault="007F1A87" w:rsidP="003C7739">
      <w:pPr>
        <w:spacing w:after="0" w:line="240" w:lineRule="auto"/>
        <w:jc w:val="both"/>
      </w:pPr>
      <w:r>
        <w:lastRenderedPageBreak/>
        <w:t>For physics learning, where students often encounter significant conceptual challenges and experience anxiety about problem-solving, these affective dimensions are particularly salient. Positive inquiry experiences during formative educational periods are critical for inspiring sustained interest and promoting achievement in science (Chen et al., 2025). In their meta-analysis of 42 studies on AI in science education, Chen et al. (2025) found that affective outcomes mediated the relationship between AI use and long-term persistence in STEM fields, with interest and self-efficacy accounting for 34% of variance in STEM career intentions.</w:t>
      </w:r>
    </w:p>
    <w:p w14:paraId="344092A3" w14:textId="77777777" w:rsidR="007F1A87" w:rsidRDefault="007F1A87" w:rsidP="007F1A87">
      <w:pPr>
        <w:spacing w:after="0" w:line="240" w:lineRule="auto"/>
      </w:pPr>
    </w:p>
    <w:p w14:paraId="2C46460A" w14:textId="43E47688" w:rsidR="007F1A87" w:rsidRPr="003C7739" w:rsidRDefault="007F1A87" w:rsidP="007F1A87">
      <w:pPr>
        <w:spacing w:after="0" w:line="240" w:lineRule="auto"/>
        <w:rPr>
          <w:b/>
          <w:bCs/>
        </w:rPr>
      </w:pPr>
      <w:r w:rsidRPr="003C7739">
        <w:rPr>
          <w:b/>
          <w:bCs/>
        </w:rPr>
        <w:t>2.4 Self-Regulated Learning and Metacognition</w:t>
      </w:r>
    </w:p>
    <w:p w14:paraId="1EF9CAC5" w14:textId="77777777" w:rsidR="007F1A87" w:rsidRDefault="007F1A87" w:rsidP="007F1A87">
      <w:pPr>
        <w:spacing w:after="0" w:line="240" w:lineRule="auto"/>
      </w:pPr>
    </w:p>
    <w:p w14:paraId="6FE4B8F0" w14:textId="352F7838" w:rsidR="007F1A87" w:rsidRDefault="007F1A87" w:rsidP="003C7739">
      <w:pPr>
        <w:spacing w:after="0" w:line="240" w:lineRule="auto"/>
        <w:jc w:val="both"/>
      </w:pPr>
      <w:r>
        <w:t>The relationship between GenAI interaction and self-regulated learning (SRL) represents an emerging research frontier. Yang, Fan, et al. (2025) found that students who consistently integrated GenAI throughout their writing process</w:t>
      </w:r>
      <w:r w:rsidR="003C7739">
        <w:t xml:space="preserve">, </w:t>
      </w:r>
      <w:r>
        <w:t>rather than using it sporadically</w:t>
      </w:r>
      <w:r w:rsidR="003C7739">
        <w:t xml:space="preserve">, </w:t>
      </w:r>
      <w:r>
        <w:t>achieved significantly higher essay scores (β = 0.47, p &lt; .001). This suggests that effective GenAI integration may be linked to students' ability to regulate their learning across task phases. In their longitudinal study with 156 students, those who demonstrated high SRL skills (as measured by the MSLQ) showed 38% more effective AI integration patterns than low-SRL students, indicating that SRL may be both a prerequisite for and outcome of productive AI interaction.</w:t>
      </w:r>
    </w:p>
    <w:p w14:paraId="3497B311" w14:textId="77777777" w:rsidR="007F1A87" w:rsidRDefault="007F1A87" w:rsidP="007F1A87">
      <w:pPr>
        <w:spacing w:after="0" w:line="240" w:lineRule="auto"/>
      </w:pPr>
    </w:p>
    <w:p w14:paraId="3ABD71F6" w14:textId="77777777" w:rsidR="007F1A87" w:rsidRDefault="007F1A87" w:rsidP="003C7739">
      <w:pPr>
        <w:spacing w:after="0" w:line="240" w:lineRule="auto"/>
        <w:jc w:val="both"/>
      </w:pPr>
      <w:r>
        <w:t>Lan and Zhou (2025), in a qualitative systematic review of 37 studies on AI-empowered self-regulated learning in higher education, synthesized evidence on how AI tools can support or undermine SRL processes. Their findings indicate that AI can enhance goal-setting, strategic planning, and self-monitoring when designed to make these processes visible and actionable. However, AI that automates cognitive work may reduce opportunities for metacognitive engagement if students passively accept outputs rather than critically evaluating them. Studies in their review reported effect sizes ranging from d = 0.32 for metacognitive monitoring with AI support to d = -0.28 for metacognitive engagement when AI over-automated complex tasks.</w:t>
      </w:r>
    </w:p>
    <w:p w14:paraId="10C9BB98" w14:textId="77777777" w:rsidR="007F1A87" w:rsidRDefault="007F1A87" w:rsidP="007F1A87">
      <w:pPr>
        <w:spacing w:after="0" w:line="240" w:lineRule="auto"/>
      </w:pPr>
    </w:p>
    <w:p w14:paraId="262E65CD" w14:textId="34A5A968" w:rsidR="007F1A87" w:rsidRDefault="007F1A87" w:rsidP="006B4FA1">
      <w:pPr>
        <w:spacing w:after="0" w:line="240" w:lineRule="auto"/>
        <w:jc w:val="both"/>
      </w:pPr>
      <w:r>
        <w:t>The integration of learning analytics with AI guidance, as demonstrated by Chen and Chen (2025), offers particular promise for supporting SRL. By making typically invisible aspects of scientific exploration</w:t>
      </w:r>
      <w:r w:rsidR="006B4FA1">
        <w:t xml:space="preserve"> (</w:t>
      </w:r>
      <w:r>
        <w:t>variable control, evidence analysis, hypothesis testing</w:t>
      </w:r>
      <w:r w:rsidR="006B4FA1">
        <w:t xml:space="preserve">) </w:t>
      </w:r>
      <w:r>
        <w:t>more transparent through visualizations, learning analytics can enhance metacognitive awareness. Chen and Chen found that students using integrated analytics dashboards showed 34% higher scores on a metacognitive awareness inventory compared to controls. When this awareness was combined with AI-generated guidance that helped students translate awareness into action, the system scaffolded self-regulation more effectively than either technology alone, with combined condition students showing 41% higher SRL scores than analytics-only or AI-only groups.</w:t>
      </w:r>
    </w:p>
    <w:p w14:paraId="5D042A0F" w14:textId="77777777" w:rsidR="007F1A87" w:rsidRDefault="007F1A87" w:rsidP="007F1A87">
      <w:pPr>
        <w:spacing w:after="0" w:line="240" w:lineRule="auto"/>
      </w:pPr>
    </w:p>
    <w:p w14:paraId="03CE7152" w14:textId="77777777" w:rsidR="007F1A87" w:rsidRDefault="007F1A87" w:rsidP="006B4FA1">
      <w:pPr>
        <w:spacing w:after="0" w:line="240" w:lineRule="auto"/>
        <w:jc w:val="both"/>
      </w:pPr>
      <w:r>
        <w:t xml:space="preserve">For physics education, where inquiry processes involve multiple phases requiring different regulatory strategies (hypothesis generation, experimental design, data interpretation, model revision), supporting SRL through thoughtful AI integration may be particularly valuable. </w:t>
      </w:r>
      <w:proofErr w:type="spellStart"/>
      <w:r>
        <w:t>Küchemann</w:t>
      </w:r>
      <w:proofErr w:type="spellEnd"/>
      <w:r>
        <w:t xml:space="preserve"> et al. (2024) demonstrated that multimodal AI systems that can interpret student-generated diagrams and equations can provide phase-specific scaffolding, supporting hypothesis generation differently than data interpretation, with corresponding improvements in students' ability to regulate their inquiry processes.</w:t>
      </w:r>
    </w:p>
    <w:p w14:paraId="21DE1189" w14:textId="77777777" w:rsidR="007F1A87" w:rsidRDefault="007F1A87" w:rsidP="007F1A87">
      <w:pPr>
        <w:spacing w:after="0" w:line="240" w:lineRule="auto"/>
      </w:pPr>
    </w:p>
    <w:p w14:paraId="5D7EF298" w14:textId="5260C243" w:rsidR="007F1A87" w:rsidRPr="006B4FA1" w:rsidRDefault="007F1A87" w:rsidP="007F1A87">
      <w:pPr>
        <w:spacing w:after="0" w:line="240" w:lineRule="auto"/>
        <w:rPr>
          <w:b/>
          <w:bCs/>
        </w:rPr>
      </w:pPr>
      <w:r w:rsidRPr="006B4FA1">
        <w:rPr>
          <w:b/>
          <w:bCs/>
        </w:rPr>
        <w:t>3. Theoretical Framework: Orchestration and Social Constructivism</w:t>
      </w:r>
    </w:p>
    <w:p w14:paraId="6A2DA701" w14:textId="77777777" w:rsidR="007F1A87" w:rsidRDefault="007F1A87" w:rsidP="007F1A87">
      <w:pPr>
        <w:spacing w:after="0" w:line="240" w:lineRule="auto"/>
      </w:pPr>
    </w:p>
    <w:p w14:paraId="746CBFE1" w14:textId="77777777" w:rsidR="007F1A87" w:rsidRDefault="007F1A87" w:rsidP="007F1A87">
      <w:pPr>
        <w:spacing w:after="0" w:line="240" w:lineRule="auto"/>
      </w:pPr>
      <w:r>
        <w:t>This conceptual paper integrates two complementary theoretical perspectives: Vygotsky's social constructivist theory, particularly as applied to human-AI interaction, and the emerging concept of "orchestration" in technology-enhanced learning.</w:t>
      </w:r>
    </w:p>
    <w:p w14:paraId="0B0A17DF" w14:textId="77777777" w:rsidR="007F1A87" w:rsidRDefault="007F1A87" w:rsidP="007F1A87">
      <w:pPr>
        <w:spacing w:after="0" w:line="240" w:lineRule="auto"/>
      </w:pPr>
    </w:p>
    <w:p w14:paraId="1D4286AD" w14:textId="6509691E" w:rsidR="007F1A87" w:rsidRPr="006B4FA1" w:rsidRDefault="007F1A87" w:rsidP="007F1A87">
      <w:pPr>
        <w:spacing w:after="0" w:line="240" w:lineRule="auto"/>
        <w:rPr>
          <w:b/>
          <w:bCs/>
        </w:rPr>
      </w:pPr>
      <w:r w:rsidRPr="006B4FA1">
        <w:rPr>
          <w:b/>
          <w:bCs/>
        </w:rPr>
        <w:t>3.1 Vygotskian Perspectives on Human-AI Interaction</w:t>
      </w:r>
    </w:p>
    <w:p w14:paraId="1C356B53" w14:textId="77777777" w:rsidR="007F1A87" w:rsidRDefault="007F1A87" w:rsidP="007F1A87">
      <w:pPr>
        <w:spacing w:after="0" w:line="240" w:lineRule="auto"/>
      </w:pPr>
    </w:p>
    <w:p w14:paraId="486305C6" w14:textId="37062C62" w:rsidR="007F1A87" w:rsidRDefault="007F1A87" w:rsidP="006B4FA1">
      <w:pPr>
        <w:spacing w:after="0" w:line="240" w:lineRule="auto"/>
        <w:jc w:val="both"/>
      </w:pPr>
      <w:r>
        <w:t>Vygotsky's (1978) social constructivist theory posits that higher cognitive functions develop through social interaction and are internalized through mediated activity. The zone of proximal development (ZPD)</w:t>
      </w:r>
      <w:r w:rsidR="006B4FA1">
        <w:t xml:space="preserve">, </w:t>
      </w:r>
      <w:r>
        <w:t>the distance between actual developmental level and potential development under guidance</w:t>
      </w:r>
      <w:r w:rsidR="006B4FA1">
        <w:t xml:space="preserve">, </w:t>
      </w:r>
      <w:r>
        <w:t>provides a framework for understanding how more capable others (teachers, peers, and potentially AI systems) can scaffold learning. Vygotsky emphasized that learning precedes development when it occurs within the ZPD, with guidance enabling learners to accomplish tasks they could not complete independently.</w:t>
      </w:r>
    </w:p>
    <w:p w14:paraId="19E166BB" w14:textId="77777777" w:rsidR="007F1A87" w:rsidRDefault="007F1A87" w:rsidP="007F1A87">
      <w:pPr>
        <w:spacing w:after="0" w:line="240" w:lineRule="auto"/>
      </w:pPr>
    </w:p>
    <w:p w14:paraId="772ED9B0" w14:textId="001509AA" w:rsidR="007F1A87" w:rsidRDefault="007F1A87" w:rsidP="006B4FA1">
      <w:pPr>
        <w:spacing w:after="0" w:line="240" w:lineRule="auto"/>
        <w:jc w:val="both"/>
      </w:pPr>
      <w:r>
        <w:t xml:space="preserve">Recent scholarship has extended Vygotskian concepts to human-AI interaction. The systematic review by </w:t>
      </w:r>
      <w:proofErr w:type="spellStart"/>
      <w:r>
        <w:t>Nursalim</w:t>
      </w:r>
      <w:proofErr w:type="spellEnd"/>
      <w:r>
        <w:t xml:space="preserve"> and </w:t>
      </w:r>
      <w:proofErr w:type="spellStart"/>
      <w:r>
        <w:t>Sukaria</w:t>
      </w:r>
      <w:proofErr w:type="spellEnd"/>
      <w:r>
        <w:t xml:space="preserve"> (2025) explicitly positions AI as a "cognitive scaffold" that enables reflective interaction among students, teachers, and technology, reinforcing Vygotsky's social constructivist perspective. Their analysis of 28 studies found that AI systems designed according to Vygotskian principles</w:t>
      </w:r>
      <w:r w:rsidR="006B4FA1">
        <w:t xml:space="preserve">, </w:t>
      </w:r>
      <w:r>
        <w:t>providing adaptive scaffolding within learners' ZPD</w:t>
      </w:r>
      <w:r w:rsidR="006B4FA1">
        <w:t xml:space="preserve">, </w:t>
      </w:r>
      <w:r>
        <w:t>produced effect sizes 0.4-0.6 standard deviations larger than systems without such design. Similarly, the DRIVE framework's emphasis on "Visible Expertise"</w:t>
      </w:r>
      <w:r w:rsidR="00D6401E">
        <w:t xml:space="preserve">, </w:t>
      </w:r>
      <w:r>
        <w:t>how students articulate acquired knowledge into dialogue with AI</w:t>
      </w:r>
      <w:r w:rsidR="00D6401E">
        <w:t xml:space="preserve">, </w:t>
      </w:r>
      <w:r>
        <w:t>reflects Vygotsky's concern with how internal knowledge becomes externally visible and socially shared (Luo et al., 2025).</w:t>
      </w:r>
    </w:p>
    <w:p w14:paraId="5B623942" w14:textId="77777777" w:rsidR="007F1A87" w:rsidRDefault="007F1A87" w:rsidP="007F1A87">
      <w:pPr>
        <w:spacing w:after="0" w:line="240" w:lineRule="auto"/>
      </w:pPr>
    </w:p>
    <w:p w14:paraId="623B90C9" w14:textId="77777777" w:rsidR="007F1A87" w:rsidRDefault="007F1A87" w:rsidP="00D6401E">
      <w:pPr>
        <w:spacing w:after="0" w:line="240" w:lineRule="auto"/>
        <w:jc w:val="both"/>
      </w:pPr>
      <w:r>
        <w:t xml:space="preserve">Applying Vygotskian principles to GenAI interaction in physics learning suggests several design considerations. First, AI should function within students' ZPD, providing challenges neither too easy (which induces boredom) nor too difficult (which induces frustration). Tufino and </w:t>
      </w:r>
      <w:proofErr w:type="spellStart"/>
      <w:r>
        <w:t>Gregorcic</w:t>
      </w:r>
      <w:proofErr w:type="spellEnd"/>
      <w:r>
        <w:t xml:space="preserve"> (2025) operationalized this by calibrating their Socratic tutor's questioning to student responses, with the system providing increasingly challenging prompts when students demonstrated mastery and simpler scaffolding when they struggled. Second, interaction should be dialogic, with AI prompting articulation and elaboration rather than supplying answers. Yang et al. (2025) found that dialogic AI interaction increased student articulation of reasoning by 47% compared to didactic interaction. Third, the goal should be internalization: students should eventually perform independently what they initially accomplished with AI assistance. The Socratic approach demonstrated by Tufino and </w:t>
      </w:r>
      <w:proofErr w:type="spellStart"/>
      <w:r>
        <w:t>Gregorcic</w:t>
      </w:r>
      <w:proofErr w:type="spellEnd"/>
      <w:r>
        <w:t xml:space="preserve"> (2025) and Yang et al. (2025) embodies these principles, with both studies showing transfer of regulated performance to independent tasks.</w:t>
      </w:r>
    </w:p>
    <w:p w14:paraId="222E59DF" w14:textId="77777777" w:rsidR="007F1A87" w:rsidRDefault="007F1A87" w:rsidP="007F1A87">
      <w:pPr>
        <w:spacing w:after="0" w:line="240" w:lineRule="auto"/>
      </w:pPr>
    </w:p>
    <w:p w14:paraId="673A743C" w14:textId="422068A5" w:rsidR="007F1A87" w:rsidRPr="00D6401E" w:rsidRDefault="007F1A87" w:rsidP="007F1A87">
      <w:pPr>
        <w:spacing w:after="0" w:line="240" w:lineRule="auto"/>
        <w:rPr>
          <w:b/>
          <w:bCs/>
        </w:rPr>
      </w:pPr>
      <w:r w:rsidRPr="00D6401E">
        <w:rPr>
          <w:b/>
          <w:bCs/>
        </w:rPr>
        <w:t>3.2 Teacher Orchestration in Technology-Enhanced Learning</w:t>
      </w:r>
    </w:p>
    <w:p w14:paraId="488A12CA" w14:textId="77777777" w:rsidR="007F1A87" w:rsidRDefault="007F1A87" w:rsidP="007F1A87">
      <w:pPr>
        <w:spacing w:after="0" w:line="240" w:lineRule="auto"/>
      </w:pPr>
    </w:p>
    <w:p w14:paraId="73FFA5EC" w14:textId="77777777" w:rsidR="007F1A87" w:rsidRDefault="007F1A87" w:rsidP="00D6401E">
      <w:pPr>
        <w:spacing w:after="0" w:line="240" w:lineRule="auto"/>
        <w:jc w:val="both"/>
      </w:pPr>
      <w:r>
        <w:t>The concept of "orchestration" emerged from research on technology-enhanced classrooms to describe the real-time management of multiple learning activities, technologies, and social configurations (</w:t>
      </w:r>
      <w:proofErr w:type="spellStart"/>
      <w:r>
        <w:t>Dillenbourg</w:t>
      </w:r>
      <w:proofErr w:type="spellEnd"/>
      <w:r>
        <w:t xml:space="preserve">, 2013; </w:t>
      </w:r>
      <w:proofErr w:type="spellStart"/>
      <w:r>
        <w:t>Dillenbourg</w:t>
      </w:r>
      <w:proofErr w:type="spellEnd"/>
      <w:r>
        <w:t xml:space="preserve"> et al., 2011). </w:t>
      </w:r>
      <w:proofErr w:type="spellStart"/>
      <w:r>
        <w:t>Dillenbourg</w:t>
      </w:r>
      <w:proofErr w:type="spellEnd"/>
      <w:r>
        <w:t xml:space="preserve"> (2013) defined orchestration as the process of "designing, managing, and adapting learning scenarios that integrate multiple activities, social configurations, and technologies" (p. 486). Orchestration acknowledges that learning environments are complex ecologies requiring teachers to coordinate diverse elements: individual and group work, digital and physical resources, teacher-led and student-directed activities.</w:t>
      </w:r>
    </w:p>
    <w:p w14:paraId="318D4712" w14:textId="77777777" w:rsidR="007F1A87" w:rsidRDefault="007F1A87" w:rsidP="007F1A87">
      <w:pPr>
        <w:spacing w:after="0" w:line="240" w:lineRule="auto"/>
      </w:pPr>
    </w:p>
    <w:p w14:paraId="13EC4C97" w14:textId="2FA4044B" w:rsidR="007F1A87" w:rsidRDefault="007F1A87" w:rsidP="00D6401E">
      <w:pPr>
        <w:spacing w:after="0" w:line="240" w:lineRule="auto"/>
        <w:jc w:val="both"/>
      </w:pPr>
      <w:r>
        <w:t xml:space="preserve">In the context of GenAI integration, orchestration takes on new significance. Teachers must guide not only student interaction with content and peers but also student interaction with AI systems that are themselves increasingly agentic and adaptive. The systematic review by </w:t>
      </w:r>
      <w:proofErr w:type="spellStart"/>
      <w:r>
        <w:t>Topali</w:t>
      </w:r>
      <w:proofErr w:type="spellEnd"/>
      <w:r>
        <w:t xml:space="preserve"> et al. (2025) on pedagogical considerations in AI-integrated K-12 settings highlights the importance of teacher roles in mediating student-AI interaction. </w:t>
      </w:r>
      <w:r w:rsidR="00171EE7">
        <w:t>Analysing</w:t>
      </w:r>
      <w:r>
        <w:t xml:space="preserve"> 43 studies, </w:t>
      </w:r>
      <w:proofErr w:type="spellStart"/>
      <w:r>
        <w:t>Topali</w:t>
      </w:r>
      <w:proofErr w:type="spellEnd"/>
      <w:r>
        <w:t xml:space="preserve"> et al. found that successful AI integration was consistently associated with active teacher mediation, with effect sizes for learning outcomes significantly higher in studies where teachers maintained orchestrating roles (d = 0.73) compared to those where AI operated without teacher guidance (d = 0.31).</w:t>
      </w:r>
    </w:p>
    <w:p w14:paraId="6B430888" w14:textId="77777777" w:rsidR="007F1A87" w:rsidRDefault="007F1A87" w:rsidP="007F1A87">
      <w:pPr>
        <w:spacing w:after="0" w:line="240" w:lineRule="auto"/>
      </w:pPr>
    </w:p>
    <w:p w14:paraId="05AB34C8" w14:textId="6FD8F072" w:rsidR="007F1A87" w:rsidRDefault="007F1A87" w:rsidP="00D6401E">
      <w:pPr>
        <w:spacing w:after="0" w:line="240" w:lineRule="auto"/>
        <w:jc w:val="both"/>
      </w:pPr>
      <w:r>
        <w:lastRenderedPageBreak/>
        <w:t xml:space="preserve">Key orchestration functions relevant to GenAI include: (1) designing tasks and AI configurations that promote productive interaction patterns; (2) monitoring student-AI interactions to identify productive and unproductive patterns; (3) intervening when students struggle or when AI guidance is inadequate; (4) adapting based on emerging understanding of student needs; and (5) reflecting with students on their AI interaction experiences to promote metacognitive awareness. In their classroom study, Chen and Chen (2025) found that teachers who actively performed </w:t>
      </w:r>
      <w:r w:rsidR="004D6584">
        <w:t>this orchestration</w:t>
      </w:r>
      <w:r>
        <w:t xml:space="preserve"> functions saw 37% higher student learning gains compared to those who adopted a more passive monitoring role.</w:t>
      </w:r>
    </w:p>
    <w:p w14:paraId="14149B60" w14:textId="77777777" w:rsidR="007F1A87" w:rsidRDefault="007F1A87" w:rsidP="007F1A87">
      <w:pPr>
        <w:spacing w:after="0" w:line="240" w:lineRule="auto"/>
      </w:pPr>
    </w:p>
    <w:p w14:paraId="7599669F" w14:textId="382F6233" w:rsidR="007F1A87" w:rsidRDefault="007F1A87" w:rsidP="004D6584">
      <w:pPr>
        <w:spacing w:after="0" w:line="240" w:lineRule="auto"/>
        <w:jc w:val="both"/>
      </w:pPr>
      <w:r>
        <w:t xml:space="preserve">The "role engineering" approach demonstrated by Tufino and </w:t>
      </w:r>
      <w:proofErr w:type="spellStart"/>
      <w:r>
        <w:t>Gregorcic</w:t>
      </w:r>
      <w:proofErr w:type="spellEnd"/>
      <w:r>
        <w:t xml:space="preserve"> (2025) exemplifies orchestration at the design level. By scripting detailed pedagogical instructions into an AI tutor's configuration</w:t>
      </w:r>
      <w:r w:rsidR="004D6584">
        <w:t xml:space="preserve"> (</w:t>
      </w:r>
      <w:r>
        <w:t>specifying Socratic interaction style, providing knowledge files with course-specific conventions</w:t>
      </w:r>
      <w:r w:rsidR="004D6584">
        <w:t xml:space="preserve">, </w:t>
      </w:r>
      <w:r>
        <w:t>defining the tutor's persona as a supportive but challenging guide</w:t>
      </w:r>
      <w:r w:rsidR="004D6584">
        <w:t xml:space="preserve">) </w:t>
      </w:r>
      <w:r>
        <w:t xml:space="preserve">teachers orchestrate the AI's </w:t>
      </w:r>
      <w:r w:rsidR="00171EE7">
        <w:t>behaviour</w:t>
      </w:r>
      <w:r>
        <w:t xml:space="preserve"> before students ever interact with it. This proactive orchestration shapes the interaction space within which students operate. Tufino and </w:t>
      </w:r>
      <w:proofErr w:type="spellStart"/>
      <w:r>
        <w:t>Gregorcic</w:t>
      </w:r>
      <w:proofErr w:type="spellEnd"/>
      <w:r>
        <w:t xml:space="preserve"> found that role-engineered AI produced 52% more Socratic questioning </w:t>
      </w:r>
      <w:r w:rsidR="00171EE7">
        <w:t>behaviours</w:t>
      </w:r>
      <w:r>
        <w:t xml:space="preserve"> and 63% fewer solution-giving </w:t>
      </w:r>
      <w:r w:rsidR="00171EE7">
        <w:t>behaviours</w:t>
      </w:r>
      <w:r>
        <w:t xml:space="preserve"> compared to default configurations.</w:t>
      </w:r>
    </w:p>
    <w:p w14:paraId="1902DD2C" w14:textId="77777777" w:rsidR="007F1A87" w:rsidRDefault="007F1A87" w:rsidP="007F1A87">
      <w:pPr>
        <w:spacing w:after="0" w:line="240" w:lineRule="auto"/>
      </w:pPr>
    </w:p>
    <w:p w14:paraId="018BFA58" w14:textId="5CEF4240" w:rsidR="007F1A87" w:rsidRPr="004D6584" w:rsidRDefault="007F1A87" w:rsidP="007F1A87">
      <w:pPr>
        <w:spacing w:after="0" w:line="240" w:lineRule="auto"/>
        <w:rPr>
          <w:b/>
          <w:bCs/>
        </w:rPr>
      </w:pPr>
      <w:r w:rsidRPr="004D6584">
        <w:rPr>
          <w:b/>
          <w:bCs/>
        </w:rPr>
        <w:t>4. The GUIDE Framework: Five Teacher Practices for Productive Student-AI Interaction</w:t>
      </w:r>
    </w:p>
    <w:p w14:paraId="720FA302" w14:textId="77777777" w:rsidR="007F1A87" w:rsidRDefault="007F1A87" w:rsidP="007F1A87">
      <w:pPr>
        <w:spacing w:after="0" w:line="240" w:lineRule="auto"/>
      </w:pPr>
    </w:p>
    <w:p w14:paraId="5CED87E6" w14:textId="77777777" w:rsidR="007F1A87" w:rsidRDefault="007F1A87" w:rsidP="004D6584">
      <w:pPr>
        <w:spacing w:after="0" w:line="240" w:lineRule="auto"/>
        <w:jc w:val="both"/>
      </w:pPr>
      <w:r>
        <w:t>Synthesizing the empirical findings and theoretical perspectives reviewed above, I propose the GUIDE framework (Guiding Interactive Dialogue for Engagement) for understanding and guiding student-GenAI interaction in physics learning. The framework operationalizes teacher orchestration (</w:t>
      </w:r>
      <w:proofErr w:type="spellStart"/>
      <w:r>
        <w:t>Dillenbourg</w:t>
      </w:r>
      <w:proofErr w:type="spellEnd"/>
      <w:r>
        <w:t>, 2013) through five interconnected practices that shape student interaction patterns and subsequent learning outcomes. Below, I first present an interaction typology that identifies patterns associated with differential outcomes, then articulate the five GUIDE practices, and finally trace the pathways through which these practices influence educational outcomes.</w:t>
      </w:r>
    </w:p>
    <w:p w14:paraId="1F8377D2" w14:textId="77777777" w:rsidR="007F1A87" w:rsidRDefault="007F1A87" w:rsidP="007F1A87">
      <w:pPr>
        <w:spacing w:after="0" w:line="240" w:lineRule="auto"/>
      </w:pPr>
    </w:p>
    <w:p w14:paraId="11987108" w14:textId="61CD7CFF" w:rsidR="007F1A87" w:rsidRPr="004D6584" w:rsidRDefault="007F1A87" w:rsidP="007F1A87">
      <w:pPr>
        <w:spacing w:after="0" w:line="240" w:lineRule="auto"/>
        <w:rPr>
          <w:b/>
          <w:bCs/>
        </w:rPr>
      </w:pPr>
      <w:r w:rsidRPr="004D6584">
        <w:rPr>
          <w:b/>
          <w:bCs/>
        </w:rPr>
        <w:t>4.1 Interaction Typology</w:t>
      </w:r>
    </w:p>
    <w:p w14:paraId="20350D29" w14:textId="77777777" w:rsidR="007F1A87" w:rsidRDefault="007F1A87" w:rsidP="007F1A87">
      <w:pPr>
        <w:spacing w:after="0" w:line="240" w:lineRule="auto"/>
      </w:pPr>
    </w:p>
    <w:p w14:paraId="2E469BC9" w14:textId="77777777" w:rsidR="007F1A87" w:rsidRDefault="007F1A87" w:rsidP="004D6584">
      <w:pPr>
        <w:spacing w:after="0" w:line="240" w:lineRule="auto"/>
        <w:jc w:val="both"/>
      </w:pPr>
      <w:r>
        <w:t>Drawing primarily on the DRIVE framework (Luo et al., 2025) and collaboration profiles identified by Nguyen et al. (2024), I identify three interaction archetypes relevant to physics learning, with empirical evidence linking each to distinct outcome patterns.</w:t>
      </w:r>
    </w:p>
    <w:p w14:paraId="65D34935" w14:textId="77777777" w:rsidR="007F1A87" w:rsidRDefault="007F1A87" w:rsidP="007F1A87">
      <w:pPr>
        <w:spacing w:after="0" w:line="240" w:lineRule="auto"/>
      </w:pPr>
    </w:p>
    <w:p w14:paraId="75AC5243" w14:textId="65A80EAA" w:rsidR="007F1A87" w:rsidRDefault="007F1A87" w:rsidP="004D6584">
      <w:pPr>
        <w:spacing w:after="0" w:line="240" w:lineRule="auto"/>
        <w:jc w:val="both"/>
      </w:pPr>
      <w:r w:rsidRPr="004D6584">
        <w:rPr>
          <w:b/>
          <w:bCs/>
        </w:rPr>
        <w:t>Collaborative Intellectual Partnership</w:t>
      </w:r>
      <w:r>
        <w:t xml:space="preserve"> represents the highest-quality interaction pattern. Students engage AI as a thinking partner, using it to brainstorm approaches, test hypotheses, refine reasoning, and explore alternative perspectives. Interactions are iterative and dialogic, with students critically evaluating AI outputs and engaging in back-and-forth refinement. In Luo et al.'s (2025) study, this pattern characterized approximately 18% of students and was associated with the highest learning outcomes, including 34% higher scores on delayed conceptual assessments. In physics contexts, this might involve uploading a hand-drawn force diagram for feedback (Tufino &amp; </w:t>
      </w:r>
      <w:proofErr w:type="spellStart"/>
      <w:r>
        <w:t>Gregorcic</w:t>
      </w:r>
      <w:proofErr w:type="spellEnd"/>
      <w:r>
        <w:t>, 2025), asking Socratic questions about electromagnetic induction (Yang et al., 2025), or collaboratively developing experimental designs (Chen &amp; Chen, 2025). Students exhibiting this pattern demonstrate deep conceptual understanding, enhanced reflective thinking, positive affective engagement, and development of self-regulated learning. Chen and Chen (2025) found that students in this category showed 41% higher scores on measures of scientific reasoning and 37% greater persistence in challenging inquiry tasks.</w:t>
      </w:r>
    </w:p>
    <w:p w14:paraId="6EDCD6A3" w14:textId="77777777" w:rsidR="007F1A87" w:rsidRDefault="007F1A87" w:rsidP="007F1A87">
      <w:pPr>
        <w:spacing w:after="0" w:line="240" w:lineRule="auto"/>
      </w:pPr>
    </w:p>
    <w:p w14:paraId="292326A0" w14:textId="66E00658" w:rsidR="007F1A87" w:rsidRDefault="007F1A87" w:rsidP="004D6584">
      <w:pPr>
        <w:spacing w:after="0" w:line="240" w:lineRule="auto"/>
        <w:jc w:val="both"/>
      </w:pPr>
      <w:r w:rsidRPr="004D6584">
        <w:rPr>
          <w:b/>
          <w:bCs/>
        </w:rPr>
        <w:t>Targeted Improvement Partnership</w:t>
      </w:r>
      <w:r>
        <w:t xml:space="preserve"> represents moderate-quality interaction. Students use AI for specific, well-defined purposes</w:t>
      </w:r>
      <w:r w:rsidR="004D6584">
        <w:t xml:space="preserve"> (</w:t>
      </w:r>
      <w:r>
        <w:t>refining explanations, checking calculations, clarifying concepts</w:t>
      </w:r>
      <w:r w:rsidR="004D6584">
        <w:t xml:space="preserve">) </w:t>
      </w:r>
      <w:r>
        <w:t xml:space="preserve">while maintaining ownership of core cognitive work. Interactions are purposeful but less exploratory than collaborative partnerships. In Luo et al.'s (2025) taxonomy, this pattern </w:t>
      </w:r>
      <w:r>
        <w:lastRenderedPageBreak/>
        <w:t>characterized approximately 45% of students and was associated with solid learning gains, particularly in procedural knowledge and task performance, though it did not foster the deepest conceptual transformation. In physics, this might involve asking AI to explain a confusing concept in multiple ways, checking mathematical steps in a problem solution, or getting feedback on written explanations of physical principles. Students in this category show good performance on immediate assessments but may struggle with transfer tasks requiring flexible application of concepts (Nguyen et al., 2024).</w:t>
      </w:r>
    </w:p>
    <w:p w14:paraId="448D81E5" w14:textId="77777777" w:rsidR="007F1A87" w:rsidRDefault="007F1A87" w:rsidP="007F1A87">
      <w:pPr>
        <w:spacing w:after="0" w:line="240" w:lineRule="auto"/>
      </w:pPr>
    </w:p>
    <w:p w14:paraId="03BD09C2" w14:textId="5755F8FC" w:rsidR="007F1A87" w:rsidRDefault="007F1A87" w:rsidP="004D6584">
      <w:pPr>
        <w:spacing w:after="0" w:line="240" w:lineRule="auto"/>
        <w:jc w:val="both"/>
      </w:pPr>
      <w:r w:rsidRPr="004D6584">
        <w:rPr>
          <w:b/>
          <w:bCs/>
        </w:rPr>
        <w:t>Passive Task Delegation</w:t>
      </w:r>
      <w:r>
        <w:t xml:space="preserve"> represents low-quality interaction. Students delegate substantive cognitive work to AI, accepting outputs without critical evaluation or refinement. Interactions are linear and transactional: prompt, receive, paste. In Luo et al.'s (2025) study, this pattern characterized approximately 37% of students and was associated with superficial learning, poor retention, reduced self-efficacy, and minimal development of self-regulated learning. In physics, this might involve asking AI to solve problems step-by-step and copying the solution, generating lab report text without understanding it, or using AI to answer conceptual questions without engaging the reasoning. Darvishi et al. (2024) found that students exhibiting this pattern showed 23% lower scores on delayed post-tests and significantly lower self-efficacy ratings (d = 0.58) compared to more engaged peers.</w:t>
      </w:r>
    </w:p>
    <w:p w14:paraId="062C099C" w14:textId="77777777" w:rsidR="007F1A87" w:rsidRDefault="007F1A87" w:rsidP="007F1A87">
      <w:pPr>
        <w:spacing w:after="0" w:line="240" w:lineRule="auto"/>
      </w:pPr>
    </w:p>
    <w:p w14:paraId="627946A3" w14:textId="77777777" w:rsidR="007F1A87" w:rsidRDefault="007F1A87" w:rsidP="004D6584">
      <w:pPr>
        <w:spacing w:after="0" w:line="240" w:lineRule="auto"/>
        <w:jc w:val="both"/>
      </w:pPr>
      <w:r>
        <w:t>These archetypes exist on a continuum rather than as discrete categories, and individual students may exhibit different patterns across tasks or over time as their AI literacy develops (J. Kim, Yu, Lee, &amp; Detrick, 2025). In a longitudinal study of AI literacy development, Kim et al. (2025) found that 34% of students shifted toward more productive interaction patterns over a semester with appropriate guidance, suggesting that interaction quality is malleable and responsive to pedagogical intervention.</w:t>
      </w:r>
    </w:p>
    <w:p w14:paraId="6197D86B" w14:textId="77777777" w:rsidR="007F1A87" w:rsidRDefault="007F1A87" w:rsidP="007F1A87">
      <w:pPr>
        <w:spacing w:after="0" w:line="240" w:lineRule="auto"/>
      </w:pPr>
    </w:p>
    <w:p w14:paraId="19566EB8" w14:textId="301D8647" w:rsidR="007F1A87" w:rsidRPr="004D6584" w:rsidRDefault="007F1A87" w:rsidP="007F1A87">
      <w:pPr>
        <w:spacing w:after="0" w:line="240" w:lineRule="auto"/>
        <w:rPr>
          <w:b/>
          <w:bCs/>
        </w:rPr>
      </w:pPr>
      <w:r w:rsidRPr="004D6584">
        <w:rPr>
          <w:b/>
          <w:bCs/>
        </w:rPr>
        <w:t>4.2 The Five GUIDE Practices</w:t>
      </w:r>
    </w:p>
    <w:p w14:paraId="23E24743" w14:textId="77777777" w:rsidR="007F1A87" w:rsidRDefault="007F1A87" w:rsidP="007F1A87">
      <w:pPr>
        <w:spacing w:after="0" w:line="240" w:lineRule="auto"/>
      </w:pPr>
    </w:p>
    <w:p w14:paraId="3AD49494" w14:textId="77777777" w:rsidR="007F1A87" w:rsidRDefault="007F1A87" w:rsidP="00F1251F">
      <w:pPr>
        <w:spacing w:after="0" w:line="240" w:lineRule="auto"/>
        <w:jc w:val="both"/>
      </w:pPr>
      <w:r>
        <w:t>The GUIDE framework identifies five interconnected practices through which teachers can guide students toward productive GenAI interaction. Each practice is grounded in empirical research and operationalizes aspects of teacher orchestration.</w:t>
      </w:r>
    </w:p>
    <w:p w14:paraId="0854D74C" w14:textId="77777777" w:rsidR="007F1A87" w:rsidRDefault="007F1A87" w:rsidP="007F1A87">
      <w:pPr>
        <w:spacing w:after="0" w:line="240" w:lineRule="auto"/>
      </w:pPr>
    </w:p>
    <w:p w14:paraId="1D475F85" w14:textId="008D9ECF" w:rsidR="007F1A87" w:rsidRPr="00171EE7" w:rsidRDefault="007F1A87" w:rsidP="007F1A87">
      <w:pPr>
        <w:spacing w:after="0" w:line="240" w:lineRule="auto"/>
        <w:rPr>
          <w:u w:val="single"/>
        </w:rPr>
      </w:pPr>
      <w:r w:rsidRPr="00F1251F">
        <w:rPr>
          <w:u w:val="single"/>
        </w:rPr>
        <w:t>G: Guide Configuration</w:t>
      </w:r>
    </w:p>
    <w:p w14:paraId="56282D42" w14:textId="5F63C0F7" w:rsidR="007F1A87" w:rsidRDefault="007F1A87" w:rsidP="00F1251F">
      <w:pPr>
        <w:spacing w:after="0" w:line="240" w:lineRule="auto"/>
        <w:jc w:val="both"/>
      </w:pPr>
      <w:r>
        <w:t xml:space="preserve">Teachers can proactively shape AI </w:t>
      </w:r>
      <w:r w:rsidR="00171EE7">
        <w:t>behaviour</w:t>
      </w:r>
      <w:r>
        <w:t xml:space="preserve"> through careful configuration before student interaction begins. Following Tufino and </w:t>
      </w:r>
      <w:proofErr w:type="spellStart"/>
      <w:r>
        <w:t>Gregorcic</w:t>
      </w:r>
      <w:proofErr w:type="spellEnd"/>
      <w:r>
        <w:t xml:space="preserve"> (2025), this involves scripting detailed instructions that define the AI's pedagogical role</w:t>
      </w:r>
      <w:r w:rsidR="00F1251F">
        <w:t xml:space="preserve"> (</w:t>
      </w:r>
      <w:r>
        <w:t>Socratic questioner, lab assistant, conceptual tutor</w:t>
      </w:r>
      <w:r w:rsidR="00F1251F">
        <w:t xml:space="preserve">) </w:t>
      </w:r>
      <w:r>
        <w:t xml:space="preserve">and providing knowledge files with course-specific conventions, notation systems, and problem-solving approaches. Tufino and </w:t>
      </w:r>
      <w:proofErr w:type="spellStart"/>
      <w:r>
        <w:t>Gregorcic</w:t>
      </w:r>
      <w:proofErr w:type="spellEnd"/>
      <w:r>
        <w:t xml:space="preserve"> found that configured AI produced 52% more Socratic questioning and 63% fewer solution-giving </w:t>
      </w:r>
      <w:r w:rsidR="00171EE7">
        <w:t>behaviours</w:t>
      </w:r>
      <w:r>
        <w:t>. This proactive guidance creates an interaction space aligned with pedagogical goals.</w:t>
      </w:r>
    </w:p>
    <w:p w14:paraId="5E5D22CD" w14:textId="77777777" w:rsidR="007F1A87" w:rsidRDefault="007F1A87" w:rsidP="007F1A87">
      <w:pPr>
        <w:spacing w:after="0" w:line="240" w:lineRule="auto"/>
      </w:pPr>
    </w:p>
    <w:p w14:paraId="360D0CE8" w14:textId="4D4A0A1C" w:rsidR="007F1A87" w:rsidRDefault="007F1A87" w:rsidP="00F1251F">
      <w:pPr>
        <w:spacing w:after="0" w:line="240" w:lineRule="auto"/>
        <w:jc w:val="both"/>
      </w:pPr>
      <w:r>
        <w:t xml:space="preserve">Empirical evidence supports the efficacy of guided configuration. In a study by Yang et al. (2025), students using a Socratic-configured agent showed significantly higher reflective thinking scores (d = 0.73) than those using a standard agent. Similarly, Chen and Chen (2025) found that AI systems configured with course-specific knowledge provided more accurate and contextually appropriate guidance, reducing student frustration by 31% compared to generic systems. For physics specifically, Tufino and </w:t>
      </w:r>
      <w:proofErr w:type="spellStart"/>
      <w:r>
        <w:t>Gregorcic</w:t>
      </w:r>
      <w:proofErr w:type="spellEnd"/>
      <w:r>
        <w:t xml:space="preserve"> (2025) demonstrated that configuring AI to recognize discipline-specific conventions</w:t>
      </w:r>
      <w:r w:rsidR="00171EE7">
        <w:t xml:space="preserve">, </w:t>
      </w:r>
      <w:r>
        <w:t>such as proper vector notation and unit usage</w:t>
      </w:r>
      <w:r w:rsidR="00171EE7">
        <w:t xml:space="preserve">, </w:t>
      </w:r>
      <w:r>
        <w:t>significantly improved the relevance and accuracy of AI feedback on student work.</w:t>
      </w:r>
    </w:p>
    <w:p w14:paraId="2DB4F27B" w14:textId="77777777" w:rsidR="007F1A87" w:rsidRDefault="007F1A87" w:rsidP="007F1A87">
      <w:pPr>
        <w:spacing w:after="0" w:line="240" w:lineRule="auto"/>
      </w:pPr>
    </w:p>
    <w:p w14:paraId="1DA8A15E" w14:textId="32B5B92C" w:rsidR="007F1A87" w:rsidRPr="00171EE7" w:rsidRDefault="007F1A87" w:rsidP="007F1A87">
      <w:pPr>
        <w:spacing w:after="0" w:line="240" w:lineRule="auto"/>
        <w:rPr>
          <w:u w:val="single"/>
        </w:rPr>
      </w:pPr>
      <w:r w:rsidRPr="00F1251F">
        <w:rPr>
          <w:u w:val="single"/>
        </w:rPr>
        <w:t>U: Uncover Patterns Through Interaction Transparency</w:t>
      </w:r>
    </w:p>
    <w:p w14:paraId="69436185" w14:textId="77777777" w:rsidR="007F1A87" w:rsidRDefault="007F1A87" w:rsidP="00F1251F">
      <w:pPr>
        <w:spacing w:after="0" w:line="240" w:lineRule="auto"/>
        <w:jc w:val="both"/>
      </w:pPr>
      <w:r>
        <w:t xml:space="preserve">Teachers can make student-AI interaction visible and accountable through requirements to document prompts, capture interaction logs, or annotate AI outputs with reflections on how they were used and evaluated. This transparency enables formative assessment of interaction quality and provides material for reflective debriefing. In Luo et al.'s (2025) study, students </w:t>
      </w:r>
      <w:r>
        <w:lastRenderedPageBreak/>
        <w:t xml:space="preserve">who knew their interaction logs would be evaluated showed 47% more collaborative intellectual partnership </w:t>
      </w:r>
      <w:proofErr w:type="spellStart"/>
      <w:r>
        <w:t>behaviors</w:t>
      </w:r>
      <w:proofErr w:type="spellEnd"/>
      <w:r>
        <w:t xml:space="preserve"> than those assessed only on final products.</w:t>
      </w:r>
    </w:p>
    <w:p w14:paraId="59012B5E" w14:textId="77777777" w:rsidR="007F1A87" w:rsidRDefault="007F1A87" w:rsidP="007F1A87">
      <w:pPr>
        <w:spacing w:after="0" w:line="240" w:lineRule="auto"/>
      </w:pPr>
    </w:p>
    <w:p w14:paraId="1CE99F40" w14:textId="77777777" w:rsidR="007F1A87" w:rsidRDefault="007F1A87" w:rsidP="00F1251F">
      <w:pPr>
        <w:spacing w:after="0" w:line="240" w:lineRule="auto"/>
        <w:jc w:val="both"/>
      </w:pPr>
      <w:r>
        <w:t>Interaction transparency also supports teacher monitoring of emerging patterns. Pigg (2024) found that teachers who regularly reviewed interaction logs could identify students exhibiting passive delegation patterns within the first two weeks of a course, enabling timely intervention. In a classroom study, teachers using interaction dashboards identified at-risk students with 78% accuracy, compared to 34% accuracy using only product-based assessment. For physics education, interaction logs can reveal whether students are engaging deeply with conceptual material or simply seeking answers to quantitative problems, enabling targeted guidance.</w:t>
      </w:r>
    </w:p>
    <w:p w14:paraId="498F1585" w14:textId="77777777" w:rsidR="007F1A87" w:rsidRDefault="007F1A87" w:rsidP="007F1A87">
      <w:pPr>
        <w:spacing w:after="0" w:line="240" w:lineRule="auto"/>
      </w:pPr>
    </w:p>
    <w:p w14:paraId="60A9AA8A" w14:textId="0C72FF38" w:rsidR="007F1A87" w:rsidRPr="00171EE7" w:rsidRDefault="007F1A87" w:rsidP="007F1A87">
      <w:pPr>
        <w:spacing w:after="0" w:line="240" w:lineRule="auto"/>
        <w:rPr>
          <w:u w:val="single"/>
        </w:rPr>
      </w:pPr>
      <w:r w:rsidRPr="00F1251F">
        <w:rPr>
          <w:u w:val="single"/>
        </w:rPr>
        <w:t>I: Invite Dialogue Through Epistemic Scaffolding</w:t>
      </w:r>
    </w:p>
    <w:p w14:paraId="68006552" w14:textId="27C26159" w:rsidR="007F1A87" w:rsidRDefault="007F1A87" w:rsidP="00F1251F">
      <w:pPr>
        <w:spacing w:after="0" w:line="240" w:lineRule="auto"/>
        <w:jc w:val="both"/>
      </w:pPr>
      <w:r>
        <w:t>Teachers can design tasks and prompts that position AI as a thinking partner rather than answer provider. In the Santos Guevara et al. (2026) study, structured prompts guided students to engage in inquiry, collaboration, and reflective reasoning about thermodynamic processes. Task designs that require explanation, justification, and revision</w:t>
      </w:r>
      <w:r w:rsidR="00171EE7">
        <w:t xml:space="preserve"> (</w:t>
      </w:r>
      <w:r>
        <w:t>rather than simple answer production</w:t>
      </w:r>
      <w:r w:rsidR="00171EE7">
        <w:t xml:space="preserve">) </w:t>
      </w:r>
      <w:r>
        <w:t>scaffold productive interaction patterns. Santos Guevara found that students using structured prompts showed 41% higher engagement scores and 37% higher perceived learning compared to those using unstructured AI interaction.</w:t>
      </w:r>
    </w:p>
    <w:p w14:paraId="723BD7EC" w14:textId="77777777" w:rsidR="007F1A87" w:rsidRDefault="007F1A87" w:rsidP="007F1A87">
      <w:pPr>
        <w:spacing w:after="0" w:line="240" w:lineRule="auto"/>
      </w:pPr>
    </w:p>
    <w:p w14:paraId="7CD77077" w14:textId="367FFBE2" w:rsidR="007F1A87" w:rsidRDefault="007F1A87" w:rsidP="00F1251F">
      <w:pPr>
        <w:spacing w:after="0" w:line="240" w:lineRule="auto"/>
        <w:jc w:val="both"/>
      </w:pPr>
      <w:r>
        <w:t>Epistemic scaffolding involves designing tasks that cannot be completed through simple information retrieval but require iterative dialogue. Yang et al. (2025) operationalized this through tasks requiring students to develop and test multiple hypotheses about physical phenomena, with AI serving as a Socratic interlocutor. Students in this condition showed significantly higher scores on measures of scientific reasoning (d = 0.68) and conceptual understanding (d = 0.71). For physics specifically, tasks requiring students to explain phenomena across multiple representations</w:t>
      </w:r>
      <w:r w:rsidR="00F1251F">
        <w:t xml:space="preserve"> (</w:t>
      </w:r>
      <w:r>
        <w:t>verbal, mathematical, diagrammatic</w:t>
      </w:r>
      <w:r w:rsidR="00F1251F">
        <w:t xml:space="preserve">) </w:t>
      </w:r>
      <w:r>
        <w:t>create natural opportunities for productive AI dialogue.</w:t>
      </w:r>
    </w:p>
    <w:p w14:paraId="70028F9F" w14:textId="77777777" w:rsidR="007F1A87" w:rsidRDefault="007F1A87" w:rsidP="007F1A87">
      <w:pPr>
        <w:spacing w:after="0" w:line="240" w:lineRule="auto"/>
      </w:pPr>
    </w:p>
    <w:p w14:paraId="728E6519" w14:textId="21A68618" w:rsidR="007F1A87" w:rsidRPr="00171EE7" w:rsidRDefault="007F1A87" w:rsidP="007F1A87">
      <w:pPr>
        <w:spacing w:after="0" w:line="240" w:lineRule="auto"/>
        <w:rPr>
          <w:u w:val="single"/>
        </w:rPr>
      </w:pPr>
      <w:r w:rsidRPr="00F1251F">
        <w:rPr>
          <w:u w:val="single"/>
        </w:rPr>
        <w:t>D: Develop Awareness Through Reflective Debriefing</w:t>
      </w:r>
    </w:p>
    <w:p w14:paraId="5BC9741B" w14:textId="73A059EE" w:rsidR="007F1A87" w:rsidRDefault="007F1A87" w:rsidP="00F1251F">
      <w:pPr>
        <w:spacing w:after="0" w:line="240" w:lineRule="auto"/>
        <w:jc w:val="both"/>
      </w:pPr>
      <w:r>
        <w:t xml:space="preserve">Following the DRIVE framework's emphasis on process-focused evaluation (Luo et al., 2025), teachers can engage students in </w:t>
      </w:r>
      <w:r w:rsidR="00F1251F">
        <w:t>analysing</w:t>
      </w:r>
      <w:r>
        <w:t xml:space="preserve"> their own interaction patterns. What types of prompts produced productive responses? When did they simply accept AI output versus critically evaluating it? How did interaction with AI shape their thinking? This metacognitive reflection helps students develop awareness of their own interaction patterns and strategies for improvement.</w:t>
      </w:r>
    </w:p>
    <w:p w14:paraId="5A780BBF" w14:textId="77777777" w:rsidR="007F1A87" w:rsidRDefault="007F1A87" w:rsidP="007F1A87">
      <w:pPr>
        <w:spacing w:after="0" w:line="240" w:lineRule="auto"/>
      </w:pPr>
    </w:p>
    <w:p w14:paraId="4A67735B" w14:textId="45B9795E" w:rsidR="007F1A87" w:rsidRDefault="007F1A87" w:rsidP="00F1251F">
      <w:pPr>
        <w:spacing w:after="0" w:line="240" w:lineRule="auto"/>
        <w:jc w:val="both"/>
      </w:pPr>
      <w:r>
        <w:t xml:space="preserve">Empirical evidence supports the efficacy of reflective debriefing. In Lan and Zhou's (2025) systematic review, studies incorporating structured reflection on AI use showed effect sizes 0.4-0.5 standard deviations larger than those without such reflection. Nguyen et al. (2024) found that students who participated in weekly debriefing sessions about their AI use showed significant shifts toward more productive interaction patterns over a semester, with the proportion exhibiting collaborative intellectual partnership increasing from 14% to 31%. For physics education, debriefing might involve </w:t>
      </w:r>
      <w:r w:rsidR="00F1251F">
        <w:t>analysing</w:t>
      </w:r>
      <w:r>
        <w:t xml:space="preserve"> how AI helped or hindered understanding of specific concepts, identifying moments when AI suggestions led to insight versus confusion, and developing strategies for more effective future interactions.</w:t>
      </w:r>
    </w:p>
    <w:p w14:paraId="7DC14325" w14:textId="77777777" w:rsidR="007F1A87" w:rsidRDefault="007F1A87" w:rsidP="007F1A87">
      <w:pPr>
        <w:spacing w:after="0" w:line="240" w:lineRule="auto"/>
      </w:pPr>
    </w:p>
    <w:p w14:paraId="198D878E" w14:textId="4BDABD8C" w:rsidR="007F1A87" w:rsidRPr="00171EE7" w:rsidRDefault="00F1251F" w:rsidP="007F1A87">
      <w:pPr>
        <w:spacing w:after="0" w:line="240" w:lineRule="auto"/>
        <w:rPr>
          <w:u w:val="single"/>
        </w:rPr>
      </w:pPr>
      <w:r w:rsidRPr="00F1251F">
        <w:rPr>
          <w:u w:val="single"/>
        </w:rPr>
        <w:t>E</w:t>
      </w:r>
      <w:r w:rsidR="007F1A87" w:rsidRPr="00F1251F">
        <w:rPr>
          <w:u w:val="single"/>
        </w:rPr>
        <w:t>: Engage Metacognition Through Strategic Prompting</w:t>
      </w:r>
    </w:p>
    <w:p w14:paraId="65961D23" w14:textId="77777777" w:rsidR="007F1A87" w:rsidRDefault="007F1A87" w:rsidP="00171EE7">
      <w:pPr>
        <w:spacing w:after="0" w:line="240" w:lineRule="auto"/>
        <w:jc w:val="both"/>
      </w:pPr>
      <w:r>
        <w:t>Teachers can embed prompts within task designs that encourage students to monitor and regulate their AI use. Questions such as "What do you hope the AI will help you understand?", "How will you evaluate whether its response is correct?", and "What would you do if you couldn't use AI?" support metacognitive engagement with AI tools. Chen and Chen (2025) found that students receiving metacognitive prompts showed 34% higher scores on metacognitive awareness measures and 28% greater improvement on conceptual assessments.</w:t>
      </w:r>
    </w:p>
    <w:p w14:paraId="4AE8BDA7" w14:textId="77777777" w:rsidR="007F1A87" w:rsidRDefault="007F1A87" w:rsidP="007F1A87">
      <w:pPr>
        <w:spacing w:after="0" w:line="240" w:lineRule="auto"/>
      </w:pPr>
    </w:p>
    <w:p w14:paraId="5DC085C2" w14:textId="77777777" w:rsidR="007F1A87" w:rsidRDefault="007F1A87" w:rsidP="00171EE7">
      <w:pPr>
        <w:spacing w:after="0" w:line="240" w:lineRule="auto"/>
        <w:jc w:val="both"/>
      </w:pPr>
      <w:r>
        <w:t>Metacognitive prompting can be integrated at multiple points in the learning process: before AI interaction (planning), during interaction (monitoring), and after interaction (evaluation). Darvishi et al. (2024) found that students who received pre-interaction planning prompts showed significantly more selective and critical use of AI-generated feedback, with 41% higher rates of feedback evaluation and modification. For physics education, prompts might ask students to articulate their current understanding before seeking AI input, compare AI explanations with textbook treatments, or reflect on how AI-assisted problem-solving differs from independent problem-solving.</w:t>
      </w:r>
    </w:p>
    <w:p w14:paraId="3DD8585D" w14:textId="77777777" w:rsidR="007F1A87" w:rsidRDefault="007F1A87" w:rsidP="007F1A87">
      <w:pPr>
        <w:spacing w:after="0" w:line="240" w:lineRule="auto"/>
      </w:pPr>
    </w:p>
    <w:p w14:paraId="2FC2CF6A" w14:textId="18EDF245" w:rsidR="007F1A87" w:rsidRPr="00F1251F" w:rsidRDefault="007F1A87" w:rsidP="007F1A87">
      <w:pPr>
        <w:spacing w:after="0" w:line="240" w:lineRule="auto"/>
        <w:rPr>
          <w:b/>
          <w:bCs/>
        </w:rPr>
      </w:pPr>
      <w:r w:rsidRPr="00F1251F">
        <w:rPr>
          <w:b/>
          <w:bCs/>
        </w:rPr>
        <w:t>4.3 Outcome Pathways</w:t>
      </w:r>
    </w:p>
    <w:p w14:paraId="5F9BD100" w14:textId="77777777" w:rsidR="007F1A87" w:rsidRDefault="007F1A87" w:rsidP="007F1A87">
      <w:pPr>
        <w:spacing w:after="0" w:line="240" w:lineRule="auto"/>
      </w:pPr>
    </w:p>
    <w:p w14:paraId="77ADCF61" w14:textId="77777777" w:rsidR="007F1A87" w:rsidRDefault="007F1A87" w:rsidP="00670F34">
      <w:pPr>
        <w:spacing w:after="0" w:line="240" w:lineRule="auto"/>
        <w:jc w:val="both"/>
      </w:pPr>
      <w:r>
        <w:t>The GUIDE framework posits that teacher guidance practices shape educational outcomes through multiple pathways, with empirical evidence supporting each pathway.</w:t>
      </w:r>
    </w:p>
    <w:p w14:paraId="61F9A908" w14:textId="77777777" w:rsidR="007F1A87" w:rsidRDefault="007F1A87" w:rsidP="00670F34">
      <w:pPr>
        <w:spacing w:after="0" w:line="240" w:lineRule="auto"/>
        <w:jc w:val="both"/>
      </w:pPr>
    </w:p>
    <w:p w14:paraId="41D68E38" w14:textId="1E136961" w:rsidR="007F1A87" w:rsidRDefault="007F1A87" w:rsidP="00670F34">
      <w:pPr>
        <w:spacing w:after="0" w:line="240" w:lineRule="auto"/>
        <w:jc w:val="both"/>
      </w:pPr>
      <w:r w:rsidRPr="00171EE7">
        <w:rPr>
          <w:b/>
          <w:bCs/>
        </w:rPr>
        <w:t>Cognitive pathways:</w:t>
      </w:r>
      <w:r>
        <w:t xml:space="preserve"> Guided configuration and epistemic scaffolding activate deeper cognitive processing through explanation, elaboration, and critical evaluation. Students must articulate their understanding to engage productively with AI, making their thinking visible and available for refinement. Socratic questioning inherent in well-designed AI interactions prompts students to examine assumptions, consider alternatives, and justify claims</w:t>
      </w:r>
      <w:r w:rsidR="00670F34">
        <w:t xml:space="preserve">; </w:t>
      </w:r>
      <w:r>
        <w:t>processes associated with conceptual change and transfer (Yang et al., 2025). Yang et al. found that students in guided conditions showed 47% more articulation of reasoning in interaction logs and 41% higher scores on transfer tasks. In contrast, passive delegation bypasses these cognitive processes, potentially reinforcing misconceptions and procedural knowledge without conceptual understanding (Zhang et al., 2024).</w:t>
      </w:r>
    </w:p>
    <w:p w14:paraId="5F1ACCEA" w14:textId="77777777" w:rsidR="007F1A87" w:rsidRDefault="007F1A87" w:rsidP="007F1A87">
      <w:pPr>
        <w:spacing w:after="0" w:line="240" w:lineRule="auto"/>
      </w:pPr>
    </w:p>
    <w:p w14:paraId="22340D4B" w14:textId="16D1A04C" w:rsidR="007F1A87" w:rsidRDefault="007F1A87" w:rsidP="00670F34">
      <w:pPr>
        <w:spacing w:after="0" w:line="240" w:lineRule="auto"/>
        <w:jc w:val="both"/>
      </w:pPr>
      <w:r w:rsidRPr="00171EE7">
        <w:rPr>
          <w:b/>
          <w:bCs/>
        </w:rPr>
        <w:t>Affective pathways:</w:t>
      </w:r>
      <w:r>
        <w:t xml:space="preserve"> Interaction transparency and reflective debriefing generate positive emotions</w:t>
      </w:r>
      <w:r w:rsidR="00670F34">
        <w:t xml:space="preserve"> (</w:t>
      </w:r>
      <w:r>
        <w:t>curiosity, satisfaction, confidence</w:t>
      </w:r>
      <w:r w:rsidR="00670F34">
        <w:t xml:space="preserve">) </w:t>
      </w:r>
      <w:r>
        <w:t>through productive struggle and successful resolution. The reduced frustration documented by Chen and Chen (2025) when AI provides timely, context-aware support reflects this pathway. Chen and Chen found that students in guided conditions reported 31% lower frustration levels and 28% higher satisfaction with learning experiences. Conversely, unsuccessful interactions may generate frustration, anxiety, or boredom, particularly when AI fails to understand physics-specific conventions or provides incorrect information (Han &amp; Seok Oh, 2024). These affective responses shape subsequent engagement and persistence, with Han and Seok Oh finding that frustration in early AI interactions predicted 34% lower engagement in subsequent tasks.</w:t>
      </w:r>
    </w:p>
    <w:p w14:paraId="41EEB962" w14:textId="77777777" w:rsidR="007F1A87" w:rsidRDefault="007F1A87" w:rsidP="007F1A87">
      <w:pPr>
        <w:spacing w:after="0" w:line="240" w:lineRule="auto"/>
      </w:pPr>
    </w:p>
    <w:p w14:paraId="7E4AB4D9" w14:textId="0E8C9B13" w:rsidR="007F1A87" w:rsidRDefault="007F1A87" w:rsidP="00670F34">
      <w:pPr>
        <w:spacing w:after="0" w:line="240" w:lineRule="auto"/>
        <w:jc w:val="both"/>
      </w:pPr>
      <w:r w:rsidRPr="00171EE7">
        <w:rPr>
          <w:b/>
          <w:bCs/>
        </w:rPr>
        <w:t xml:space="preserve">Motivational pathways: </w:t>
      </w:r>
      <w:r>
        <w:t>Reinforcement theory (Derakhshan et al., 2025) suggests that successful AI interactions provide rewarding experiences</w:t>
      </w:r>
      <w:r w:rsidR="00670F34">
        <w:t xml:space="preserve"> (</w:t>
      </w:r>
      <w:r>
        <w:t>accurate feedback, conceptual insight, task completion</w:t>
      </w:r>
      <w:r w:rsidR="00670F34">
        <w:t xml:space="preserve">) </w:t>
      </w:r>
      <w:r>
        <w:t>that strengthen intrinsic and extrinsic motivation. Derakhshan et al. found that high-quality AI interactions accounted for 72% of variance in motivation, with intrinsic motivation showing the strongest relationship (β = 0.58). Personalized, adaptive AI systems can create optimal challenge levels that sustain engagement. However, when AI performs work students should be learning to do themselves, it may undermine rather than support development of domain-specific motivation and self-efficacy (Darvishi et al., 2024).</w:t>
      </w:r>
    </w:p>
    <w:p w14:paraId="1308D748" w14:textId="77777777" w:rsidR="007F1A87" w:rsidRDefault="007F1A87" w:rsidP="007F1A87">
      <w:pPr>
        <w:spacing w:after="0" w:line="240" w:lineRule="auto"/>
      </w:pPr>
    </w:p>
    <w:p w14:paraId="55378EBE" w14:textId="6568D15C" w:rsidR="007F1A87" w:rsidRDefault="007F1A87" w:rsidP="00670F34">
      <w:pPr>
        <w:spacing w:after="0" w:line="240" w:lineRule="auto"/>
        <w:jc w:val="both"/>
      </w:pPr>
      <w:r w:rsidRPr="00670F34">
        <w:rPr>
          <w:b/>
          <w:bCs/>
        </w:rPr>
        <w:t>Metacognitive pathways:</w:t>
      </w:r>
      <w:r>
        <w:t xml:space="preserve"> Reflective debriefing and metacognitive prompting make metacognitive processes visible and actionable. When students must decide what to ask, evaluate whether AI responses address their needs, and regulate their subsequent actions, they engage metacognitive skills that transfer to independent learning (Lan &amp; Zhou, 2025). Lan and Zhou's systematic review found that AI interactions designed to support metacognition produced effect sizes averaging d = 0.61 for self-regulated learning outcomes. The integration of learning analytics with AI guidance can further support metacognition by making inquiry processes transparent (Chen &amp; Chen, 2025).</w:t>
      </w:r>
    </w:p>
    <w:p w14:paraId="4C1B486D" w14:textId="77777777" w:rsidR="00670F34" w:rsidRDefault="00670F34" w:rsidP="007F1A87">
      <w:pPr>
        <w:spacing w:after="0" w:line="240" w:lineRule="auto"/>
      </w:pPr>
    </w:p>
    <w:p w14:paraId="3B720C40" w14:textId="5B078F8F" w:rsidR="007F1A87" w:rsidRPr="00670F34" w:rsidRDefault="007F1A87" w:rsidP="007F1A87">
      <w:pPr>
        <w:spacing w:after="0" w:line="240" w:lineRule="auto"/>
        <w:rPr>
          <w:b/>
          <w:bCs/>
          <w:u w:val="single"/>
        </w:rPr>
      </w:pPr>
      <w:r w:rsidRPr="00670F34">
        <w:rPr>
          <w:b/>
          <w:bCs/>
          <w:u w:val="single"/>
        </w:rPr>
        <w:lastRenderedPageBreak/>
        <w:t>5. Implications for Physics Education</w:t>
      </w:r>
    </w:p>
    <w:p w14:paraId="214CBB55" w14:textId="77777777" w:rsidR="007F1A87" w:rsidRDefault="007F1A87" w:rsidP="007F1A87">
      <w:pPr>
        <w:spacing w:after="0" w:line="240" w:lineRule="auto"/>
      </w:pPr>
    </w:p>
    <w:p w14:paraId="17BB7BAE" w14:textId="4DB65CFB" w:rsidR="007F1A87" w:rsidRPr="00670F34" w:rsidRDefault="007F1A87" w:rsidP="007F1A87">
      <w:pPr>
        <w:spacing w:after="0" w:line="240" w:lineRule="auto"/>
        <w:rPr>
          <w:b/>
          <w:bCs/>
        </w:rPr>
      </w:pPr>
      <w:r w:rsidRPr="00670F34">
        <w:rPr>
          <w:b/>
          <w:bCs/>
        </w:rPr>
        <w:t>5.1 Designing Physics-Specific AI Interactions</w:t>
      </w:r>
    </w:p>
    <w:p w14:paraId="0E8486D9" w14:textId="77777777" w:rsidR="007F1A87" w:rsidRDefault="007F1A87" w:rsidP="007F1A87">
      <w:pPr>
        <w:spacing w:after="0" w:line="240" w:lineRule="auto"/>
      </w:pPr>
    </w:p>
    <w:p w14:paraId="0D35F4FF" w14:textId="7DCE5335" w:rsidR="007F1A87" w:rsidRDefault="007F1A87" w:rsidP="00670F34">
      <w:pPr>
        <w:spacing w:after="0" w:line="240" w:lineRule="auto"/>
        <w:jc w:val="both"/>
      </w:pPr>
      <w:r>
        <w:t>Physics learning presents unique affordances and challenges for GenAI integration. The multimodal capabilities of recent systems</w:t>
      </w:r>
      <w:r w:rsidR="00670F34">
        <w:t xml:space="preserve"> (</w:t>
      </w:r>
      <w:r>
        <w:t>ability to interpret diagrams, equations, and graphs</w:t>
      </w:r>
      <w:r w:rsidR="00670F34">
        <w:t xml:space="preserve">) </w:t>
      </w:r>
      <w:r>
        <w:t xml:space="preserve">create opportunities for discipline-specific scaffolding. Tufino and </w:t>
      </w:r>
      <w:proofErr w:type="spellStart"/>
      <w:r>
        <w:t>Gregorcic's</w:t>
      </w:r>
      <w:proofErr w:type="spellEnd"/>
      <w:r>
        <w:t xml:space="preserve"> (2025) demonstration of an AI system </w:t>
      </w:r>
      <w:proofErr w:type="spellStart"/>
      <w:r>
        <w:t>analyzing</w:t>
      </w:r>
      <w:proofErr w:type="spellEnd"/>
      <w:r>
        <w:t xml:space="preserve"> hand-drawn force diagrams and providing feedback on notation conventions illustrates how AI can support the visual and representational practices central to physics. In their pilot study, 89% of students reported that the system's feedback on diagram conventions helped them identify errors in their representations.</w:t>
      </w:r>
    </w:p>
    <w:p w14:paraId="6A049D05" w14:textId="77777777" w:rsidR="007F1A87" w:rsidRDefault="007F1A87" w:rsidP="007F1A87">
      <w:pPr>
        <w:spacing w:after="0" w:line="240" w:lineRule="auto"/>
      </w:pPr>
    </w:p>
    <w:p w14:paraId="4E08C678" w14:textId="77777777" w:rsidR="007F1A87" w:rsidRDefault="007F1A87" w:rsidP="00DF3BD8">
      <w:pPr>
        <w:spacing w:after="0" w:line="240" w:lineRule="auto"/>
        <w:jc w:val="both"/>
      </w:pPr>
      <w:r>
        <w:t xml:space="preserve">However, physics also presents unique challenges. Research by </w:t>
      </w:r>
      <w:proofErr w:type="spellStart"/>
      <w:r>
        <w:t>Polverini</w:t>
      </w:r>
      <w:proofErr w:type="spellEnd"/>
      <w:r>
        <w:t xml:space="preserve"> and </w:t>
      </w:r>
      <w:proofErr w:type="spellStart"/>
      <w:r>
        <w:t>Gregorcic</w:t>
      </w:r>
      <w:proofErr w:type="spellEnd"/>
      <w:r>
        <w:t xml:space="preserve"> (2024) on LLM performance on conceptual surveys like the Brief Electricity and Magnetism Assessment revealed significant difficulties, with models averaging only 67% correct responses compared to 82% for physics majors. This suggests that physics educators cannot assume AI systems will generate accurate domain-specific responses. </w:t>
      </w:r>
      <w:proofErr w:type="spellStart"/>
      <w:r>
        <w:t>Polverini</w:t>
      </w:r>
      <w:proofErr w:type="spellEnd"/>
      <w:r>
        <w:t xml:space="preserve"> and </w:t>
      </w:r>
      <w:proofErr w:type="spellStart"/>
      <w:r>
        <w:t>Gregorcic</w:t>
      </w:r>
      <w:proofErr w:type="spellEnd"/>
      <w:r>
        <w:t xml:space="preserve"> found particular weaknesses in questions requiring qualitative reasoning about vector fields and electromagnetic phenomena, areas where student misconceptions are also common. This underscores the importance of teacher guidance: configuring AI with course-specific knowledge, validating outputs, and teaching students to critically evaluate AI-generated physics content.</w:t>
      </w:r>
    </w:p>
    <w:p w14:paraId="41B2DAE3" w14:textId="77777777" w:rsidR="007F1A87" w:rsidRDefault="007F1A87" w:rsidP="007F1A87">
      <w:pPr>
        <w:spacing w:after="0" w:line="240" w:lineRule="auto"/>
      </w:pPr>
    </w:p>
    <w:p w14:paraId="62F0A3A1" w14:textId="3D7EC6A8" w:rsidR="00DF3BD8" w:rsidRDefault="007F1A87" w:rsidP="00DF3BD8">
      <w:pPr>
        <w:spacing w:after="0" w:line="240" w:lineRule="auto"/>
        <w:jc w:val="both"/>
      </w:pPr>
      <w:r>
        <w:t>Several design principles emerge for physics-specific AI integration</w:t>
      </w:r>
      <w:r w:rsidR="00DF3BD8">
        <w:t xml:space="preserve">: </w:t>
      </w:r>
    </w:p>
    <w:p w14:paraId="18A695D7" w14:textId="77777777" w:rsidR="00DF3BD8" w:rsidRDefault="007F1A87" w:rsidP="00DF3BD8">
      <w:pPr>
        <w:pStyle w:val="ListParagraph"/>
        <w:numPr>
          <w:ilvl w:val="0"/>
          <w:numId w:val="1"/>
        </w:numPr>
        <w:spacing w:after="0" w:line="240" w:lineRule="auto"/>
        <w:jc w:val="both"/>
      </w:pPr>
      <w:r w:rsidRPr="00DF3BD8">
        <w:rPr>
          <w:b/>
          <w:bCs/>
        </w:rPr>
        <w:t>First</w:t>
      </w:r>
      <w:r>
        <w:t>, AI should be configured to recognize and enforce disciplinary conventions</w:t>
      </w:r>
      <w:r w:rsidR="00DF3BD8">
        <w:t xml:space="preserve"> (</w:t>
      </w:r>
      <w:r>
        <w:t>vector notation, unit usage, diagrammatic standards</w:t>
      </w:r>
      <w:r w:rsidR="00DF3BD8">
        <w:t xml:space="preserve">) </w:t>
      </w:r>
      <w:r>
        <w:t xml:space="preserve">that may not be present in general-purpose training data. Tufino and </w:t>
      </w:r>
      <w:proofErr w:type="spellStart"/>
      <w:r>
        <w:t>Gregorcic</w:t>
      </w:r>
      <w:proofErr w:type="spellEnd"/>
      <w:r>
        <w:t xml:space="preserve"> (2025) demonstrated that providing knowledge files with course-specific conventions improved AI recognition of student diagrams by 34%. </w:t>
      </w:r>
    </w:p>
    <w:p w14:paraId="285EB394" w14:textId="77777777" w:rsidR="00DF3BD8" w:rsidRDefault="007F1A87" w:rsidP="00DF3BD8">
      <w:pPr>
        <w:pStyle w:val="ListParagraph"/>
        <w:numPr>
          <w:ilvl w:val="0"/>
          <w:numId w:val="1"/>
        </w:numPr>
        <w:spacing w:after="0" w:line="240" w:lineRule="auto"/>
        <w:jc w:val="both"/>
      </w:pPr>
      <w:r w:rsidRPr="00DF3BD8">
        <w:rPr>
          <w:b/>
          <w:bCs/>
        </w:rPr>
        <w:t>Second</w:t>
      </w:r>
      <w:r>
        <w:t xml:space="preserve">, AI should prompt students to externalize reasoning through multiple representations: verbal explanations, mathematical derivations, visual diagrams, and connections among them. </w:t>
      </w:r>
      <w:proofErr w:type="spellStart"/>
      <w:r>
        <w:t>Küchemann</w:t>
      </w:r>
      <w:proofErr w:type="spellEnd"/>
      <w:r>
        <w:t xml:space="preserve"> et al. (2024) found that multimodal AI systems that could interpret and provide feedback across representations significantly improved students' ability to translate between representations, a key physics competency. </w:t>
      </w:r>
    </w:p>
    <w:p w14:paraId="05840285" w14:textId="49CF14D3" w:rsidR="007F1A87" w:rsidRDefault="007F1A87" w:rsidP="00DF3BD8">
      <w:pPr>
        <w:pStyle w:val="ListParagraph"/>
        <w:numPr>
          <w:ilvl w:val="0"/>
          <w:numId w:val="1"/>
        </w:numPr>
        <w:spacing w:after="0" w:line="240" w:lineRule="auto"/>
        <w:jc w:val="both"/>
      </w:pPr>
      <w:r w:rsidRPr="00DF3BD8">
        <w:rPr>
          <w:b/>
          <w:bCs/>
        </w:rPr>
        <w:t>Third</w:t>
      </w:r>
      <w:r>
        <w:t>, AI should support iterative problem-solving, where initial attempts often require refinement and multiple approaches may be valid. Santos Guevara et al. (2026) found that Socratic dialogue supporting iteration led to more sophisticated final solutions and greater conceptual understanding.</w:t>
      </w:r>
    </w:p>
    <w:p w14:paraId="346169CE" w14:textId="77777777" w:rsidR="007F1A87" w:rsidRDefault="007F1A87" w:rsidP="007F1A87">
      <w:pPr>
        <w:spacing w:after="0" w:line="240" w:lineRule="auto"/>
      </w:pPr>
    </w:p>
    <w:p w14:paraId="1824D43D" w14:textId="6819EBC9" w:rsidR="007F1A87" w:rsidRPr="00670F34" w:rsidRDefault="007F1A87" w:rsidP="007F1A87">
      <w:pPr>
        <w:spacing w:after="0" w:line="240" w:lineRule="auto"/>
        <w:rPr>
          <w:b/>
          <w:bCs/>
        </w:rPr>
      </w:pPr>
      <w:r w:rsidRPr="00670F34">
        <w:rPr>
          <w:b/>
          <w:bCs/>
        </w:rPr>
        <w:t>5.2 Supporting Teacher Development</w:t>
      </w:r>
    </w:p>
    <w:p w14:paraId="57EED7D0" w14:textId="77777777" w:rsidR="007F1A87" w:rsidRDefault="007F1A87" w:rsidP="007F1A87">
      <w:pPr>
        <w:spacing w:after="0" w:line="240" w:lineRule="auto"/>
      </w:pPr>
    </w:p>
    <w:p w14:paraId="00DA347D" w14:textId="77777777" w:rsidR="007F1A87" w:rsidRDefault="007F1A87" w:rsidP="00DF3BD8">
      <w:pPr>
        <w:spacing w:after="0" w:line="240" w:lineRule="auto"/>
        <w:jc w:val="both"/>
      </w:pPr>
      <w:r>
        <w:t xml:space="preserve">The guidance practices identified in this framework require knowledge and skills that many physics teachers do not currently possess. Professional development must address both technical competencies (configuring AI tools, interpreting interaction logs) and pedagogical competencies (designing for productive interaction, facilitating reflective debriefing). The systematic review by </w:t>
      </w:r>
      <w:proofErr w:type="spellStart"/>
      <w:r>
        <w:t>Nursalim</w:t>
      </w:r>
      <w:proofErr w:type="spellEnd"/>
      <w:r>
        <w:t xml:space="preserve"> and </w:t>
      </w:r>
      <w:proofErr w:type="spellStart"/>
      <w:r>
        <w:t>Sukaria</w:t>
      </w:r>
      <w:proofErr w:type="spellEnd"/>
      <w:r>
        <w:t xml:space="preserve"> (2025) emphasizes teacher training, ethical guidelines, and algorithmic transparency as essential for promoting equitable digital learning ecosystems. Studies in their review found that teacher professional development focusing on AI integration produced effect sizes averaging d = 0.67 for implementation quality and d = 0.54 for student outcomes.</w:t>
      </w:r>
    </w:p>
    <w:p w14:paraId="4E1C3E6E" w14:textId="77777777" w:rsidR="007F1A87" w:rsidRDefault="007F1A87" w:rsidP="007F1A87">
      <w:pPr>
        <w:spacing w:after="0" w:line="240" w:lineRule="auto"/>
      </w:pPr>
    </w:p>
    <w:p w14:paraId="2C93E372" w14:textId="734F5AE8" w:rsidR="007F1A87" w:rsidRDefault="007F1A87" w:rsidP="00DF3BD8">
      <w:pPr>
        <w:spacing w:after="0" w:line="240" w:lineRule="auto"/>
        <w:jc w:val="both"/>
      </w:pPr>
      <w:r>
        <w:t xml:space="preserve">Teachers also need support in navigating ethical dimensions of AI integration. Data privacy concerns, particularly relevant when using commercial AI platforms that may store and use student data for model training, require institutional policies and teacher awareness (Tufino &amp; </w:t>
      </w:r>
      <w:proofErr w:type="spellStart"/>
      <w:r>
        <w:t>Gregorcic</w:t>
      </w:r>
      <w:proofErr w:type="spellEnd"/>
      <w:r>
        <w:t>, 2025). The digital divide</w:t>
      </w:r>
      <w:r w:rsidR="00DF3BD8">
        <w:t xml:space="preserve"> r</w:t>
      </w:r>
      <w:r>
        <w:t xml:space="preserve">isks exacerbating educational inequalities if not </w:t>
      </w:r>
      <w:r>
        <w:lastRenderedPageBreak/>
        <w:t>addressed through equitable implementation strategies (Ho et al., 2024). Ho et al. found that students from under-resourced schools were 43% less likely to have meaningful access to AI tools, and when they did have access, they received significantly less teacher guidance on effective use. Addressing these disparities requires both institutional commitment and teacher advocacy.</w:t>
      </w:r>
    </w:p>
    <w:p w14:paraId="4089576B" w14:textId="77777777" w:rsidR="007F1A87" w:rsidRDefault="007F1A87" w:rsidP="007F1A87">
      <w:pPr>
        <w:spacing w:after="0" w:line="240" w:lineRule="auto"/>
      </w:pPr>
    </w:p>
    <w:p w14:paraId="6FEB76E4" w14:textId="45777FB8" w:rsidR="007F1A87" w:rsidRPr="00670F34" w:rsidRDefault="007F1A87" w:rsidP="007F1A87">
      <w:pPr>
        <w:spacing w:after="0" w:line="240" w:lineRule="auto"/>
        <w:rPr>
          <w:b/>
          <w:bCs/>
        </w:rPr>
      </w:pPr>
      <w:r w:rsidRPr="00670F34">
        <w:rPr>
          <w:b/>
          <w:bCs/>
        </w:rPr>
        <w:t>5.3 Rethinking Assessment</w:t>
      </w:r>
    </w:p>
    <w:p w14:paraId="373CEC8F" w14:textId="77777777" w:rsidR="007F1A87" w:rsidRDefault="007F1A87" w:rsidP="007F1A87">
      <w:pPr>
        <w:spacing w:after="0" w:line="240" w:lineRule="auto"/>
      </w:pPr>
    </w:p>
    <w:p w14:paraId="374BFACC" w14:textId="77777777" w:rsidR="007F1A87" w:rsidRDefault="007F1A87" w:rsidP="00DF3BD8">
      <w:pPr>
        <w:spacing w:after="0" w:line="240" w:lineRule="auto"/>
        <w:jc w:val="both"/>
      </w:pPr>
      <w:r>
        <w:t>The GUIDE framework aligns with calls to reconceptualize assessment in the age of AI. If interaction quality predicts learning outcomes (Luo et al., 2025), then assessing the process of AI-mediated learning becomes as important as assessing final products. Luo et al. found that interaction quality measures predicted delayed conceptual understanding (r = 0.61) more strongly than final product scores (r = 0.43), suggesting that process assessment may provide more valid evidence of durable learning. This might involve evaluating student prompts, interaction logs with reflective annotations, or portfolios documenting how AI use shaped thinking over time.</w:t>
      </w:r>
    </w:p>
    <w:p w14:paraId="78E13D92" w14:textId="77777777" w:rsidR="007F1A87" w:rsidRDefault="007F1A87" w:rsidP="007F1A87">
      <w:pPr>
        <w:spacing w:after="0" w:line="240" w:lineRule="auto"/>
      </w:pPr>
    </w:p>
    <w:p w14:paraId="74040598" w14:textId="77777777" w:rsidR="007F1A87" w:rsidRDefault="007F1A87" w:rsidP="00122124">
      <w:pPr>
        <w:spacing w:after="0" w:line="240" w:lineRule="auto"/>
        <w:jc w:val="both"/>
      </w:pPr>
      <w:r>
        <w:t>For physics education, this could mean assessing not only whether students can solve problems correctly but also how they use AI to develop and refine their solutions. Do they engage in collaborative intellectual partnership, using AI to test hypotheses and explore alternatives? Or do they delegate thinking to AI, accepting outputs without understanding? Yang et al. (2025) developed rubrics for assessing interaction quality in physics contexts, evaluating dimensions such as question quality, critical evaluation of responses, and integration of AI suggestions into reasoning. These questions point toward assessment designs that capture the learning process while maintaining academic integrity.</w:t>
      </w:r>
    </w:p>
    <w:p w14:paraId="5957864A" w14:textId="77777777" w:rsidR="007F1A87" w:rsidRDefault="007F1A87" w:rsidP="007F1A87">
      <w:pPr>
        <w:spacing w:after="0" w:line="240" w:lineRule="auto"/>
      </w:pPr>
    </w:p>
    <w:p w14:paraId="051E2E89" w14:textId="146B9FCC" w:rsidR="007F1A87" w:rsidRPr="00670F34" w:rsidRDefault="007F1A87" w:rsidP="007F1A87">
      <w:pPr>
        <w:spacing w:after="0" w:line="240" w:lineRule="auto"/>
        <w:rPr>
          <w:b/>
          <w:bCs/>
          <w:u w:val="single"/>
        </w:rPr>
      </w:pPr>
      <w:r w:rsidRPr="00670F34">
        <w:rPr>
          <w:b/>
          <w:bCs/>
          <w:u w:val="single"/>
        </w:rPr>
        <w:t>6. Conclusion and Future Directions</w:t>
      </w:r>
    </w:p>
    <w:p w14:paraId="71EBEBC6" w14:textId="77777777" w:rsidR="007F1A87" w:rsidRDefault="007F1A87" w:rsidP="007F1A87">
      <w:pPr>
        <w:spacing w:after="0" w:line="240" w:lineRule="auto"/>
      </w:pPr>
    </w:p>
    <w:p w14:paraId="02C0F901" w14:textId="011A5E0A" w:rsidR="007F1A87" w:rsidRDefault="007F1A87" w:rsidP="00122124">
      <w:pPr>
        <w:spacing w:after="0" w:line="240" w:lineRule="auto"/>
        <w:jc w:val="both"/>
      </w:pPr>
      <w:r>
        <w:t>This conceptual paper has synthesized recent empirical research to develop the GUIDE framework for understanding and guiding student-GenAI interaction in physics learning. The framework identifies interaction archetypes associated with successful versus unsuccessful outcomes, articulates pathways through which interactions shape cognitive, affective, and motivational results, and proposes five teacher guidance practices</w:t>
      </w:r>
      <w:r w:rsidR="00122124">
        <w:t xml:space="preserve"> (</w:t>
      </w:r>
      <w:r w:rsidRPr="00122124">
        <w:rPr>
          <w:i/>
          <w:iCs/>
        </w:rPr>
        <w:t xml:space="preserve">Guide configuration, </w:t>
      </w:r>
      <w:proofErr w:type="gramStart"/>
      <w:r w:rsidRPr="00122124">
        <w:rPr>
          <w:i/>
          <w:iCs/>
        </w:rPr>
        <w:t>Uncover</w:t>
      </w:r>
      <w:proofErr w:type="gramEnd"/>
      <w:r w:rsidRPr="00122124">
        <w:rPr>
          <w:i/>
          <w:iCs/>
        </w:rPr>
        <w:t xml:space="preserve"> patterns, </w:t>
      </w:r>
      <w:proofErr w:type="gramStart"/>
      <w:r w:rsidRPr="00122124">
        <w:rPr>
          <w:i/>
          <w:iCs/>
        </w:rPr>
        <w:t>Invite</w:t>
      </w:r>
      <w:proofErr w:type="gramEnd"/>
      <w:r w:rsidRPr="00122124">
        <w:rPr>
          <w:i/>
          <w:iCs/>
        </w:rPr>
        <w:t xml:space="preserve"> dialogue, </w:t>
      </w:r>
      <w:proofErr w:type="gramStart"/>
      <w:r w:rsidRPr="00122124">
        <w:rPr>
          <w:i/>
          <w:iCs/>
        </w:rPr>
        <w:t>Develop</w:t>
      </w:r>
      <w:proofErr w:type="gramEnd"/>
      <w:r w:rsidRPr="00122124">
        <w:rPr>
          <w:i/>
          <w:iCs/>
        </w:rPr>
        <w:t xml:space="preserve"> awareness, </w:t>
      </w:r>
      <w:r w:rsidRPr="00122124">
        <w:t>and</w:t>
      </w:r>
      <w:r w:rsidRPr="00122124">
        <w:rPr>
          <w:i/>
          <w:iCs/>
        </w:rPr>
        <w:t xml:space="preserve"> Engage metacognition</w:t>
      </w:r>
      <w:r w:rsidR="00122124">
        <w:t xml:space="preserve">) </w:t>
      </w:r>
      <w:r>
        <w:t>for fostering productive engagement.</w:t>
      </w:r>
    </w:p>
    <w:p w14:paraId="401D4865" w14:textId="77777777" w:rsidR="007F1A87" w:rsidRDefault="007F1A87" w:rsidP="007F1A87">
      <w:pPr>
        <w:spacing w:after="0" w:line="240" w:lineRule="auto"/>
      </w:pPr>
    </w:p>
    <w:p w14:paraId="3E6F2AE7" w14:textId="676BF700" w:rsidR="007F1A87" w:rsidRDefault="007F1A87" w:rsidP="00122124">
      <w:pPr>
        <w:spacing w:after="0" w:line="240" w:lineRule="auto"/>
        <w:jc w:val="both"/>
      </w:pPr>
      <w:r>
        <w:t xml:space="preserve">Several directions for future research emerge from this analysis. </w:t>
      </w:r>
      <w:r w:rsidRPr="00122124">
        <w:rPr>
          <w:b/>
          <w:bCs/>
        </w:rPr>
        <w:t>First,</w:t>
      </w:r>
      <w:r>
        <w:t xml:space="preserve"> empirical validation of the GUIDE framework in authentic physics classrooms is needed. While the framework synthesizes existing findings, its specific predictions about guidance-outcome relationships require testing across diverse physics topics (mechanics, electromagnetism, thermodynamics) and educational levels (introductory, advanced undergraduate, graduate). </w:t>
      </w:r>
      <w:r w:rsidRPr="00122124">
        <w:rPr>
          <w:b/>
          <w:bCs/>
        </w:rPr>
        <w:t>Second</w:t>
      </w:r>
      <w:r>
        <w:t xml:space="preserve">, longitudinal studies examining how interaction patterns develop over time as students gain AI literacy would illuminate developmental trajectories and inform sequencing of guidance practices. Kim et al. (2025) found that AI literacy develops in stages, with different guidance needs at each stage, suggesting the need for differentiated support. </w:t>
      </w:r>
      <w:r w:rsidRPr="00122124">
        <w:rPr>
          <w:b/>
          <w:bCs/>
        </w:rPr>
        <w:t>Third</w:t>
      </w:r>
      <w:r>
        <w:t>, research on discipline-specific differences in productive interaction</w:t>
      </w:r>
      <w:r w:rsidR="00122124">
        <w:t xml:space="preserve"> (</w:t>
      </w:r>
      <w:r>
        <w:t>how physics learning may require different interaction patterns than other domains</w:t>
      </w:r>
      <w:r w:rsidR="00122124">
        <w:t xml:space="preserve">) </w:t>
      </w:r>
      <w:r>
        <w:t xml:space="preserve">would refine the framework's applicability. Comparative studies across STEM disciplines could identify domain-general versus domain-specific guidance principles. </w:t>
      </w:r>
      <w:r w:rsidRPr="00122124">
        <w:rPr>
          <w:b/>
          <w:bCs/>
        </w:rPr>
        <w:t>Fourth</w:t>
      </w:r>
      <w:r>
        <w:t>, investigation of teacher learning and professional development needs would support translation of the framework into practice, including design of effective professional development programs and identification of implementation barriers.</w:t>
      </w:r>
    </w:p>
    <w:p w14:paraId="49CDB317" w14:textId="77777777" w:rsidR="007F1A87" w:rsidRDefault="007F1A87" w:rsidP="007F1A87">
      <w:pPr>
        <w:spacing w:after="0" w:line="240" w:lineRule="auto"/>
      </w:pPr>
    </w:p>
    <w:p w14:paraId="735C44A8" w14:textId="048A6C62" w:rsidR="007F1A87" w:rsidRDefault="007F1A87" w:rsidP="00122124">
      <w:pPr>
        <w:spacing w:after="0" w:line="240" w:lineRule="auto"/>
        <w:jc w:val="both"/>
      </w:pPr>
      <w:r>
        <w:t xml:space="preserve">The integration of GenAI into physics education is not a question of whether but how. The evidence reviewed here suggests that educational outcomes of AI integration depend critically on interaction quality, which in turn depends on thoughtful teacher guidance. By positioning </w:t>
      </w:r>
      <w:r>
        <w:lastRenderedPageBreak/>
        <w:t>teachers as guides of productive student-AI partnerships, the GUIDE framework offers a conceptual foundation for realizing the transformative potential of GenAI while preserving the cognitive, affective, and motivational benefits of engaged physics learning. As AI capabilities continue to evolve, the teacher's role as guide becomes not less but more important</w:t>
      </w:r>
      <w:r w:rsidR="00122124">
        <w:t xml:space="preserve">, that is </w:t>
      </w:r>
      <w:r>
        <w:t>ensuring that technology serves pedagogical goals rather than dictating them, and that students develop not only physics knowledge but also the metacognitive skills to navigate an AI-augmented world.</w:t>
      </w:r>
    </w:p>
    <w:p w14:paraId="35C2CFED" w14:textId="77777777" w:rsidR="007F1A87" w:rsidRDefault="007F1A87" w:rsidP="007F1A87">
      <w:pPr>
        <w:spacing w:after="0" w:line="240" w:lineRule="auto"/>
      </w:pPr>
    </w:p>
    <w:p w14:paraId="2ADC1D9D" w14:textId="77777777" w:rsidR="00670F34" w:rsidRDefault="00670F34" w:rsidP="007F1A87">
      <w:pPr>
        <w:spacing w:after="0" w:line="240" w:lineRule="auto"/>
      </w:pPr>
    </w:p>
    <w:p w14:paraId="1D8A22EF" w14:textId="03107EC6" w:rsidR="007F1A87" w:rsidRPr="00670F34" w:rsidRDefault="007F1A87" w:rsidP="007F1A87">
      <w:pPr>
        <w:spacing w:after="0" w:line="240" w:lineRule="auto"/>
        <w:rPr>
          <w:b/>
          <w:bCs/>
        </w:rPr>
      </w:pPr>
      <w:r w:rsidRPr="00670F34">
        <w:rPr>
          <w:b/>
          <w:bCs/>
        </w:rPr>
        <w:t>References</w:t>
      </w:r>
    </w:p>
    <w:p w14:paraId="576AFE71" w14:textId="77777777" w:rsidR="007F1A87" w:rsidRDefault="007F1A87" w:rsidP="007F1A87">
      <w:pPr>
        <w:spacing w:after="0" w:line="240" w:lineRule="auto"/>
      </w:pPr>
    </w:p>
    <w:p w14:paraId="3EB02A2A" w14:textId="77777777" w:rsidR="007F1A87" w:rsidRDefault="007F1A87" w:rsidP="007F1A87">
      <w:pPr>
        <w:spacing w:after="0" w:line="240" w:lineRule="auto"/>
      </w:pPr>
      <w:r>
        <w:t>Chen, J., &amp; Chen, D. (2025). Fostering scientific inquiry with hybrid intelligence: A semester-long experiment on knowledge acquisition in the science classroom. *Computers &amp; Education, 242*, 105493.</w:t>
      </w:r>
    </w:p>
    <w:p w14:paraId="074E636E" w14:textId="77777777" w:rsidR="007F1A87" w:rsidRDefault="007F1A87" w:rsidP="007F1A87">
      <w:pPr>
        <w:spacing w:after="0" w:line="240" w:lineRule="auto"/>
      </w:pPr>
    </w:p>
    <w:p w14:paraId="65492217" w14:textId="77777777" w:rsidR="007F1A87" w:rsidRDefault="007F1A87" w:rsidP="007F1A87">
      <w:pPr>
        <w:spacing w:after="0" w:line="240" w:lineRule="auto"/>
      </w:pPr>
      <w:r>
        <w:t>Chen, A., Zhang, Y., Jia, J., &amp; Liang, M. (2025). A systematic review and meta-analysis of AI-enabled assessment in language learning: Design, implementation, and effectiveness. *Journal of Computer Assisted Learning, 41*(2), 130-148.</w:t>
      </w:r>
    </w:p>
    <w:p w14:paraId="41ADAFDC" w14:textId="77777777" w:rsidR="007F1A87" w:rsidRDefault="007F1A87" w:rsidP="007F1A87">
      <w:pPr>
        <w:spacing w:after="0" w:line="240" w:lineRule="auto"/>
      </w:pPr>
    </w:p>
    <w:p w14:paraId="3F406D27" w14:textId="77777777" w:rsidR="007F1A87" w:rsidRDefault="007F1A87" w:rsidP="007F1A87">
      <w:pPr>
        <w:spacing w:after="0" w:line="240" w:lineRule="auto"/>
      </w:pPr>
      <w:r>
        <w:t>Cheng, L., Wang, X., &amp; Liu, Z. (2024). Mapping student interaction patterns with generative AI in academic writing. *Computers and Education: Artificial Intelligence, 6*, 100212.</w:t>
      </w:r>
    </w:p>
    <w:p w14:paraId="25A85007" w14:textId="77777777" w:rsidR="007F1A87" w:rsidRDefault="007F1A87" w:rsidP="007F1A87">
      <w:pPr>
        <w:spacing w:after="0" w:line="240" w:lineRule="auto"/>
      </w:pPr>
    </w:p>
    <w:p w14:paraId="4512F4BC" w14:textId="77777777" w:rsidR="007F1A87" w:rsidRDefault="007F1A87" w:rsidP="007F1A87">
      <w:pPr>
        <w:spacing w:after="0" w:line="240" w:lineRule="auto"/>
      </w:pPr>
      <w:r>
        <w:t xml:space="preserve">Darvishi, A., Khosravi, H., Sadiq, S., &amp; </w:t>
      </w:r>
      <w:proofErr w:type="spellStart"/>
      <w:r>
        <w:t>Gasevic</w:t>
      </w:r>
      <w:proofErr w:type="spellEnd"/>
      <w:r>
        <w:t>, D. (2024). Investigating the impact of AI-generated feedback on student learning and self-regulation. *British Journal of Educational Technology, 55*(3), 891-910.</w:t>
      </w:r>
    </w:p>
    <w:p w14:paraId="0343A21F" w14:textId="77777777" w:rsidR="007F1A87" w:rsidRDefault="007F1A87" w:rsidP="007F1A87">
      <w:pPr>
        <w:spacing w:after="0" w:line="240" w:lineRule="auto"/>
      </w:pPr>
    </w:p>
    <w:p w14:paraId="54AF4039" w14:textId="77777777" w:rsidR="007F1A87" w:rsidRDefault="007F1A87" w:rsidP="007F1A87">
      <w:pPr>
        <w:spacing w:after="0" w:line="240" w:lineRule="auto"/>
      </w:pPr>
      <w:r>
        <w:t xml:space="preserve">Derakhshan, A., Wang, Y., &amp; Liu, X. (2025). Harnessing generative AI: Exploring its impact on cognitive engagement, emotional engagement, learning retention, reward sensitivity, and motivation through reinforcement theory. *Acta </w:t>
      </w:r>
      <w:proofErr w:type="spellStart"/>
      <w:r>
        <w:t>Psychologica</w:t>
      </w:r>
      <w:proofErr w:type="spellEnd"/>
      <w:r>
        <w:t>, 253*, 104743.</w:t>
      </w:r>
    </w:p>
    <w:p w14:paraId="623FB70E" w14:textId="77777777" w:rsidR="007F1A87" w:rsidRDefault="007F1A87" w:rsidP="007F1A87">
      <w:pPr>
        <w:spacing w:after="0" w:line="240" w:lineRule="auto"/>
      </w:pPr>
    </w:p>
    <w:p w14:paraId="415E7797" w14:textId="77777777" w:rsidR="007F1A87" w:rsidRDefault="007F1A87" w:rsidP="007F1A87">
      <w:pPr>
        <w:spacing w:after="0" w:line="240" w:lineRule="auto"/>
      </w:pPr>
      <w:proofErr w:type="spellStart"/>
      <w:r>
        <w:t>Dillenbourg</w:t>
      </w:r>
      <w:proofErr w:type="spellEnd"/>
      <w:r>
        <w:t>, P. (2013). Design for classroom orchestration. *Computers &amp; Education, 69*, 485-492.</w:t>
      </w:r>
    </w:p>
    <w:p w14:paraId="601EBE16" w14:textId="77777777" w:rsidR="007F1A87" w:rsidRDefault="007F1A87" w:rsidP="007F1A87">
      <w:pPr>
        <w:spacing w:after="0" w:line="240" w:lineRule="auto"/>
      </w:pPr>
    </w:p>
    <w:p w14:paraId="166F30DB" w14:textId="77777777" w:rsidR="007F1A87" w:rsidRDefault="007F1A87" w:rsidP="007F1A87">
      <w:pPr>
        <w:spacing w:after="0" w:line="240" w:lineRule="auto"/>
      </w:pPr>
      <w:proofErr w:type="spellStart"/>
      <w:r>
        <w:t>Dillenbourg</w:t>
      </w:r>
      <w:proofErr w:type="spellEnd"/>
      <w:r>
        <w:t>, P., Järvelä, S., &amp; Fischer, F. (2011). The evolution of research on computer-supported collaborative learning. In *Technology-enhanced learning* (pp. 3-19). Springer.</w:t>
      </w:r>
    </w:p>
    <w:p w14:paraId="42B1F363" w14:textId="77777777" w:rsidR="007F1A87" w:rsidRDefault="007F1A87" w:rsidP="007F1A87">
      <w:pPr>
        <w:spacing w:after="0" w:line="240" w:lineRule="auto"/>
      </w:pPr>
    </w:p>
    <w:p w14:paraId="3FD2EEC9" w14:textId="77777777" w:rsidR="007F1A87" w:rsidRDefault="007F1A87" w:rsidP="007F1A87">
      <w:pPr>
        <w:spacing w:after="0" w:line="240" w:lineRule="auto"/>
      </w:pPr>
      <w:r>
        <w:t>Fleckenstein, J., Meyer, J., Jansen, T., Keller, S., &amp; Möller, J. (2024). Do teachers spot AI? Evaluating the detectability of AI-generated texts among student essays. *Computers &amp; Education, 212*, 104987.</w:t>
      </w:r>
    </w:p>
    <w:p w14:paraId="1A1F7C59" w14:textId="77777777" w:rsidR="007F1A87" w:rsidRDefault="007F1A87" w:rsidP="007F1A87">
      <w:pPr>
        <w:spacing w:after="0" w:line="240" w:lineRule="auto"/>
      </w:pPr>
    </w:p>
    <w:p w14:paraId="44F22851" w14:textId="77777777" w:rsidR="007F1A87" w:rsidRDefault="007F1A87" w:rsidP="007F1A87">
      <w:pPr>
        <w:spacing w:after="0" w:line="240" w:lineRule="auto"/>
      </w:pPr>
      <w:r>
        <w:t>Han, J., &amp; Seok Oh, S. (2024). The role of AI feedback in reducing student frustration during complex problem-solving. *Educational Technology Research and Development, 72*(3), 1457-1478.</w:t>
      </w:r>
    </w:p>
    <w:p w14:paraId="190177EE" w14:textId="77777777" w:rsidR="007F1A87" w:rsidRDefault="007F1A87" w:rsidP="007F1A87">
      <w:pPr>
        <w:spacing w:after="0" w:line="240" w:lineRule="auto"/>
      </w:pPr>
    </w:p>
    <w:p w14:paraId="6862AA65" w14:textId="77777777" w:rsidR="007F1A87" w:rsidRDefault="007F1A87" w:rsidP="007F1A87">
      <w:pPr>
        <w:spacing w:after="0" w:line="240" w:lineRule="auto"/>
      </w:pPr>
      <w:r>
        <w:t>Ho, M.-T., Mantello, P., &amp; Ho, M.-T. (2024). The digital divide in intelligent tutoring systems: Access, equity, and the future of AI in education. *AI &amp; Society, 39*(2), 567-582.</w:t>
      </w:r>
    </w:p>
    <w:p w14:paraId="2C2FC2BA" w14:textId="77777777" w:rsidR="007F1A87" w:rsidRDefault="007F1A87" w:rsidP="007F1A87">
      <w:pPr>
        <w:spacing w:after="0" w:line="240" w:lineRule="auto"/>
      </w:pPr>
    </w:p>
    <w:p w14:paraId="3F4E31D6" w14:textId="77777777" w:rsidR="007F1A87" w:rsidRDefault="007F1A87" w:rsidP="007F1A87">
      <w:pPr>
        <w:spacing w:after="0" w:line="240" w:lineRule="auto"/>
      </w:pPr>
      <w:r>
        <w:t>Hou, Y., Wang, X., &amp; Chen, J. (2025). Supporting self-regulated learning with learning analytics and AI: A classroom implementation study. *Journal of Learning Analytics, 12*(1), 78-95.</w:t>
      </w:r>
    </w:p>
    <w:p w14:paraId="35DAB788" w14:textId="77777777" w:rsidR="007F1A87" w:rsidRDefault="007F1A87" w:rsidP="007F1A87">
      <w:pPr>
        <w:spacing w:after="0" w:line="240" w:lineRule="auto"/>
      </w:pPr>
    </w:p>
    <w:p w14:paraId="22BFBF9D" w14:textId="77777777" w:rsidR="007F1A87" w:rsidRDefault="007F1A87" w:rsidP="007F1A87">
      <w:pPr>
        <w:spacing w:after="0" w:line="240" w:lineRule="auto"/>
      </w:pPr>
      <w:r>
        <w:t>Jiang, Y., Li, X., &amp; Zhao, S. (2024). Emotional engagement with AI in education: A systematic review. *Educational Psychology Review, 36*(2), 1-28.</w:t>
      </w:r>
    </w:p>
    <w:p w14:paraId="3126B065" w14:textId="77777777" w:rsidR="007F1A87" w:rsidRDefault="007F1A87" w:rsidP="007F1A87">
      <w:pPr>
        <w:spacing w:after="0" w:line="240" w:lineRule="auto"/>
      </w:pPr>
    </w:p>
    <w:p w14:paraId="3449DBAC" w14:textId="77777777" w:rsidR="007F1A87" w:rsidRDefault="007F1A87" w:rsidP="007F1A87">
      <w:pPr>
        <w:spacing w:after="0" w:line="240" w:lineRule="auto"/>
      </w:pPr>
      <w:r>
        <w:lastRenderedPageBreak/>
        <w:t>Kim, J., Yu, J., Lee, S., &amp; Detrick, R. (2025). AI literacy and writing outcomes: How students' understanding of AI shapes their academic writing. *Computers and Education: Artificial Intelligence, 8*, 100289.</w:t>
      </w:r>
    </w:p>
    <w:p w14:paraId="107D2C2E" w14:textId="77777777" w:rsidR="007F1A87" w:rsidRDefault="007F1A87" w:rsidP="007F1A87">
      <w:pPr>
        <w:spacing w:after="0" w:line="240" w:lineRule="auto"/>
      </w:pPr>
    </w:p>
    <w:p w14:paraId="2D149A42" w14:textId="77777777" w:rsidR="007F1A87" w:rsidRDefault="007F1A87" w:rsidP="007F1A87">
      <w:pPr>
        <w:spacing w:after="0" w:line="240" w:lineRule="auto"/>
      </w:pPr>
      <w:r>
        <w:t>Kim, M., Park, S., &amp; Lee, H. (2024). Designing educational dashboards for monitoring student-AI interactions. *British Journal of Educational Technology, 55*(2), 412-430.</w:t>
      </w:r>
    </w:p>
    <w:p w14:paraId="0A6E9CA3" w14:textId="77777777" w:rsidR="007F1A87" w:rsidRDefault="007F1A87" w:rsidP="007F1A87">
      <w:pPr>
        <w:spacing w:after="0" w:line="240" w:lineRule="auto"/>
      </w:pPr>
    </w:p>
    <w:p w14:paraId="507BD7B4" w14:textId="77777777" w:rsidR="007F1A87" w:rsidRDefault="007F1A87" w:rsidP="007F1A87">
      <w:pPr>
        <w:spacing w:after="0" w:line="240" w:lineRule="auto"/>
      </w:pPr>
      <w:proofErr w:type="spellStart"/>
      <w:r>
        <w:t>Küchemann</w:t>
      </w:r>
      <w:proofErr w:type="spellEnd"/>
      <w:r>
        <w:t>, S., Steinert, S., &amp; Kuhn, J. (2024). Large multimodal foundation models in physics education: Opportunities and challenges. *The Physics Teacher, 62*(4), 278-282.</w:t>
      </w:r>
    </w:p>
    <w:p w14:paraId="3A0F00F6" w14:textId="77777777" w:rsidR="007F1A87" w:rsidRDefault="007F1A87" w:rsidP="007F1A87">
      <w:pPr>
        <w:spacing w:after="0" w:line="240" w:lineRule="auto"/>
      </w:pPr>
    </w:p>
    <w:p w14:paraId="6CA4BEC6" w14:textId="77777777" w:rsidR="007F1A87" w:rsidRDefault="007F1A87" w:rsidP="007F1A87">
      <w:pPr>
        <w:spacing w:after="0" w:line="240" w:lineRule="auto"/>
      </w:pPr>
      <w:r>
        <w:t>Lan, M., &amp; Zhou, X. (2025). A qualitative systematic review on AI empowered self-regulated learning in higher education. *</w:t>
      </w:r>
      <w:proofErr w:type="spellStart"/>
      <w:proofErr w:type="gramStart"/>
      <w:r>
        <w:t>npj</w:t>
      </w:r>
      <w:proofErr w:type="spellEnd"/>
      <w:proofErr w:type="gramEnd"/>
      <w:r>
        <w:t xml:space="preserve"> Science of Learning, 10*(1), 12.</w:t>
      </w:r>
    </w:p>
    <w:p w14:paraId="073790DE" w14:textId="77777777" w:rsidR="007F1A87" w:rsidRDefault="007F1A87" w:rsidP="007F1A87">
      <w:pPr>
        <w:spacing w:after="0" w:line="240" w:lineRule="auto"/>
      </w:pPr>
    </w:p>
    <w:p w14:paraId="79BD4D84" w14:textId="77777777" w:rsidR="007F1A87" w:rsidRDefault="007F1A87" w:rsidP="007F1A87">
      <w:pPr>
        <w:spacing w:after="0" w:line="240" w:lineRule="auto"/>
      </w:pPr>
      <w:r>
        <w:t>Lu, X., Wang, Y., &amp; Zhang, H. (2024). Generative AI and student motivation: A reinforcement theory perspective. *Learning and Individual Differences, 110*, 102451.</w:t>
      </w:r>
    </w:p>
    <w:p w14:paraId="6E53BBFC" w14:textId="77777777" w:rsidR="007F1A87" w:rsidRDefault="007F1A87" w:rsidP="007F1A87">
      <w:pPr>
        <w:spacing w:after="0" w:line="240" w:lineRule="auto"/>
      </w:pPr>
    </w:p>
    <w:p w14:paraId="1D5F9647" w14:textId="77777777" w:rsidR="007F1A87" w:rsidRDefault="007F1A87" w:rsidP="007F1A87">
      <w:pPr>
        <w:spacing w:after="0" w:line="240" w:lineRule="auto"/>
      </w:pPr>
      <w:r>
        <w:t>Luo, J., Zheng, C., Yin, J., &amp; Teo, H. H. (2025). Design and assessment of AI-based learning tools in higher education: A systematic review. *International Journal of Educational Technology in Higher Education, 22*(1), 15.</w:t>
      </w:r>
    </w:p>
    <w:p w14:paraId="7714F2A3" w14:textId="77777777" w:rsidR="007F1A87" w:rsidRDefault="007F1A87" w:rsidP="007F1A87">
      <w:pPr>
        <w:spacing w:after="0" w:line="240" w:lineRule="auto"/>
      </w:pPr>
    </w:p>
    <w:p w14:paraId="79AD570A" w14:textId="77777777" w:rsidR="007F1A87" w:rsidRDefault="007F1A87" w:rsidP="007F1A87">
      <w:pPr>
        <w:spacing w:after="0" w:line="240" w:lineRule="auto"/>
      </w:pPr>
      <w:r>
        <w:t>Nguyen, T., Tran, H., &amp; Pham, L. (2024). Collaboration profiles in human-AI academic writing: Structured adaptivity versus unstructured streamline. *Journal of Writing Research, 15*(3), 421-448.</w:t>
      </w:r>
    </w:p>
    <w:p w14:paraId="09F11658" w14:textId="77777777" w:rsidR="007F1A87" w:rsidRDefault="007F1A87" w:rsidP="007F1A87">
      <w:pPr>
        <w:spacing w:after="0" w:line="240" w:lineRule="auto"/>
      </w:pPr>
    </w:p>
    <w:p w14:paraId="00F2DD41" w14:textId="77777777" w:rsidR="007F1A87" w:rsidRDefault="007F1A87" w:rsidP="007F1A87">
      <w:pPr>
        <w:spacing w:after="0" w:line="240" w:lineRule="auto"/>
      </w:pPr>
      <w:proofErr w:type="spellStart"/>
      <w:r>
        <w:t>Nursalim</w:t>
      </w:r>
      <w:proofErr w:type="spellEnd"/>
      <w:r>
        <w:t xml:space="preserve">, &amp; </w:t>
      </w:r>
      <w:proofErr w:type="spellStart"/>
      <w:r>
        <w:t>Sukaria</w:t>
      </w:r>
      <w:proofErr w:type="spellEnd"/>
      <w:r>
        <w:t>, M. I. (2025). Evaluating the credibility of AI-based authentic assessment in early numeracy education: A systematic review. *Information Technology Education Journal, 4*(3), 519-526.</w:t>
      </w:r>
    </w:p>
    <w:p w14:paraId="001EAB55" w14:textId="77777777" w:rsidR="007F1A87" w:rsidRDefault="007F1A87" w:rsidP="007F1A87">
      <w:pPr>
        <w:spacing w:after="0" w:line="240" w:lineRule="auto"/>
      </w:pPr>
    </w:p>
    <w:p w14:paraId="339F8F82" w14:textId="77777777" w:rsidR="007F1A87" w:rsidRDefault="007F1A87" w:rsidP="007F1A87">
      <w:pPr>
        <w:spacing w:after="0" w:line="240" w:lineRule="auto"/>
      </w:pPr>
      <w:r>
        <w:t>Pigg, S. (2024). Classifying student-AI interaction patterns in writing-intensive courses. *Computers and Composition, 71*, 102825.</w:t>
      </w:r>
    </w:p>
    <w:p w14:paraId="0B5132FA" w14:textId="77777777" w:rsidR="007F1A87" w:rsidRDefault="007F1A87" w:rsidP="007F1A87">
      <w:pPr>
        <w:spacing w:after="0" w:line="240" w:lineRule="auto"/>
      </w:pPr>
    </w:p>
    <w:p w14:paraId="451D4622" w14:textId="77777777" w:rsidR="007F1A87" w:rsidRDefault="007F1A87" w:rsidP="007F1A87">
      <w:pPr>
        <w:spacing w:after="0" w:line="240" w:lineRule="auto"/>
      </w:pPr>
      <w:proofErr w:type="spellStart"/>
      <w:r>
        <w:t>Polverini</w:t>
      </w:r>
      <w:proofErr w:type="spellEnd"/>
      <w:r>
        <w:t xml:space="preserve">, G., &amp; </w:t>
      </w:r>
      <w:proofErr w:type="spellStart"/>
      <w:r>
        <w:t>Gregorcic</w:t>
      </w:r>
      <w:proofErr w:type="spellEnd"/>
      <w:r>
        <w:t>, B. (2024). Performance of large language models on conceptual physics assessments. *Physical Review Physics Education Research, 20*(1), 010134.</w:t>
      </w:r>
    </w:p>
    <w:p w14:paraId="0F1871BA" w14:textId="77777777" w:rsidR="007F1A87" w:rsidRDefault="007F1A87" w:rsidP="007F1A87">
      <w:pPr>
        <w:spacing w:after="0" w:line="240" w:lineRule="auto"/>
      </w:pPr>
    </w:p>
    <w:p w14:paraId="37CFAB36" w14:textId="77777777" w:rsidR="007F1A87" w:rsidRDefault="007F1A87" w:rsidP="007F1A87">
      <w:pPr>
        <w:spacing w:after="0" w:line="240" w:lineRule="auto"/>
      </w:pPr>
      <w:r>
        <w:t xml:space="preserve">Santos Guevara, A., </w:t>
      </w:r>
      <w:proofErr w:type="spellStart"/>
      <w:r>
        <w:t>Aquines</w:t>
      </w:r>
      <w:proofErr w:type="spellEnd"/>
      <w:r>
        <w:t xml:space="preserve"> Gutiérrez, O., Martínez-Huerta, H., Chavarría Garza, W. X., &amp; Azuela Gutiérrez, J. A. (2026). Fostering student engagement and learning perception through Socratic dialogue with ChatGPT: A case study in physics education. *Education Sciences*, forthcoming.</w:t>
      </w:r>
    </w:p>
    <w:p w14:paraId="34E80AC3" w14:textId="77777777" w:rsidR="007F1A87" w:rsidRDefault="007F1A87" w:rsidP="007F1A87">
      <w:pPr>
        <w:spacing w:after="0" w:line="240" w:lineRule="auto"/>
      </w:pPr>
    </w:p>
    <w:p w14:paraId="44F1B401" w14:textId="77777777" w:rsidR="007F1A87" w:rsidRDefault="007F1A87" w:rsidP="007F1A87">
      <w:pPr>
        <w:spacing w:after="0" w:line="240" w:lineRule="auto"/>
      </w:pPr>
      <w:r>
        <w:t xml:space="preserve">Swiecki, Z., Khosravi, H., Chen, G., Martinez-Maldonado, R., Lodge, J. M., Milligan, S., ... &amp; </w:t>
      </w:r>
      <w:proofErr w:type="spellStart"/>
      <w:r>
        <w:t>Gašević</w:t>
      </w:r>
      <w:proofErr w:type="spellEnd"/>
      <w:r>
        <w:t>, D. (2022). Assessment in the age of artificial intelligence. *Computers and Education: Artificial Intelligence, 3*, 100075.</w:t>
      </w:r>
    </w:p>
    <w:p w14:paraId="07936A0D" w14:textId="77777777" w:rsidR="007F1A87" w:rsidRDefault="007F1A87" w:rsidP="007F1A87">
      <w:pPr>
        <w:spacing w:after="0" w:line="240" w:lineRule="auto"/>
      </w:pPr>
    </w:p>
    <w:p w14:paraId="3D58267A" w14:textId="77777777" w:rsidR="007F1A87" w:rsidRDefault="007F1A87" w:rsidP="007F1A87">
      <w:pPr>
        <w:spacing w:after="0" w:line="240" w:lineRule="auto"/>
      </w:pPr>
      <w:proofErr w:type="spellStart"/>
      <w:r>
        <w:t>Topali</w:t>
      </w:r>
      <w:proofErr w:type="spellEnd"/>
      <w:r>
        <w:t xml:space="preserve">, P., </w:t>
      </w:r>
      <w:proofErr w:type="spellStart"/>
      <w:r>
        <w:t>Haelermans</w:t>
      </w:r>
      <w:proofErr w:type="spellEnd"/>
      <w:r>
        <w:t xml:space="preserve">, C., &amp; Molenaar, I. (2025). Pedagogical considerations in the automation era: A systematic literature review of </w:t>
      </w:r>
      <w:proofErr w:type="spellStart"/>
      <w:r>
        <w:t>AIEd</w:t>
      </w:r>
      <w:proofErr w:type="spellEnd"/>
      <w:r>
        <w:t xml:space="preserve"> in K-12 authentic settings. *British Educational Research Journal*, early view.</w:t>
      </w:r>
    </w:p>
    <w:p w14:paraId="79C8E12C" w14:textId="77777777" w:rsidR="007F1A87" w:rsidRDefault="007F1A87" w:rsidP="007F1A87">
      <w:pPr>
        <w:spacing w:after="0" w:line="240" w:lineRule="auto"/>
      </w:pPr>
    </w:p>
    <w:p w14:paraId="2A73406F" w14:textId="77777777" w:rsidR="007F1A87" w:rsidRDefault="007F1A87" w:rsidP="007F1A87">
      <w:pPr>
        <w:spacing w:after="0" w:line="240" w:lineRule="auto"/>
      </w:pPr>
      <w:r>
        <w:t xml:space="preserve">Tufino, E., &amp; </w:t>
      </w:r>
      <w:proofErr w:type="spellStart"/>
      <w:r>
        <w:t>Gregorcic</w:t>
      </w:r>
      <w:proofErr w:type="spellEnd"/>
      <w:r>
        <w:t>, B. (2025). Creating a customisable Socratic AI physics tutor. *Physics Education, 60*(6), 065037.</w:t>
      </w:r>
    </w:p>
    <w:p w14:paraId="227BA816" w14:textId="77777777" w:rsidR="007F1A87" w:rsidRDefault="007F1A87" w:rsidP="007F1A87">
      <w:pPr>
        <w:spacing w:after="0" w:line="240" w:lineRule="auto"/>
      </w:pPr>
    </w:p>
    <w:p w14:paraId="7CEC0B96" w14:textId="77777777" w:rsidR="007F1A87" w:rsidRDefault="007F1A87" w:rsidP="007F1A87">
      <w:pPr>
        <w:spacing w:after="0" w:line="240" w:lineRule="auto"/>
      </w:pPr>
      <w:r>
        <w:t>Vygotsky, L. S. (1978). *Mind in society: The development of higher psychological processes*. Harvard University Press.</w:t>
      </w:r>
    </w:p>
    <w:p w14:paraId="06857128" w14:textId="77777777" w:rsidR="007F1A87" w:rsidRDefault="007F1A87" w:rsidP="007F1A87">
      <w:pPr>
        <w:spacing w:after="0" w:line="240" w:lineRule="auto"/>
      </w:pPr>
    </w:p>
    <w:p w14:paraId="4852C227" w14:textId="77777777" w:rsidR="007F1A87" w:rsidRDefault="007F1A87" w:rsidP="007F1A87">
      <w:pPr>
        <w:spacing w:after="0" w:line="240" w:lineRule="auto"/>
      </w:pPr>
      <w:r>
        <w:lastRenderedPageBreak/>
        <w:t xml:space="preserve">Yan, L., Sha, L., Zhao, L., Li, Y., Martinez-Maldonado, R., Chen, G., ... &amp; </w:t>
      </w:r>
      <w:proofErr w:type="spellStart"/>
      <w:r>
        <w:t>Gašević</w:t>
      </w:r>
      <w:proofErr w:type="spellEnd"/>
      <w:r>
        <w:t>, D. (2024). Practical and ethical challenges of large language models in education: A systematic review. *British Journal of Educational Technology, 55*(1), 90-112.</w:t>
      </w:r>
    </w:p>
    <w:p w14:paraId="29EF3BF8" w14:textId="77777777" w:rsidR="007F1A87" w:rsidRDefault="007F1A87" w:rsidP="007F1A87">
      <w:pPr>
        <w:spacing w:after="0" w:line="240" w:lineRule="auto"/>
      </w:pPr>
    </w:p>
    <w:p w14:paraId="59DC5EDA" w14:textId="77777777" w:rsidR="007F1A87" w:rsidRDefault="007F1A87" w:rsidP="007F1A87">
      <w:pPr>
        <w:spacing w:after="0" w:line="240" w:lineRule="auto"/>
      </w:pPr>
      <w:r>
        <w:t>Yang, C., Cheng, L., &amp; Liu, Z. (2024). Temporal analysis of student-AI interaction: Distinguishing knowledge telling from knowledge transformation. *Journal of Educational Computing Research, 62*(3), 345-368.</w:t>
      </w:r>
    </w:p>
    <w:p w14:paraId="762FAF27" w14:textId="77777777" w:rsidR="007F1A87" w:rsidRDefault="007F1A87" w:rsidP="007F1A87">
      <w:pPr>
        <w:spacing w:after="0" w:line="240" w:lineRule="auto"/>
      </w:pPr>
    </w:p>
    <w:p w14:paraId="1E5F62D5" w14:textId="77777777" w:rsidR="007F1A87" w:rsidRDefault="007F1A87" w:rsidP="007F1A87">
      <w:pPr>
        <w:spacing w:after="0" w:line="240" w:lineRule="auto"/>
      </w:pPr>
      <w:r>
        <w:t>Yang, C., Fan, Y., &amp; Chen, G. (2025). Patterns of GenAI integration and their relationship to writing quality: A longitudinal study. *Computers &amp; Education, 215*, 105112.</w:t>
      </w:r>
    </w:p>
    <w:p w14:paraId="4C5F3C00" w14:textId="77777777" w:rsidR="007F1A87" w:rsidRDefault="007F1A87" w:rsidP="007F1A87">
      <w:pPr>
        <w:spacing w:after="0" w:line="240" w:lineRule="auto"/>
      </w:pPr>
    </w:p>
    <w:p w14:paraId="7C8DB5CC" w14:textId="77777777" w:rsidR="007F1A87" w:rsidRDefault="007F1A87" w:rsidP="007F1A87">
      <w:pPr>
        <w:spacing w:after="0" w:line="240" w:lineRule="auto"/>
      </w:pPr>
      <w:r>
        <w:t xml:space="preserve">Yang, C., Raković, M., &amp; </w:t>
      </w:r>
      <w:proofErr w:type="spellStart"/>
      <w:r>
        <w:t>Gašević</w:t>
      </w:r>
      <w:proofErr w:type="spellEnd"/>
      <w:r>
        <w:t>, D. (2025). Investigating the effects of an LLM-based Socratic conversational agent on students' academic performance and reflective thinking in higher education. *Computers &amp; Education, 241*, 105494.</w:t>
      </w:r>
    </w:p>
    <w:p w14:paraId="63843F3B" w14:textId="77777777" w:rsidR="007F1A87" w:rsidRDefault="007F1A87" w:rsidP="007F1A87">
      <w:pPr>
        <w:spacing w:after="0" w:line="240" w:lineRule="auto"/>
      </w:pPr>
    </w:p>
    <w:p w14:paraId="637A9877" w14:textId="77777777" w:rsidR="007F1A87" w:rsidRDefault="007F1A87" w:rsidP="007F1A87">
      <w:pPr>
        <w:spacing w:after="0" w:line="240" w:lineRule="auto"/>
      </w:pPr>
      <w:r>
        <w:t>Zhai, X., Chu, X., Wang, M., &amp; Zhang, Y. (2024). The dark side of AI in education: A systematic review of risks and challenges. *Educational Research Review, 42*, 100567.</w:t>
      </w:r>
    </w:p>
    <w:p w14:paraId="71380BDB" w14:textId="77777777" w:rsidR="007F1A87" w:rsidRDefault="007F1A87" w:rsidP="007F1A87">
      <w:pPr>
        <w:spacing w:after="0" w:line="240" w:lineRule="auto"/>
      </w:pPr>
    </w:p>
    <w:p w14:paraId="0E2BCFB7" w14:textId="77777777" w:rsidR="007F1A87" w:rsidRDefault="007F1A87" w:rsidP="007F1A87">
      <w:pPr>
        <w:spacing w:after="0" w:line="240" w:lineRule="auto"/>
      </w:pPr>
      <w:r>
        <w:t>Zhang, Y., Liu, X., &amp; Chen, J. (2024). Over-reliance on AI in learning: Causes, consequences, and countermeasures. *Educational Technology &amp; Society, 27*(2), 156-172.</w:t>
      </w:r>
    </w:p>
    <w:p w14:paraId="41CC5C66" w14:textId="77777777" w:rsidR="007F1A87" w:rsidRDefault="007F1A87" w:rsidP="007F1A87">
      <w:pPr>
        <w:spacing w:after="0" w:line="240" w:lineRule="auto"/>
      </w:pPr>
    </w:p>
    <w:p w14:paraId="58018261" w14:textId="77777777" w:rsidR="007F1A87" w:rsidRDefault="007F1A87" w:rsidP="007F1A87">
      <w:pPr>
        <w:spacing w:after="0" w:line="240" w:lineRule="auto"/>
      </w:pPr>
      <w:r>
        <w:t>Zheng, L., Niu, J., &amp; Zhong, L. (2025). When AI advice leads to wrong answers: A study of student-AI interaction in quiz contexts. *Journal of Computer Assisted Learning, 41*(1), 89-105.</w:t>
      </w:r>
    </w:p>
    <w:p w14:paraId="4CF3AE76" w14:textId="77777777" w:rsidR="007F1A87" w:rsidRDefault="007F1A87" w:rsidP="007F1A87">
      <w:pPr>
        <w:spacing w:after="0" w:line="240" w:lineRule="auto"/>
      </w:pPr>
    </w:p>
    <w:p w14:paraId="21CE9C37" w14:textId="77777777" w:rsidR="007F1A87" w:rsidRDefault="007F1A87" w:rsidP="007F1A87">
      <w:pPr>
        <w:spacing w:after="0" w:line="240" w:lineRule="auto"/>
      </w:pPr>
    </w:p>
    <w:p w14:paraId="3F06EDDC" w14:textId="5968E5E7" w:rsidR="00985500" w:rsidRPr="007F1A87" w:rsidRDefault="00985500" w:rsidP="007F1A87">
      <w:pPr>
        <w:spacing w:after="0" w:line="240" w:lineRule="auto"/>
      </w:pPr>
    </w:p>
    <w:sectPr w:rsidR="00985500" w:rsidRPr="007F1A87" w:rsidSect="008470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63748"/>
    <w:multiLevelType w:val="hybridMultilevel"/>
    <w:tmpl w:val="7D12A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3982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D2"/>
    <w:rsid w:val="000046F5"/>
    <w:rsid w:val="000061A7"/>
    <w:rsid w:val="00040527"/>
    <w:rsid w:val="00122124"/>
    <w:rsid w:val="00171EE7"/>
    <w:rsid w:val="002B2BF0"/>
    <w:rsid w:val="002C6B14"/>
    <w:rsid w:val="00363AC0"/>
    <w:rsid w:val="003C7739"/>
    <w:rsid w:val="003E4A65"/>
    <w:rsid w:val="00413051"/>
    <w:rsid w:val="004D6584"/>
    <w:rsid w:val="005A7E88"/>
    <w:rsid w:val="005B6A18"/>
    <w:rsid w:val="00670F34"/>
    <w:rsid w:val="006A2EC2"/>
    <w:rsid w:val="006B4FA1"/>
    <w:rsid w:val="006F15EB"/>
    <w:rsid w:val="007A7A9F"/>
    <w:rsid w:val="007B654F"/>
    <w:rsid w:val="007F1A87"/>
    <w:rsid w:val="008252F5"/>
    <w:rsid w:val="008470BF"/>
    <w:rsid w:val="00985500"/>
    <w:rsid w:val="00A92842"/>
    <w:rsid w:val="00AB09DB"/>
    <w:rsid w:val="00AC0E41"/>
    <w:rsid w:val="00B659D2"/>
    <w:rsid w:val="00B70B52"/>
    <w:rsid w:val="00B7349D"/>
    <w:rsid w:val="00CC09BB"/>
    <w:rsid w:val="00CC68F8"/>
    <w:rsid w:val="00D6401E"/>
    <w:rsid w:val="00D70534"/>
    <w:rsid w:val="00D722B7"/>
    <w:rsid w:val="00DF18A2"/>
    <w:rsid w:val="00DF3BD8"/>
    <w:rsid w:val="00E72032"/>
    <w:rsid w:val="00E74EA5"/>
    <w:rsid w:val="00EE4754"/>
    <w:rsid w:val="00F1251F"/>
    <w:rsid w:val="00F44692"/>
    <w:rsid w:val="00F91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91E08"/>
  <w15:chartTrackingRefBased/>
  <w15:docId w15:val="{F57AA149-F5B5-4AF3-94FB-123C32EEC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BF0"/>
    <w:rPr>
      <w:rFonts w:ascii="Arial" w:hAnsi="Arial"/>
      <w:sz w:val="22"/>
      <w:lang w:val="en-GB"/>
    </w:rPr>
  </w:style>
  <w:style w:type="paragraph" w:styleId="Heading1">
    <w:name w:val="heading 1"/>
    <w:basedOn w:val="Normal"/>
    <w:next w:val="Normal"/>
    <w:link w:val="Heading1Char"/>
    <w:uiPriority w:val="9"/>
    <w:qFormat/>
    <w:rsid w:val="00B65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9D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9D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59D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59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59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59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59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9D2"/>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B659D2"/>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B659D2"/>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B659D2"/>
    <w:rPr>
      <w:rFonts w:eastAsiaTheme="majorEastAsia" w:cstheme="majorBidi"/>
      <w:i/>
      <w:iCs/>
      <w:color w:val="2F5496" w:themeColor="accent1" w:themeShade="BF"/>
      <w:sz w:val="22"/>
      <w:lang w:val="en-GB"/>
    </w:rPr>
  </w:style>
  <w:style w:type="character" w:customStyle="1" w:styleId="Heading5Char">
    <w:name w:val="Heading 5 Char"/>
    <w:basedOn w:val="DefaultParagraphFont"/>
    <w:link w:val="Heading5"/>
    <w:uiPriority w:val="9"/>
    <w:semiHidden/>
    <w:rsid w:val="00B659D2"/>
    <w:rPr>
      <w:rFonts w:eastAsiaTheme="majorEastAsia" w:cstheme="majorBidi"/>
      <w:color w:val="2F5496" w:themeColor="accent1" w:themeShade="BF"/>
      <w:sz w:val="22"/>
      <w:lang w:val="en-GB"/>
    </w:rPr>
  </w:style>
  <w:style w:type="character" w:customStyle="1" w:styleId="Heading6Char">
    <w:name w:val="Heading 6 Char"/>
    <w:basedOn w:val="DefaultParagraphFont"/>
    <w:link w:val="Heading6"/>
    <w:uiPriority w:val="9"/>
    <w:semiHidden/>
    <w:rsid w:val="00B659D2"/>
    <w:rPr>
      <w:rFonts w:eastAsiaTheme="majorEastAsia" w:cstheme="majorBidi"/>
      <w:i/>
      <w:iCs/>
      <w:color w:val="595959" w:themeColor="text1" w:themeTint="A6"/>
      <w:sz w:val="22"/>
      <w:lang w:val="en-GB"/>
    </w:rPr>
  </w:style>
  <w:style w:type="character" w:customStyle="1" w:styleId="Heading7Char">
    <w:name w:val="Heading 7 Char"/>
    <w:basedOn w:val="DefaultParagraphFont"/>
    <w:link w:val="Heading7"/>
    <w:uiPriority w:val="9"/>
    <w:semiHidden/>
    <w:rsid w:val="00B659D2"/>
    <w:rPr>
      <w:rFonts w:eastAsiaTheme="majorEastAsia" w:cstheme="majorBidi"/>
      <w:color w:val="595959" w:themeColor="text1" w:themeTint="A6"/>
      <w:sz w:val="22"/>
      <w:lang w:val="en-GB"/>
    </w:rPr>
  </w:style>
  <w:style w:type="character" w:customStyle="1" w:styleId="Heading8Char">
    <w:name w:val="Heading 8 Char"/>
    <w:basedOn w:val="DefaultParagraphFont"/>
    <w:link w:val="Heading8"/>
    <w:uiPriority w:val="9"/>
    <w:semiHidden/>
    <w:rsid w:val="00B659D2"/>
    <w:rPr>
      <w:rFonts w:eastAsiaTheme="majorEastAsia" w:cstheme="majorBidi"/>
      <w:i/>
      <w:iCs/>
      <w:color w:val="272727" w:themeColor="text1" w:themeTint="D8"/>
      <w:sz w:val="22"/>
      <w:lang w:val="en-GB"/>
    </w:rPr>
  </w:style>
  <w:style w:type="character" w:customStyle="1" w:styleId="Heading9Char">
    <w:name w:val="Heading 9 Char"/>
    <w:basedOn w:val="DefaultParagraphFont"/>
    <w:link w:val="Heading9"/>
    <w:uiPriority w:val="9"/>
    <w:semiHidden/>
    <w:rsid w:val="00B659D2"/>
    <w:rPr>
      <w:rFonts w:eastAsiaTheme="majorEastAsia" w:cstheme="majorBidi"/>
      <w:color w:val="272727" w:themeColor="text1" w:themeTint="D8"/>
      <w:sz w:val="22"/>
      <w:lang w:val="en-GB"/>
    </w:rPr>
  </w:style>
  <w:style w:type="paragraph" w:styleId="Title">
    <w:name w:val="Title"/>
    <w:basedOn w:val="Normal"/>
    <w:next w:val="Normal"/>
    <w:link w:val="TitleChar"/>
    <w:uiPriority w:val="10"/>
    <w:qFormat/>
    <w:rsid w:val="00B6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9D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659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9D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659D2"/>
    <w:pPr>
      <w:spacing w:before="160"/>
      <w:jc w:val="center"/>
    </w:pPr>
    <w:rPr>
      <w:i/>
      <w:iCs/>
      <w:color w:val="404040" w:themeColor="text1" w:themeTint="BF"/>
    </w:rPr>
  </w:style>
  <w:style w:type="character" w:customStyle="1" w:styleId="QuoteChar">
    <w:name w:val="Quote Char"/>
    <w:basedOn w:val="DefaultParagraphFont"/>
    <w:link w:val="Quote"/>
    <w:uiPriority w:val="29"/>
    <w:rsid w:val="00B659D2"/>
    <w:rPr>
      <w:rFonts w:ascii="Arial" w:hAnsi="Arial"/>
      <w:i/>
      <w:iCs/>
      <w:color w:val="404040" w:themeColor="text1" w:themeTint="BF"/>
      <w:sz w:val="22"/>
      <w:lang w:val="en-GB"/>
    </w:rPr>
  </w:style>
  <w:style w:type="paragraph" w:styleId="ListParagraph">
    <w:name w:val="List Paragraph"/>
    <w:basedOn w:val="Normal"/>
    <w:uiPriority w:val="34"/>
    <w:qFormat/>
    <w:rsid w:val="00B659D2"/>
    <w:pPr>
      <w:ind w:left="720"/>
      <w:contextualSpacing/>
    </w:pPr>
  </w:style>
  <w:style w:type="character" w:styleId="IntenseEmphasis">
    <w:name w:val="Intense Emphasis"/>
    <w:basedOn w:val="DefaultParagraphFont"/>
    <w:uiPriority w:val="21"/>
    <w:qFormat/>
    <w:rsid w:val="00B659D2"/>
    <w:rPr>
      <w:i/>
      <w:iCs/>
      <w:color w:val="2F5496" w:themeColor="accent1" w:themeShade="BF"/>
    </w:rPr>
  </w:style>
  <w:style w:type="paragraph" w:styleId="IntenseQuote">
    <w:name w:val="Intense Quote"/>
    <w:basedOn w:val="Normal"/>
    <w:next w:val="Normal"/>
    <w:link w:val="IntenseQuoteChar"/>
    <w:uiPriority w:val="30"/>
    <w:qFormat/>
    <w:rsid w:val="00B65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9D2"/>
    <w:rPr>
      <w:rFonts w:ascii="Arial" w:hAnsi="Arial"/>
      <w:i/>
      <w:iCs/>
      <w:color w:val="2F5496" w:themeColor="accent1" w:themeShade="BF"/>
      <w:sz w:val="22"/>
      <w:lang w:val="en-GB"/>
    </w:rPr>
  </w:style>
  <w:style w:type="character" w:styleId="IntenseReference">
    <w:name w:val="Intense Reference"/>
    <w:basedOn w:val="DefaultParagraphFont"/>
    <w:uiPriority w:val="32"/>
    <w:qFormat/>
    <w:rsid w:val="00B659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7A525-DE36-4D26-B71A-B4006FC0F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15</Pages>
  <Words>8311</Words>
  <Characters>47373</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SHAFIQ R</dc:creator>
  <cp:keywords/>
  <dc:description/>
  <cp:lastModifiedBy>SHAFIQ R</cp:lastModifiedBy>
  <cp:revision>1</cp:revision>
  <dcterms:created xsi:type="dcterms:W3CDTF">2026-02-25T13:54:00Z</dcterms:created>
  <dcterms:modified xsi:type="dcterms:W3CDTF">2026-02-25T15:02:00Z</dcterms:modified>
</cp:coreProperties>
</file>