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mbria" w:cs="Cambria" w:eastAsia="Cambria" w:hAnsi="Cambria"/>
          <w:b/>
          <w:bCs/>
          <w:color w:val="1F3864"/>
          <w:sz w:val="34"/>
          <w:szCs w:val="34"/>
        </w:rPr>
        <w:t xml:space="preserve">Online Review Sentiment Analysis Report</w:t>
      </w:r>
    </w:p>
    <w:p>
      <w:pPr>
        <w:spacing w:after="400"/>
        <w:jc w:val="center"/>
      </w:pPr>
      <w:r>
        <w:rPr>
          <w:rFonts w:ascii="Calibri" w:cs="Calibri" w:eastAsia="Calibri" w:hAnsi="Calibri"/>
          <w:i/>
          <w:iCs/>
          <w:color w:val="555555"/>
          <w:sz w:val="22"/>
          <w:szCs w:val="22"/>
        </w:rPr>
        <w:t xml:space="preserve">NLP &amp; Machine Learning Classification of Customer Reviews</w:t>
      </w:r>
    </w:p>
    <w:p>
      <w:pPr>
        <w:pStyle w:val="Heading1"/>
        <w:pStyle w:val="Heading1Custom"/>
        <w:spacing w:after="160" w:before="320"/>
      </w:pPr>
      <w:r>
        <w:t xml:space="preserve">1. Introduction</w:t>
      </w:r>
    </w:p>
    <w:p>
      <w:pPr>
        <w:spacing w:after="200" w:line="300"/>
      </w:pPr>
      <w:r>
        <w:rPr>
          <w:rFonts w:ascii="Calibri" w:cs="Calibri" w:eastAsia="Calibri" w:hAnsi="Calibri"/>
          <w:sz w:val="23"/>
          <w:szCs w:val="23"/>
        </w:rPr>
        <w:t xml:space="preserve">Online reviews carry a lot of information about how customers actually feel about a product, but nobody has time to read a thousand of them by hand. That's the basic motivation behind this project: use sentiment analysis to sort a batch of customer reviews into positive, negative, and neutral, and see what patterns show up once that's done.</w:t>
      </w:r>
    </w:p>
    <w:p>
      <w:pPr>
        <w:spacing w:after="200" w:line="300"/>
      </w:pPr>
      <w:r>
        <w:rPr>
          <w:rFonts w:ascii="Calibri" w:cs="Calibri" w:eastAsia="Calibri" w:hAnsi="Calibri"/>
          <w:sz w:val="23"/>
          <w:szCs w:val="23"/>
        </w:rPr>
        <w:t xml:space="preserve">We worked with a dataset of 1,200 online reviews, each one carrying its own text, product, category, sentiment label, source, date, star rating, and verified-purchase flag. Our goal was to build a handful of machine learning models that could classify sentiment reliably, and then dig into how sentiment moved across time, across the two review sources in the data, and across individual products.</w:t>
      </w:r>
    </w:p>
    <w:p>
      <w:pPr>
        <w:spacing w:after="200" w:line="300"/>
      </w:pPr>
      <w:r>
        <w:rPr>
          <w:rFonts w:ascii="Calibri" w:cs="Calibri" w:eastAsia="Calibri" w:hAnsi="Calibri"/>
          <w:sz w:val="23"/>
          <w:szCs w:val="23"/>
        </w:rPr>
        <w:t xml:space="preserve">The pipeline itself is fairly standard for this kind of task. We cleaned up the review text, converted it into numbers using TF-IDF (term frequency–inverse document frequency), and then trained three different classifiers on top of that: Logistic Regression, Multinomial Naive Bayes, and a Linear Support Vector Machine. We compared them using accuracy, precision, recall, and weighted F1-score.</w:t>
      </w:r>
    </w:p>
    <w:p>
      <w:pPr>
        <w:pStyle w:val="Heading1"/>
        <w:pStyle w:val="Heading1Custom"/>
        <w:spacing w:after="160" w:before="320"/>
      </w:pPr>
      <w:r>
        <w:t xml:space="preserve">2. Dataset and Sentiment Distribution</w:t>
      </w:r>
    </w:p>
    <w:p>
      <w:pPr>
        <w:spacing w:after="200" w:line="300"/>
      </w:pPr>
      <w:r>
        <w:rPr>
          <w:rFonts w:ascii="Calibri" w:cs="Calibri" w:eastAsia="Calibri" w:hAnsi="Calibri"/>
          <w:sz w:val="23"/>
          <w:szCs w:val="23"/>
        </w:rPr>
        <w:t xml:space="preserve">The dataset itself skews positive. Out of 1,200 reviews, 540 (45%) are labeled positive, 360 (30%) negative, and 300 (25%) neutral.</w:t>
      </w:r>
    </w:p>
    <w:tbl>
      <w:tblPr>
        <w:tblW w:type="dxa" w:w="9400"/>
        <w:tblBorders>
          <w:top w:val="single" w:color="AAAAAA" w:sz="4"/>
          <w:left w:val="single" w:color="AAAAAA" w:sz="4"/>
          <w:bottom w:val="single" w:color="AAAAAA" w:sz="4"/>
          <w:right w:val="single" w:color="AAAAAA" w:sz="4"/>
          <w:insideH w:val="single" w:color="DDDDDD" w:sz="4"/>
          <w:insideV w:val="single" w:color="DDDDDD" w:sz="4"/>
        </w:tblBorders>
      </w:tblPr>
      <w:tblGrid>
        <w:gridCol w:w="3600"/>
        <w:gridCol w:w="3200"/>
        <w:gridCol w:w="2600"/>
      </w:tblGrid>
      <w:tr>
        <w:trPr>
          <w:tblHeader/>
        </w:trPr>
        <w:tc>
          <w:tcPr>
            <w:tcW w:type="dxa" w:w="3600"/>
            <w:shd w:fill="DCE6F1" w:color="auto" w:val="clear"/>
            <w:tcMar>
              <w:top w:type="dxa" w:w="80"/>
              <w:left w:type="dxa" w:w="120"/>
              <w:bottom w:type="dxa" w:w="80"/>
              <w:right w:type="dxa" w:w="120"/>
            </w:tcMar>
          </w:tcPr>
          <w:p>
            <w:pPr>
              <w:jc w:val="left"/>
            </w:pPr>
            <w:r>
              <w:rPr>
                <w:rFonts w:ascii="Calibri" w:cs="Calibri" w:eastAsia="Calibri" w:hAnsi="Calibri"/>
                <w:b/>
                <w:bCs/>
                <w:color w:val="1F3864"/>
                <w:sz w:val="21"/>
                <w:szCs w:val="21"/>
              </w:rPr>
              <w:t xml:space="preserve">Sentiment</w:t>
            </w:r>
          </w:p>
        </w:tc>
        <w:tc>
          <w:tcPr>
            <w:tcW w:type="dxa" w:w="3200"/>
            <w:shd w:fill="DCE6F1" w:color="auto" w:val="clear"/>
            <w:tcMar>
              <w:top w:type="dxa" w:w="80"/>
              <w:left w:type="dxa" w:w="120"/>
              <w:bottom w:type="dxa" w:w="80"/>
              <w:right w:type="dxa" w:w="120"/>
            </w:tcMar>
          </w:tcPr>
          <w:p>
            <w:pPr>
              <w:jc w:val="center"/>
            </w:pPr>
            <w:r>
              <w:rPr>
                <w:rFonts w:ascii="Calibri" w:cs="Calibri" w:eastAsia="Calibri" w:hAnsi="Calibri"/>
                <w:b/>
                <w:bCs/>
                <w:color w:val="1F3864"/>
                <w:sz w:val="21"/>
                <w:szCs w:val="21"/>
              </w:rPr>
              <w:t xml:space="preserve">Number of Reviews</w:t>
            </w:r>
          </w:p>
        </w:tc>
        <w:tc>
          <w:tcPr>
            <w:tcW w:type="dxa" w:w="2600"/>
            <w:shd w:fill="DCE6F1" w:color="auto" w:val="clear"/>
            <w:tcMar>
              <w:top w:type="dxa" w:w="80"/>
              <w:left w:type="dxa" w:w="120"/>
              <w:bottom w:type="dxa" w:w="80"/>
              <w:right w:type="dxa" w:w="120"/>
            </w:tcMar>
          </w:tcPr>
          <w:p>
            <w:pPr>
              <w:jc w:val="center"/>
            </w:pPr>
            <w:r>
              <w:rPr>
                <w:rFonts w:ascii="Calibri" w:cs="Calibri" w:eastAsia="Calibri" w:hAnsi="Calibri"/>
                <w:b/>
                <w:bCs/>
                <w:color w:val="1F3864"/>
                <w:sz w:val="21"/>
                <w:szCs w:val="21"/>
              </w:rPr>
              <w:t xml:space="preserve">Percentage</w:t>
            </w:r>
          </w:p>
        </w:tc>
      </w:tr>
      <w:tr>
        <w:tc>
          <w:tcPr>
            <w:tcW w:type="dxa" w:w="3600"/>
            <w:tcMar>
              <w:top w:type="dxa" w:w="80"/>
              <w:left w:type="dxa" w:w="120"/>
              <w:bottom w:type="dxa" w:w="80"/>
              <w:right w:type="dxa" w:w="120"/>
            </w:tcMar>
          </w:tcPr>
          <w:p>
            <w:pPr>
              <w:jc w:val="left"/>
            </w:pPr>
            <w:r>
              <w:rPr>
                <w:rFonts w:ascii="Calibri" w:cs="Calibri" w:eastAsia="Calibri" w:hAnsi="Calibri"/>
                <w:b w:val="false"/>
                <w:bCs w:val="false"/>
                <w:color w:val="000000"/>
                <w:sz w:val="21"/>
                <w:szCs w:val="21"/>
              </w:rPr>
              <w:t xml:space="preserve">Positive</w:t>
            </w:r>
          </w:p>
        </w:tc>
        <w:tc>
          <w:tcPr>
            <w:tcW w:type="dxa" w:w="32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540</w:t>
            </w:r>
          </w:p>
        </w:tc>
        <w:tc>
          <w:tcPr>
            <w:tcW w:type="dxa" w:w="26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45%</w:t>
            </w:r>
          </w:p>
        </w:tc>
      </w:tr>
      <w:tr>
        <w:tc>
          <w:tcPr>
            <w:tcW w:type="dxa" w:w="3600"/>
            <w:tcMar>
              <w:top w:type="dxa" w:w="80"/>
              <w:left w:type="dxa" w:w="120"/>
              <w:bottom w:type="dxa" w:w="80"/>
              <w:right w:type="dxa" w:w="120"/>
            </w:tcMar>
          </w:tcPr>
          <w:p>
            <w:pPr>
              <w:jc w:val="left"/>
            </w:pPr>
            <w:r>
              <w:rPr>
                <w:rFonts w:ascii="Calibri" w:cs="Calibri" w:eastAsia="Calibri" w:hAnsi="Calibri"/>
                <w:b w:val="false"/>
                <w:bCs w:val="false"/>
                <w:color w:val="000000"/>
                <w:sz w:val="21"/>
                <w:szCs w:val="21"/>
              </w:rPr>
              <w:t xml:space="preserve">Negative</w:t>
            </w:r>
          </w:p>
        </w:tc>
        <w:tc>
          <w:tcPr>
            <w:tcW w:type="dxa" w:w="32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360</w:t>
            </w:r>
          </w:p>
        </w:tc>
        <w:tc>
          <w:tcPr>
            <w:tcW w:type="dxa" w:w="26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30%</w:t>
            </w:r>
          </w:p>
        </w:tc>
      </w:tr>
      <w:tr>
        <w:tc>
          <w:tcPr>
            <w:tcW w:type="dxa" w:w="3600"/>
            <w:tcMar>
              <w:top w:type="dxa" w:w="80"/>
              <w:left w:type="dxa" w:w="120"/>
              <w:bottom w:type="dxa" w:w="80"/>
              <w:right w:type="dxa" w:w="120"/>
            </w:tcMar>
          </w:tcPr>
          <w:p>
            <w:pPr>
              <w:jc w:val="left"/>
            </w:pPr>
            <w:r>
              <w:rPr>
                <w:rFonts w:ascii="Calibri" w:cs="Calibri" w:eastAsia="Calibri" w:hAnsi="Calibri"/>
                <w:b w:val="false"/>
                <w:bCs w:val="false"/>
                <w:color w:val="000000"/>
                <w:sz w:val="21"/>
                <w:szCs w:val="21"/>
              </w:rPr>
              <w:t xml:space="preserve">Neutral</w:t>
            </w:r>
          </w:p>
        </w:tc>
        <w:tc>
          <w:tcPr>
            <w:tcW w:type="dxa" w:w="32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300</w:t>
            </w:r>
          </w:p>
        </w:tc>
        <w:tc>
          <w:tcPr>
            <w:tcW w:type="dxa" w:w="26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25%</w:t>
            </w:r>
          </w:p>
        </w:tc>
      </w:tr>
      <w:tr>
        <w:tc>
          <w:tcPr>
            <w:tcW w:type="dxa" w:w="3600"/>
            <w:tcMar>
              <w:top w:type="dxa" w:w="80"/>
              <w:left w:type="dxa" w:w="120"/>
              <w:bottom w:type="dxa" w:w="80"/>
              <w:right w:type="dxa" w:w="120"/>
            </w:tcMar>
          </w:tcPr>
          <w:p>
            <w:pPr>
              <w:jc w:val="left"/>
            </w:pPr>
            <w:r>
              <w:rPr>
                <w:rFonts w:ascii="Calibri" w:cs="Calibri" w:eastAsia="Calibri" w:hAnsi="Calibri"/>
                <w:b w:val="false"/>
                <w:bCs w:val="false"/>
                <w:color w:val="000000"/>
                <w:sz w:val="21"/>
                <w:szCs w:val="21"/>
              </w:rPr>
              <w:t xml:space="preserve">Total</w:t>
            </w:r>
          </w:p>
        </w:tc>
        <w:tc>
          <w:tcPr>
            <w:tcW w:type="dxa" w:w="32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1,200</w:t>
            </w:r>
          </w:p>
        </w:tc>
        <w:tc>
          <w:tcPr>
            <w:tcW w:type="dxa" w:w="26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100%</w:t>
            </w:r>
          </w:p>
        </w:tc>
      </w:tr>
    </w:tbl>
    <w:p>
      <w:pPr>
        <w:spacing w:after="200" w:line="300"/>
      </w:pPr>
      <w:r>
        <w:rPr>
          <w:rFonts w:ascii="Calibri" w:cs="Calibri" w:eastAsia="Calibri" w:hAnsi="Calibri"/>
          <w:sz w:val="23"/>
          <w:szCs w:val="23"/>
        </w:rPr>
        <w:t xml:space="preserve"/>
      </w:r>
    </w:p>
    <w:p>
      <w:pPr>
        <w:spacing w:after="200" w:line="300"/>
      </w:pPr>
      <w:r>
        <w:rPr>
          <w:rFonts w:ascii="Calibri" w:cs="Calibri" w:eastAsia="Calibri" w:hAnsi="Calibri"/>
          <w:sz w:val="23"/>
          <w:szCs w:val="23"/>
        </w:rPr>
        <w:t xml:space="preserve">So right from the start, positive reviews are the largest single group, though not by an overwhelming margin. The reviews come from two different sources — Online Store and Social Commerce — and span several product categories: electronics, fashion, home and kitchen, and beauty.</w:t>
      </w:r>
    </w:p>
    <w:p>
      <w:pPr>
        <w:pStyle w:val="Heading1"/>
        <w:pStyle w:val="Heading1Custom"/>
        <w:spacing w:after="160" w:before="320"/>
      </w:pPr>
      <w:r>
        <w:t xml:space="preserve">3. NLP Preprocessing and Feature Extraction</w:t>
      </w:r>
    </w:p>
    <w:p>
      <w:pPr>
        <w:spacing w:after="200" w:line="300"/>
      </w:pPr>
      <w:r>
        <w:rPr>
          <w:rFonts w:ascii="Calibri" w:cs="Calibri" w:eastAsia="Calibri" w:hAnsi="Calibri"/>
          <w:sz w:val="23"/>
          <w:szCs w:val="23"/>
        </w:rPr>
        <w:t xml:space="preserve">Before any model saw the data, the raw review text needed some cleanup. We lowercased everything, stripped out punctuation and URLs, handled @mentions, and removed common stopwords — the usual first pass for any text classification task.</w:t>
      </w:r>
    </w:p>
    <w:p>
      <w:pPr>
        <w:spacing w:after="200" w:line="300"/>
      </w:pPr>
      <w:r>
        <w:rPr>
          <w:rFonts w:ascii="Calibri" w:cs="Calibri" w:eastAsia="Calibri" w:hAnsi="Calibri"/>
          <w:sz w:val="23"/>
          <w:szCs w:val="23"/>
        </w:rPr>
        <w:t xml:space="preserve">Once that was done, we converted the cleaned text into numerical features using TF-IDF. The idea behind TF-IDF is pretty intuitive once you sit with it: it boosts words that actually help distinguish one review from another, and quietly downweights words that show up everywhere and therefore don't tell you much.</w:t>
      </w:r>
    </w:p>
    <w:p>
      <w:pPr>
        <w:spacing w:after="200" w:line="300"/>
      </w:pPr>
      <w:r>
        <w:rPr>
          <w:rFonts w:ascii="Calibri" w:cs="Calibri" w:eastAsia="Calibri" w:hAnsi="Calibri"/>
          <w:sz w:val="23"/>
          <w:szCs w:val="23"/>
        </w:rPr>
        <w:t xml:space="preserve">We set this up with:</w:t>
      </w:r>
    </w:p>
    <w:p>
      <w:pPr>
        <w:pStyle w:val="ListParagraph"/>
        <w:numPr>
          <w:ilvl w:val="0"/>
          <w:numId w:val="2"/>
        </w:numPr>
        <w:spacing w:after="100" w:line="300"/>
      </w:pPr>
      <w:r>
        <w:rPr>
          <w:rFonts w:ascii="Calibri" w:cs="Calibri" w:eastAsia="Calibri" w:hAnsi="Calibri"/>
          <w:sz w:val="23"/>
          <w:szCs w:val="23"/>
        </w:rPr>
        <w:t xml:space="preserve">Maximum features: 3,000</w:t>
      </w:r>
    </w:p>
    <w:p>
      <w:pPr>
        <w:pStyle w:val="ListParagraph"/>
        <w:numPr>
          <w:ilvl w:val="0"/>
          <w:numId w:val="2"/>
        </w:numPr>
        <w:spacing w:after="100" w:line="300"/>
      </w:pPr>
      <w:r>
        <w:rPr>
          <w:rFonts w:ascii="Calibri" w:cs="Calibri" w:eastAsia="Calibri" w:hAnsi="Calibri"/>
          <w:sz w:val="23"/>
          <w:szCs w:val="23"/>
        </w:rPr>
        <w:t xml:space="preserve">N-gram range: 1–2</w:t>
      </w:r>
    </w:p>
    <w:p>
      <w:pPr>
        <w:pStyle w:val="ListParagraph"/>
        <w:numPr>
          <w:ilvl w:val="0"/>
          <w:numId w:val="2"/>
        </w:numPr>
        <w:spacing w:after="100" w:line="300"/>
      </w:pPr>
      <w:r>
        <w:rPr>
          <w:rFonts w:ascii="Calibri" w:cs="Calibri" w:eastAsia="Calibri" w:hAnsi="Calibri"/>
          <w:sz w:val="23"/>
          <w:szCs w:val="23"/>
        </w:rPr>
        <w:t xml:space="preserve">Sublinear TF: enabled</w:t>
      </w:r>
    </w:p>
    <w:p>
      <w:pPr>
        <w:spacing w:after="200" w:line="300"/>
      </w:pPr>
      <w:r>
        <w:rPr>
          <w:rFonts w:ascii="Calibri" w:cs="Calibri" w:eastAsia="Calibri" w:hAnsi="Calibri"/>
          <w:sz w:val="23"/>
          <w:szCs w:val="23"/>
        </w:rPr>
        <w:t xml:space="preserve">The bigram choice mattered more than we expected going in. A word like “good” on its own usually signals something positive, but “not good” flips that completely — and a model only picking up single words has no way to catch that flip. Bigrams give the model at least a little bit of that context.</w:t>
      </w:r>
    </w:p>
    <w:p>
      <w:pPr>
        <w:pStyle w:val="Heading1"/>
        <w:pStyle w:val="Heading1Custom"/>
        <w:spacing w:after="160" w:before="320"/>
      </w:pPr>
      <w:r>
        <w:t xml:space="preserve">4. Model Selection and Performance</w:t>
      </w:r>
    </w:p>
    <w:p>
      <w:pPr>
        <w:spacing w:after="200" w:line="300"/>
      </w:pPr>
      <w:r>
        <w:rPr>
          <w:rFonts w:ascii="Calibri" w:cs="Calibri" w:eastAsia="Calibri" w:hAnsi="Calibri"/>
          <w:sz w:val="23"/>
          <w:szCs w:val="23"/>
        </w:rPr>
        <w:t xml:space="preserve">We trained three models — Logistic Regression, Multinomial Naive Bayes, and Linear SVM — on an 80/20 stratified split, which worked out to 960 training reviews and 240 held out for testing (72 negative, 60 neutral, 108 positive).</w:t>
      </w:r>
    </w:p>
    <w:tbl>
      <w:tblPr>
        <w:tblW w:type="dxa" w:w="9800"/>
        <w:tblBorders>
          <w:top w:val="single" w:color="AAAAAA" w:sz="4"/>
          <w:left w:val="single" w:color="AAAAAA" w:sz="4"/>
          <w:bottom w:val="single" w:color="AAAAAA" w:sz="4"/>
          <w:right w:val="single" w:color="AAAAAA" w:sz="4"/>
          <w:insideH w:val="single" w:color="DDDDDD" w:sz="4"/>
          <w:insideV w:val="single" w:color="DDDDDD" w:sz="4"/>
        </w:tblBorders>
      </w:tblPr>
      <w:tblGrid>
        <w:gridCol w:w="3200"/>
        <w:gridCol w:w="1650"/>
        <w:gridCol w:w="1650"/>
        <w:gridCol w:w="1650"/>
        <w:gridCol w:w="1650"/>
      </w:tblGrid>
      <w:tr>
        <w:trPr>
          <w:tblHeader/>
        </w:trPr>
        <w:tc>
          <w:tcPr>
            <w:tcW w:type="dxa" w:w="3200"/>
            <w:shd w:fill="DCE6F1" w:color="auto" w:val="clear"/>
            <w:tcMar>
              <w:top w:type="dxa" w:w="80"/>
              <w:left w:type="dxa" w:w="120"/>
              <w:bottom w:type="dxa" w:w="80"/>
              <w:right w:type="dxa" w:w="120"/>
            </w:tcMar>
          </w:tcPr>
          <w:p>
            <w:pPr>
              <w:jc w:val="left"/>
            </w:pPr>
            <w:r>
              <w:rPr>
                <w:rFonts w:ascii="Calibri" w:cs="Calibri" w:eastAsia="Calibri" w:hAnsi="Calibri"/>
                <w:b/>
                <w:bCs/>
                <w:color w:val="1F3864"/>
                <w:sz w:val="21"/>
                <w:szCs w:val="21"/>
              </w:rPr>
              <w:t xml:space="preserve">Model</w:t>
            </w:r>
          </w:p>
        </w:tc>
        <w:tc>
          <w:tcPr>
            <w:tcW w:type="dxa" w:w="1650"/>
            <w:shd w:fill="DCE6F1" w:color="auto" w:val="clear"/>
            <w:tcMar>
              <w:top w:type="dxa" w:w="80"/>
              <w:left w:type="dxa" w:w="120"/>
              <w:bottom w:type="dxa" w:w="80"/>
              <w:right w:type="dxa" w:w="120"/>
            </w:tcMar>
          </w:tcPr>
          <w:p>
            <w:pPr>
              <w:jc w:val="center"/>
            </w:pPr>
            <w:r>
              <w:rPr>
                <w:rFonts w:ascii="Calibri" w:cs="Calibri" w:eastAsia="Calibri" w:hAnsi="Calibri"/>
                <w:b/>
                <w:bCs/>
                <w:color w:val="1F3864"/>
                <w:sz w:val="21"/>
                <w:szCs w:val="21"/>
              </w:rPr>
              <w:t xml:space="preserve">Accuracy</w:t>
            </w:r>
          </w:p>
        </w:tc>
        <w:tc>
          <w:tcPr>
            <w:tcW w:type="dxa" w:w="1650"/>
            <w:shd w:fill="DCE6F1" w:color="auto" w:val="clear"/>
            <w:tcMar>
              <w:top w:type="dxa" w:w="80"/>
              <w:left w:type="dxa" w:w="120"/>
              <w:bottom w:type="dxa" w:w="80"/>
              <w:right w:type="dxa" w:w="120"/>
            </w:tcMar>
          </w:tcPr>
          <w:p>
            <w:pPr>
              <w:jc w:val="center"/>
            </w:pPr>
            <w:r>
              <w:rPr>
                <w:rFonts w:ascii="Calibri" w:cs="Calibri" w:eastAsia="Calibri" w:hAnsi="Calibri"/>
                <w:b/>
                <w:bCs/>
                <w:color w:val="1F3864"/>
                <w:sz w:val="21"/>
                <w:szCs w:val="21"/>
              </w:rPr>
              <w:t xml:space="preserve">Precision</w:t>
            </w:r>
          </w:p>
        </w:tc>
        <w:tc>
          <w:tcPr>
            <w:tcW w:type="dxa" w:w="1650"/>
            <w:shd w:fill="DCE6F1" w:color="auto" w:val="clear"/>
            <w:tcMar>
              <w:top w:type="dxa" w:w="80"/>
              <w:left w:type="dxa" w:w="120"/>
              <w:bottom w:type="dxa" w:w="80"/>
              <w:right w:type="dxa" w:w="120"/>
            </w:tcMar>
          </w:tcPr>
          <w:p>
            <w:pPr>
              <w:jc w:val="center"/>
            </w:pPr>
            <w:r>
              <w:rPr>
                <w:rFonts w:ascii="Calibri" w:cs="Calibri" w:eastAsia="Calibri" w:hAnsi="Calibri"/>
                <w:b/>
                <w:bCs/>
                <w:color w:val="1F3864"/>
                <w:sz w:val="21"/>
                <w:szCs w:val="21"/>
              </w:rPr>
              <w:t xml:space="preserve">Recall</w:t>
            </w:r>
          </w:p>
        </w:tc>
        <w:tc>
          <w:tcPr>
            <w:tcW w:type="dxa" w:w="1650"/>
            <w:shd w:fill="DCE6F1" w:color="auto" w:val="clear"/>
            <w:tcMar>
              <w:top w:type="dxa" w:w="80"/>
              <w:left w:type="dxa" w:w="120"/>
              <w:bottom w:type="dxa" w:w="80"/>
              <w:right w:type="dxa" w:w="120"/>
            </w:tcMar>
          </w:tcPr>
          <w:p>
            <w:pPr>
              <w:jc w:val="center"/>
            </w:pPr>
            <w:r>
              <w:rPr>
                <w:rFonts w:ascii="Calibri" w:cs="Calibri" w:eastAsia="Calibri" w:hAnsi="Calibri"/>
                <w:b/>
                <w:bCs/>
                <w:color w:val="1F3864"/>
                <w:sz w:val="21"/>
                <w:szCs w:val="21"/>
              </w:rPr>
              <w:t xml:space="preserve">Weighted F1</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1"/>
                <w:szCs w:val="21"/>
              </w:rPr>
              <w:t xml:space="preserve">Logistic Regression</w:t>
            </w:r>
          </w:p>
        </w:tc>
        <w:tc>
          <w:tcPr>
            <w:tcW w:type="dxa" w:w="165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1.00</w:t>
            </w:r>
          </w:p>
        </w:tc>
        <w:tc>
          <w:tcPr>
            <w:tcW w:type="dxa" w:w="165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1.00</w:t>
            </w:r>
          </w:p>
        </w:tc>
        <w:tc>
          <w:tcPr>
            <w:tcW w:type="dxa" w:w="165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1.00</w:t>
            </w:r>
          </w:p>
        </w:tc>
        <w:tc>
          <w:tcPr>
            <w:tcW w:type="dxa" w:w="165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1.00</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1"/>
                <w:szCs w:val="21"/>
              </w:rPr>
              <w:t xml:space="preserve">Multinomial Naive Bayes</w:t>
            </w:r>
          </w:p>
        </w:tc>
        <w:tc>
          <w:tcPr>
            <w:tcW w:type="dxa" w:w="165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1.00</w:t>
            </w:r>
          </w:p>
        </w:tc>
        <w:tc>
          <w:tcPr>
            <w:tcW w:type="dxa" w:w="165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1.00</w:t>
            </w:r>
          </w:p>
        </w:tc>
        <w:tc>
          <w:tcPr>
            <w:tcW w:type="dxa" w:w="165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1.00</w:t>
            </w:r>
          </w:p>
        </w:tc>
        <w:tc>
          <w:tcPr>
            <w:tcW w:type="dxa" w:w="165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1.00</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1"/>
                <w:szCs w:val="21"/>
              </w:rPr>
              <w:t xml:space="preserve">Linear SVM</w:t>
            </w:r>
          </w:p>
        </w:tc>
        <w:tc>
          <w:tcPr>
            <w:tcW w:type="dxa" w:w="165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1.00</w:t>
            </w:r>
          </w:p>
        </w:tc>
        <w:tc>
          <w:tcPr>
            <w:tcW w:type="dxa" w:w="165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1.00</w:t>
            </w:r>
          </w:p>
        </w:tc>
        <w:tc>
          <w:tcPr>
            <w:tcW w:type="dxa" w:w="165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1.00</w:t>
            </w:r>
          </w:p>
        </w:tc>
        <w:tc>
          <w:tcPr>
            <w:tcW w:type="dxa" w:w="165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1.00</w:t>
            </w:r>
          </w:p>
        </w:tc>
      </w:tr>
    </w:tbl>
    <w:p>
      <w:pPr>
        <w:spacing w:after="200" w:line="300"/>
      </w:pPr>
      <w:r>
        <w:rPr>
          <w:rFonts w:ascii="Calibri" w:cs="Calibri" w:eastAsia="Calibri" w:hAnsi="Calibri"/>
          <w:sz w:val="23"/>
          <w:szCs w:val="23"/>
        </w:rPr>
        <w:t xml:space="preserve"/>
      </w:r>
    </w:p>
    <w:p>
      <w:pPr>
        <w:spacing w:after="200" w:line="300"/>
      </w:pPr>
      <w:r>
        <w:rPr>
          <w:rFonts w:ascii="Calibri" w:cs="Calibri" w:eastAsia="Calibri" w:hAnsi="Calibri"/>
          <w:sz w:val="23"/>
          <w:szCs w:val="23"/>
        </w:rPr>
        <w:t xml:space="preserve">All three models came back with 1.00 across accuracy, precision, recall, and weighted F1. Every single one.</w:t>
      </w:r>
    </w:p>
    <w:p>
      <w:pPr>
        <w:spacing w:after="200" w:line="300"/>
      </w:pPr>
      <w:r>
        <w:rPr>
          <w:rFonts w:ascii="Calibri" w:cs="Calibri" w:eastAsia="Calibri" w:hAnsi="Calibri"/>
          <w:sz w:val="23"/>
          <w:szCs w:val="23"/>
        </w:rPr>
        <w:t xml:space="preserve">Honestly, that number made us pause before it made us happy. A perfect score across three completely different model types is not a normal result, and it was the first sign that something in the data setup needed a closer look — which we get into in Section 10. Taken at face value, the models classified every held-out review correctly under this experimental setup, but we don't think that number should be read as “these models are flawless,” and we explain why below.</w:t>
      </w:r>
    </w:p>
    <w:p>
      <w:pPr>
        <w:pStyle w:val="Heading1"/>
        <w:pStyle w:val="Heading1Custom"/>
        <w:spacing w:after="160" w:before="320"/>
      </w:pPr>
      <w:r>
        <w:t xml:space="preserve">5. Confusion Matrix Interpretation</w:t>
      </w:r>
    </w:p>
    <w:p>
      <w:pPr>
        <w:spacing w:after="200" w:line="300"/>
      </w:pPr>
      <w:r>
        <w:rPr>
          <w:rFonts w:ascii="Calibri" w:cs="Calibri" w:eastAsia="Calibri" w:hAnsi="Calibri"/>
          <w:sz w:val="23"/>
          <w:szCs w:val="23"/>
        </w:rPr>
        <w:t xml:space="preserve">The confusion matrix backs up what the metrics above already said: all 240 test reviews landed in the correct class, with nothing misclassified anywhere.</w:t>
      </w:r>
    </w:p>
    <w:tbl>
      <w:tblPr>
        <w:tblW w:type="dxa" w:w="9500"/>
        <w:tblBorders>
          <w:top w:val="single" w:color="AAAAAA" w:sz="4"/>
          <w:left w:val="single" w:color="AAAAAA" w:sz="4"/>
          <w:bottom w:val="single" w:color="AAAAAA" w:sz="4"/>
          <w:right w:val="single" w:color="AAAAAA" w:sz="4"/>
          <w:insideH w:val="single" w:color="DDDDDD" w:sz="4"/>
          <w:insideV w:val="single" w:color="DDDDDD" w:sz="4"/>
        </w:tblBorders>
      </w:tblPr>
      <w:tblGrid>
        <w:gridCol w:w="3200"/>
        <w:gridCol w:w="2100"/>
        <w:gridCol w:w="2100"/>
        <w:gridCol w:w="2100"/>
      </w:tblGrid>
      <w:tr>
        <w:trPr>
          <w:tblHeader/>
        </w:trPr>
        <w:tc>
          <w:tcPr>
            <w:tcW w:type="dxa" w:w="3200"/>
            <w:shd w:fill="DCE6F1" w:color="auto" w:val="clear"/>
            <w:tcMar>
              <w:top w:type="dxa" w:w="80"/>
              <w:left w:type="dxa" w:w="120"/>
              <w:bottom w:type="dxa" w:w="80"/>
              <w:right w:type="dxa" w:w="120"/>
            </w:tcMar>
          </w:tcPr>
          <w:p>
            <w:pPr>
              <w:jc w:val="left"/>
            </w:pPr>
            <w:r>
              <w:rPr>
                <w:rFonts w:ascii="Calibri" w:cs="Calibri" w:eastAsia="Calibri" w:hAnsi="Calibri"/>
                <w:b/>
                <w:bCs/>
                <w:color w:val="1F3864"/>
                <w:sz w:val="21"/>
                <w:szCs w:val="21"/>
              </w:rPr>
              <w:t xml:space="preserve">Actual / Predicted</w:t>
            </w:r>
          </w:p>
        </w:tc>
        <w:tc>
          <w:tcPr>
            <w:tcW w:type="dxa" w:w="2100"/>
            <w:shd w:fill="DCE6F1" w:color="auto" w:val="clear"/>
            <w:tcMar>
              <w:top w:type="dxa" w:w="80"/>
              <w:left w:type="dxa" w:w="120"/>
              <w:bottom w:type="dxa" w:w="80"/>
              <w:right w:type="dxa" w:w="120"/>
            </w:tcMar>
          </w:tcPr>
          <w:p>
            <w:pPr>
              <w:jc w:val="center"/>
            </w:pPr>
            <w:r>
              <w:rPr>
                <w:rFonts w:ascii="Calibri" w:cs="Calibri" w:eastAsia="Calibri" w:hAnsi="Calibri"/>
                <w:b/>
                <w:bCs/>
                <w:color w:val="1F3864"/>
                <w:sz w:val="21"/>
                <w:szCs w:val="21"/>
              </w:rPr>
              <w:t xml:space="preserve">Negative</w:t>
            </w:r>
          </w:p>
        </w:tc>
        <w:tc>
          <w:tcPr>
            <w:tcW w:type="dxa" w:w="2100"/>
            <w:shd w:fill="DCE6F1" w:color="auto" w:val="clear"/>
            <w:tcMar>
              <w:top w:type="dxa" w:w="80"/>
              <w:left w:type="dxa" w:w="120"/>
              <w:bottom w:type="dxa" w:w="80"/>
              <w:right w:type="dxa" w:w="120"/>
            </w:tcMar>
          </w:tcPr>
          <w:p>
            <w:pPr>
              <w:jc w:val="center"/>
            </w:pPr>
            <w:r>
              <w:rPr>
                <w:rFonts w:ascii="Calibri" w:cs="Calibri" w:eastAsia="Calibri" w:hAnsi="Calibri"/>
                <w:b/>
                <w:bCs/>
                <w:color w:val="1F3864"/>
                <w:sz w:val="21"/>
                <w:szCs w:val="21"/>
              </w:rPr>
              <w:t xml:space="preserve">Neutral</w:t>
            </w:r>
          </w:p>
        </w:tc>
        <w:tc>
          <w:tcPr>
            <w:tcW w:type="dxa" w:w="2100"/>
            <w:shd w:fill="DCE6F1" w:color="auto" w:val="clear"/>
            <w:tcMar>
              <w:top w:type="dxa" w:w="80"/>
              <w:left w:type="dxa" w:w="120"/>
              <w:bottom w:type="dxa" w:w="80"/>
              <w:right w:type="dxa" w:w="120"/>
            </w:tcMar>
          </w:tcPr>
          <w:p>
            <w:pPr>
              <w:jc w:val="center"/>
            </w:pPr>
            <w:r>
              <w:rPr>
                <w:rFonts w:ascii="Calibri" w:cs="Calibri" w:eastAsia="Calibri" w:hAnsi="Calibri"/>
                <w:b/>
                <w:bCs/>
                <w:color w:val="1F3864"/>
                <w:sz w:val="21"/>
                <w:szCs w:val="21"/>
              </w:rPr>
              <w:t xml:space="preserve">Positive</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1"/>
                <w:szCs w:val="21"/>
              </w:rPr>
              <w:t xml:space="preserve">Negative</w:t>
            </w:r>
          </w:p>
        </w:tc>
        <w:tc>
          <w:tcPr>
            <w:tcW w:type="dxa" w:w="21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72</w:t>
            </w:r>
          </w:p>
        </w:tc>
        <w:tc>
          <w:tcPr>
            <w:tcW w:type="dxa" w:w="21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0</w:t>
            </w:r>
          </w:p>
        </w:tc>
        <w:tc>
          <w:tcPr>
            <w:tcW w:type="dxa" w:w="21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0</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1"/>
                <w:szCs w:val="21"/>
              </w:rPr>
              <w:t xml:space="preserve">Neutral</w:t>
            </w:r>
          </w:p>
        </w:tc>
        <w:tc>
          <w:tcPr>
            <w:tcW w:type="dxa" w:w="21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0</w:t>
            </w:r>
          </w:p>
        </w:tc>
        <w:tc>
          <w:tcPr>
            <w:tcW w:type="dxa" w:w="21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60</w:t>
            </w:r>
          </w:p>
        </w:tc>
        <w:tc>
          <w:tcPr>
            <w:tcW w:type="dxa" w:w="21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0</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1"/>
                <w:szCs w:val="21"/>
              </w:rPr>
              <w:t xml:space="preserve">Positive</w:t>
            </w:r>
          </w:p>
        </w:tc>
        <w:tc>
          <w:tcPr>
            <w:tcW w:type="dxa" w:w="21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0</w:t>
            </w:r>
          </w:p>
        </w:tc>
        <w:tc>
          <w:tcPr>
            <w:tcW w:type="dxa" w:w="21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0</w:t>
            </w:r>
          </w:p>
        </w:tc>
        <w:tc>
          <w:tcPr>
            <w:tcW w:type="dxa" w:w="21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108</w:t>
            </w:r>
          </w:p>
        </w:tc>
      </w:tr>
    </w:tbl>
    <w:p>
      <w:pPr>
        <w:spacing w:after="200" w:line="300"/>
      </w:pPr>
      <w:r>
        <w:rPr>
          <w:rFonts w:ascii="Calibri" w:cs="Calibri" w:eastAsia="Calibri" w:hAnsi="Calibri"/>
          <w:sz w:val="23"/>
          <w:szCs w:val="23"/>
        </w:rPr>
        <w:t xml:space="preserve"/>
      </w:r>
    </w:p>
    <w:p>
      <w:pPr>
        <w:spacing w:after="200" w:line="300"/>
      </w:pPr>
      <w:r>
        <w:rPr>
          <w:rFonts w:ascii="Calibri" w:cs="Calibri" w:eastAsia="Calibri" w:hAnsi="Calibri"/>
          <w:sz w:val="23"/>
          <w:szCs w:val="23"/>
        </w:rPr>
        <w:t xml:space="preserve">No negative review was mistaken for neutral or positive, and the same holds for the other two classes.</w:t>
      </w:r>
    </w:p>
    <w:p>
      <w:pPr>
        <w:spacing w:after="200" w:line="300"/>
      </w:pPr>
      <w:r>
        <w:rPr>
          <w:rFonts w:ascii="Calibri" w:cs="Calibri" w:eastAsia="Calibri" w:hAnsi="Calibri"/>
          <w:sz w:val="23"/>
          <w:szCs w:val="23"/>
        </w:rPr>
        <w:t xml:space="preserve">Normally, this is exactly where a sentiment model runs into trouble — neutral reviews tend to blur with the other two classes because they can carry both positive and negative words, and phrases like “not good” trip up models that don't look past single words. We didn't see any of that here, but as with the metrics above, that's worth reading alongside the duplicate-review issue in Section 10, not on its own.</w:t>
      </w:r>
    </w:p>
    <w:p>
      <w:pPr>
        <w:pStyle w:val="Heading1"/>
        <w:pStyle w:val="Heading1Custom"/>
        <w:spacing w:after="160" w:before="320"/>
      </w:pPr>
      <w:r>
        <w:t xml:space="preserve">6. Sentiment Trend Over Time</w:t>
      </w:r>
    </w:p>
    <w:p>
      <w:pPr>
        <w:spacing w:after="200" w:line="300"/>
      </w:pPr>
      <w:r>
        <w:rPr>
          <w:rFonts w:ascii="Calibri" w:cs="Calibri" w:eastAsia="Calibri" w:hAnsi="Calibri"/>
          <w:sz w:val="23"/>
          <w:szCs w:val="23"/>
        </w:rPr>
        <w:t xml:space="preserve">We also looked at how sentiment moved month to month, across the full window the dataset covers: January 2025 through August 2026. A few snapshots give a sense of the shape:</w:t>
      </w:r>
    </w:p>
    <w:p>
      <w:pPr>
        <w:pStyle w:val="ListParagraph"/>
        <w:numPr>
          <w:ilvl w:val="0"/>
          <w:numId w:val="2"/>
        </w:numPr>
        <w:spacing w:after="100" w:line="300"/>
      </w:pPr>
      <w:r>
        <w:rPr>
          <w:rFonts w:ascii="Calibri" w:cs="Calibri" w:eastAsia="Calibri" w:hAnsi="Calibri"/>
          <w:sz w:val="23"/>
          <w:szCs w:val="23"/>
        </w:rPr>
        <w:t xml:space="preserve">May 2025 — 37 positive, 16 negative, 14 neutral</w:t>
      </w:r>
    </w:p>
    <w:p>
      <w:pPr>
        <w:pStyle w:val="ListParagraph"/>
        <w:numPr>
          <w:ilvl w:val="0"/>
          <w:numId w:val="2"/>
        </w:numPr>
        <w:spacing w:after="100" w:line="300"/>
      </w:pPr>
      <w:r>
        <w:rPr>
          <w:rFonts w:ascii="Calibri" w:cs="Calibri" w:eastAsia="Calibri" w:hAnsi="Calibri"/>
          <w:sz w:val="23"/>
          <w:szCs w:val="23"/>
        </w:rPr>
        <w:t xml:space="preserve">June 2025 — 36 positive, 23 negative, 7 neutral</w:t>
      </w:r>
    </w:p>
    <w:p>
      <w:pPr>
        <w:pStyle w:val="ListParagraph"/>
        <w:numPr>
          <w:ilvl w:val="0"/>
          <w:numId w:val="2"/>
        </w:numPr>
        <w:spacing w:after="100" w:line="300"/>
      </w:pPr>
      <w:r>
        <w:rPr>
          <w:rFonts w:ascii="Calibri" w:cs="Calibri" w:eastAsia="Calibri" w:hAnsi="Calibri"/>
          <w:sz w:val="23"/>
          <w:szCs w:val="23"/>
        </w:rPr>
        <w:t xml:space="preserve">January 2026 — 34 positive, 13 negative, 13 neutral</w:t>
      </w:r>
    </w:p>
    <w:p>
      <w:pPr>
        <w:pStyle w:val="ListParagraph"/>
        <w:numPr>
          <w:ilvl w:val="0"/>
          <w:numId w:val="2"/>
        </w:numPr>
        <w:spacing w:after="100" w:line="300"/>
      </w:pPr>
      <w:r>
        <w:rPr>
          <w:rFonts w:ascii="Calibri" w:cs="Calibri" w:eastAsia="Calibri" w:hAnsi="Calibri"/>
          <w:sz w:val="23"/>
          <w:szCs w:val="23"/>
        </w:rPr>
        <w:t xml:space="preserve">May 2026 — 39 positive, 20 negative, 13 neutral</w:t>
      </w:r>
    </w:p>
    <w:p>
      <w:pPr>
        <w:pStyle w:val="ListParagraph"/>
        <w:numPr>
          <w:ilvl w:val="0"/>
          <w:numId w:val="2"/>
        </w:numPr>
        <w:spacing w:after="100" w:line="300"/>
      </w:pPr>
      <w:r>
        <w:rPr>
          <w:rFonts w:ascii="Calibri" w:cs="Calibri" w:eastAsia="Calibri" w:hAnsi="Calibri"/>
          <w:sz w:val="23"/>
          <w:szCs w:val="23"/>
        </w:rPr>
        <w:t xml:space="preserve">August 2026 — 28 positive, 18 negative, 21 neutral</w:t>
      </w:r>
    </w:p>
    <w:p>
      <w:pPr>
        <w:spacing w:after="200" w:line="300"/>
      </w:pPr>
      <w:r>
        <w:rPr>
          <w:rFonts w:ascii="Calibri" w:cs="Calibri" w:eastAsia="Calibri" w:hAnsi="Calibri"/>
          <w:sz w:val="23"/>
          <w:szCs w:val="23"/>
        </w:rPr>
        <w:t xml:space="preserve"/>
      </w:r>
    </w:p>
    <w:p>
      <w:pPr>
        <w:spacing w:after="200" w:line="300"/>
      </w:pPr>
      <w:r>
        <w:rPr>
          <w:rFonts w:ascii="Calibri" w:cs="Calibri" w:eastAsia="Calibri" w:hAnsi="Calibri"/>
          <w:sz w:val="23"/>
          <w:szCs w:val="23"/>
        </w:rPr>
        <w:t xml:space="preserve">Positive stays the largest group basically every month, even though the exact counts bounce around a fair bit. There's no clear slide from positive toward negative sentiment anywhere in this window — just normal month-to-month noise sitting on top of an overall positive lean.</w:t>
      </w:r>
    </w:p>
    <w:p>
      <w:pPr>
        <w:spacing w:after="200" w:line="300"/>
      </w:pPr>
      <w:r>
        <w:rPr>
          <w:rFonts w:ascii="Calibri" w:cs="Calibri" w:eastAsia="Calibri" w:hAnsi="Calibri"/>
          <w:sz w:val="23"/>
          <w:szCs w:val="23"/>
        </w:rPr>
        <w:t xml:space="preserve">We don't know what's driving the specific bumps and dips without more context — a product launch, a promotion, a shift in customer service could each explain a given month, but the dataset doesn't tell us which, so we're not going to guess.</w:t>
      </w:r>
    </w:p>
    <w:p>
      <w:pPr>
        <w:pStyle w:val="Heading1"/>
        <w:pStyle w:val="Heading1Custom"/>
        <w:spacing w:after="160" w:before="320"/>
      </w:pPr>
      <w:r>
        <w:t xml:space="preserve">7. Sentiment by Source</w:t>
      </w:r>
    </w:p>
    <w:p>
      <w:pPr>
        <w:spacing w:after="200" w:line="300"/>
      </w:pPr>
      <w:r>
        <w:rPr>
          <w:rFonts w:ascii="Calibri" w:cs="Calibri" w:eastAsia="Calibri" w:hAnsi="Calibri"/>
          <w:sz w:val="23"/>
          <w:szCs w:val="23"/>
        </w:rPr>
        <w:t xml:space="preserve">Comparing the two review sources side by side:</w:t>
      </w:r>
    </w:p>
    <w:tbl>
      <w:tblPr>
        <w:tblW w:type="dxa" w:w="9500"/>
        <w:tblBorders>
          <w:top w:val="single" w:color="AAAAAA" w:sz="4"/>
          <w:left w:val="single" w:color="AAAAAA" w:sz="4"/>
          <w:bottom w:val="single" w:color="AAAAAA" w:sz="4"/>
          <w:right w:val="single" w:color="AAAAAA" w:sz="4"/>
          <w:insideH w:val="single" w:color="DDDDDD" w:sz="4"/>
          <w:insideV w:val="single" w:color="DDDDDD" w:sz="4"/>
        </w:tblBorders>
      </w:tblPr>
      <w:tblGrid>
        <w:gridCol w:w="3200"/>
        <w:gridCol w:w="2100"/>
        <w:gridCol w:w="2100"/>
        <w:gridCol w:w="2100"/>
      </w:tblGrid>
      <w:tr>
        <w:trPr>
          <w:tblHeader/>
        </w:trPr>
        <w:tc>
          <w:tcPr>
            <w:tcW w:type="dxa" w:w="3200"/>
            <w:shd w:fill="DCE6F1" w:color="auto" w:val="clear"/>
            <w:tcMar>
              <w:top w:type="dxa" w:w="80"/>
              <w:left w:type="dxa" w:w="120"/>
              <w:bottom w:type="dxa" w:w="80"/>
              <w:right w:type="dxa" w:w="120"/>
            </w:tcMar>
          </w:tcPr>
          <w:p>
            <w:pPr>
              <w:jc w:val="left"/>
            </w:pPr>
            <w:r>
              <w:rPr>
                <w:rFonts w:ascii="Calibri" w:cs="Calibri" w:eastAsia="Calibri" w:hAnsi="Calibri"/>
                <w:b/>
                <w:bCs/>
                <w:color w:val="1F3864"/>
                <w:sz w:val="21"/>
                <w:szCs w:val="21"/>
              </w:rPr>
              <w:t xml:space="preserve">Source</w:t>
            </w:r>
          </w:p>
        </w:tc>
        <w:tc>
          <w:tcPr>
            <w:tcW w:type="dxa" w:w="2100"/>
            <w:shd w:fill="DCE6F1" w:color="auto" w:val="clear"/>
            <w:tcMar>
              <w:top w:type="dxa" w:w="80"/>
              <w:left w:type="dxa" w:w="120"/>
              <w:bottom w:type="dxa" w:w="80"/>
              <w:right w:type="dxa" w:w="120"/>
            </w:tcMar>
          </w:tcPr>
          <w:p>
            <w:pPr>
              <w:jc w:val="center"/>
            </w:pPr>
            <w:r>
              <w:rPr>
                <w:rFonts w:ascii="Calibri" w:cs="Calibri" w:eastAsia="Calibri" w:hAnsi="Calibri"/>
                <w:b/>
                <w:bCs/>
                <w:color w:val="1F3864"/>
                <w:sz w:val="21"/>
                <w:szCs w:val="21"/>
              </w:rPr>
              <w:t xml:space="preserve">Negative</w:t>
            </w:r>
          </w:p>
        </w:tc>
        <w:tc>
          <w:tcPr>
            <w:tcW w:type="dxa" w:w="2100"/>
            <w:shd w:fill="DCE6F1" w:color="auto" w:val="clear"/>
            <w:tcMar>
              <w:top w:type="dxa" w:w="80"/>
              <w:left w:type="dxa" w:w="120"/>
              <w:bottom w:type="dxa" w:w="80"/>
              <w:right w:type="dxa" w:w="120"/>
            </w:tcMar>
          </w:tcPr>
          <w:p>
            <w:pPr>
              <w:jc w:val="center"/>
            </w:pPr>
            <w:r>
              <w:rPr>
                <w:rFonts w:ascii="Calibri" w:cs="Calibri" w:eastAsia="Calibri" w:hAnsi="Calibri"/>
                <w:b/>
                <w:bCs/>
                <w:color w:val="1F3864"/>
                <w:sz w:val="21"/>
                <w:szCs w:val="21"/>
              </w:rPr>
              <w:t xml:space="preserve">Neutral</w:t>
            </w:r>
          </w:p>
        </w:tc>
        <w:tc>
          <w:tcPr>
            <w:tcW w:type="dxa" w:w="2100"/>
            <w:shd w:fill="DCE6F1" w:color="auto" w:val="clear"/>
            <w:tcMar>
              <w:top w:type="dxa" w:w="80"/>
              <w:left w:type="dxa" w:w="120"/>
              <w:bottom w:type="dxa" w:w="80"/>
              <w:right w:type="dxa" w:w="120"/>
            </w:tcMar>
          </w:tcPr>
          <w:p>
            <w:pPr>
              <w:jc w:val="center"/>
            </w:pPr>
            <w:r>
              <w:rPr>
                <w:rFonts w:ascii="Calibri" w:cs="Calibri" w:eastAsia="Calibri" w:hAnsi="Calibri"/>
                <w:b/>
                <w:bCs/>
                <w:color w:val="1F3864"/>
                <w:sz w:val="21"/>
                <w:szCs w:val="21"/>
              </w:rPr>
              <w:t xml:space="preserve">Positive</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1"/>
                <w:szCs w:val="21"/>
              </w:rPr>
              <w:t xml:space="preserve">Online Store</w:t>
            </w:r>
          </w:p>
        </w:tc>
        <w:tc>
          <w:tcPr>
            <w:tcW w:type="dxa" w:w="21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29.0%</w:t>
            </w:r>
          </w:p>
        </w:tc>
        <w:tc>
          <w:tcPr>
            <w:tcW w:type="dxa" w:w="21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25.3%</w:t>
            </w:r>
          </w:p>
        </w:tc>
        <w:tc>
          <w:tcPr>
            <w:tcW w:type="dxa" w:w="21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45.6%</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1"/>
                <w:szCs w:val="21"/>
              </w:rPr>
              <w:t xml:space="preserve">Social Commerce</w:t>
            </w:r>
          </w:p>
        </w:tc>
        <w:tc>
          <w:tcPr>
            <w:tcW w:type="dxa" w:w="21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31.0%</w:t>
            </w:r>
          </w:p>
        </w:tc>
        <w:tc>
          <w:tcPr>
            <w:tcW w:type="dxa" w:w="21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24.7%</w:t>
            </w:r>
          </w:p>
        </w:tc>
        <w:tc>
          <w:tcPr>
            <w:tcW w:type="dxa" w:w="21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44.3%</w:t>
            </w:r>
          </w:p>
        </w:tc>
      </w:tr>
    </w:tbl>
    <w:p>
      <w:pPr>
        <w:spacing w:after="200" w:line="300"/>
      </w:pPr>
      <w:r>
        <w:rPr>
          <w:rFonts w:ascii="Calibri" w:cs="Calibri" w:eastAsia="Calibri" w:hAnsi="Calibri"/>
          <w:sz w:val="23"/>
          <w:szCs w:val="23"/>
        </w:rPr>
        <w:t xml:space="preserve"/>
      </w:r>
    </w:p>
    <w:p>
      <w:pPr>
        <w:spacing w:after="200" w:line="300"/>
      </w:pPr>
      <w:r>
        <w:rPr>
          <w:rFonts w:ascii="Calibri" w:cs="Calibri" w:eastAsia="Calibri" w:hAnsi="Calibri"/>
          <w:sz w:val="23"/>
          <w:szCs w:val="23"/>
        </w:rPr>
        <w:t xml:space="preserve">The two sources land in almost the same place. Online Store edges out slightly ahead on positive sentiment, Social Commerce slightly ahead on negative, but neither gap is large enough to call meaningful. Our best guess is that people on both platforms are reviewing similar products and having similar experiences — but the dataset doesn't include anything about who's posting or why, so that's a guess, not a finding.</w:t>
      </w:r>
    </w:p>
    <w:p>
      <w:pPr>
        <w:pStyle w:val="Heading1"/>
        <w:pStyle w:val="Heading1Custom"/>
        <w:spacing w:after="160" w:before="320"/>
      </w:pPr>
      <w:r>
        <w:t xml:space="preserve">8. Sentiment by Product</w:t>
      </w:r>
    </w:p>
    <w:p>
      <w:pPr>
        <w:spacing w:after="200" w:line="300"/>
      </w:pPr>
      <w:r>
        <w:rPr>
          <w:rFonts w:ascii="Calibri" w:cs="Calibri" w:eastAsia="Calibri" w:hAnsi="Calibri"/>
          <w:sz w:val="23"/>
          <w:szCs w:val="23"/>
        </w:rPr>
        <w:t xml:space="preserve">Product-level sentiment turned out to be a lot less uniform than the source-level comparison above.</w:t>
      </w:r>
    </w:p>
    <w:tbl>
      <w:tblPr>
        <w:tblW w:type="dxa" w:w="7500"/>
        <w:tblBorders>
          <w:top w:val="single" w:color="AAAAAA" w:sz="4"/>
          <w:left w:val="single" w:color="AAAAAA" w:sz="4"/>
          <w:bottom w:val="single" w:color="AAAAAA" w:sz="4"/>
          <w:right w:val="single" w:color="AAAAAA" w:sz="4"/>
          <w:insideH w:val="single" w:color="DDDDDD" w:sz="4"/>
          <w:insideV w:val="single" w:color="DDDDDD" w:sz="4"/>
        </w:tblBorders>
      </w:tblPr>
      <w:tblGrid>
        <w:gridCol w:w="4900"/>
        <w:gridCol w:w="2600"/>
      </w:tblGrid>
      <w:tr>
        <w:trPr>
          <w:tblHeader/>
        </w:trPr>
        <w:tc>
          <w:tcPr>
            <w:tcW w:type="dxa" w:w="4900"/>
            <w:shd w:fill="DCE6F1" w:color="auto" w:val="clear"/>
            <w:tcMar>
              <w:top w:type="dxa" w:w="80"/>
              <w:left w:type="dxa" w:w="120"/>
              <w:bottom w:type="dxa" w:w="80"/>
              <w:right w:type="dxa" w:w="120"/>
            </w:tcMar>
          </w:tcPr>
          <w:p>
            <w:pPr>
              <w:jc w:val="left"/>
            </w:pPr>
            <w:r>
              <w:rPr>
                <w:rFonts w:ascii="Calibri" w:cs="Calibri" w:eastAsia="Calibri" w:hAnsi="Calibri"/>
                <w:b/>
                <w:bCs/>
                <w:color w:val="1F3864"/>
                <w:sz w:val="21"/>
                <w:szCs w:val="21"/>
              </w:rPr>
              <w:t xml:space="preserve">Product</w:t>
            </w:r>
          </w:p>
        </w:tc>
        <w:tc>
          <w:tcPr>
            <w:tcW w:type="dxa" w:w="2600"/>
            <w:shd w:fill="DCE6F1" w:color="auto" w:val="clear"/>
            <w:tcMar>
              <w:top w:type="dxa" w:w="80"/>
              <w:left w:type="dxa" w:w="120"/>
              <w:bottom w:type="dxa" w:w="80"/>
              <w:right w:type="dxa" w:w="120"/>
            </w:tcMar>
          </w:tcPr>
          <w:p>
            <w:pPr>
              <w:jc w:val="center"/>
            </w:pPr>
            <w:r>
              <w:rPr>
                <w:rFonts w:ascii="Calibri" w:cs="Calibri" w:eastAsia="Calibri" w:hAnsi="Calibri"/>
                <w:b/>
                <w:bCs/>
                <w:color w:val="1F3864"/>
                <w:sz w:val="21"/>
                <w:szCs w:val="21"/>
              </w:rPr>
              <w:t xml:space="preserve">Positive Sentiment</w:t>
            </w:r>
          </w:p>
        </w:tc>
      </w:tr>
      <w:tr>
        <w:tc>
          <w:tcPr>
            <w:tcW w:type="dxa" w:w="4900"/>
            <w:tcMar>
              <w:top w:type="dxa" w:w="80"/>
              <w:left w:type="dxa" w:w="120"/>
              <w:bottom w:type="dxa" w:w="80"/>
              <w:right w:type="dxa" w:w="120"/>
            </w:tcMar>
          </w:tcPr>
          <w:p>
            <w:pPr>
              <w:jc w:val="left"/>
            </w:pPr>
            <w:r>
              <w:rPr>
                <w:rFonts w:ascii="Calibri" w:cs="Calibri" w:eastAsia="Calibri" w:hAnsi="Calibri"/>
                <w:b w:val="false"/>
                <w:bCs w:val="false"/>
                <w:color w:val="000000"/>
                <w:sz w:val="21"/>
                <w:szCs w:val="21"/>
              </w:rPr>
              <w:t xml:space="preserve">Bluetooth Speaker</w:t>
            </w:r>
          </w:p>
        </w:tc>
        <w:tc>
          <w:tcPr>
            <w:tcW w:type="dxa" w:w="26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54.0%</w:t>
            </w:r>
          </w:p>
        </w:tc>
      </w:tr>
      <w:tr>
        <w:tc>
          <w:tcPr>
            <w:tcW w:type="dxa" w:w="4900"/>
            <w:tcMar>
              <w:top w:type="dxa" w:w="80"/>
              <w:left w:type="dxa" w:w="120"/>
              <w:bottom w:type="dxa" w:w="80"/>
              <w:right w:type="dxa" w:w="120"/>
            </w:tcMar>
          </w:tcPr>
          <w:p>
            <w:pPr>
              <w:jc w:val="left"/>
            </w:pPr>
            <w:r>
              <w:rPr>
                <w:rFonts w:ascii="Calibri" w:cs="Calibri" w:eastAsia="Calibri" w:hAnsi="Calibri"/>
                <w:b w:val="false"/>
                <w:bCs w:val="false"/>
                <w:color w:val="000000"/>
                <w:sz w:val="21"/>
                <w:szCs w:val="21"/>
              </w:rPr>
              <w:t xml:space="preserve">Phone Case</w:t>
            </w:r>
          </w:p>
        </w:tc>
        <w:tc>
          <w:tcPr>
            <w:tcW w:type="dxa" w:w="26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54.0%</w:t>
            </w:r>
          </w:p>
        </w:tc>
      </w:tr>
      <w:tr>
        <w:tc>
          <w:tcPr>
            <w:tcW w:type="dxa" w:w="4900"/>
            <w:tcMar>
              <w:top w:type="dxa" w:w="80"/>
              <w:left w:type="dxa" w:w="120"/>
              <w:bottom w:type="dxa" w:w="80"/>
              <w:right w:type="dxa" w:w="120"/>
            </w:tcMar>
          </w:tcPr>
          <w:p>
            <w:pPr>
              <w:jc w:val="left"/>
            </w:pPr>
            <w:r>
              <w:rPr>
                <w:rFonts w:ascii="Calibri" w:cs="Calibri" w:eastAsia="Calibri" w:hAnsi="Calibri"/>
                <w:b w:val="false"/>
                <w:bCs w:val="false"/>
                <w:color w:val="000000"/>
                <w:sz w:val="21"/>
                <w:szCs w:val="21"/>
              </w:rPr>
              <w:t xml:space="preserve">Coffee Mug</w:t>
            </w:r>
          </w:p>
        </w:tc>
        <w:tc>
          <w:tcPr>
            <w:tcW w:type="dxa" w:w="26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53.3%</w:t>
            </w:r>
          </w:p>
        </w:tc>
      </w:tr>
      <w:tr>
        <w:tc>
          <w:tcPr>
            <w:tcW w:type="dxa" w:w="4900"/>
            <w:tcMar>
              <w:top w:type="dxa" w:w="80"/>
              <w:left w:type="dxa" w:w="120"/>
              <w:bottom w:type="dxa" w:w="80"/>
              <w:right w:type="dxa" w:w="120"/>
            </w:tcMar>
          </w:tcPr>
          <w:p>
            <w:pPr>
              <w:jc w:val="left"/>
            </w:pPr>
            <w:r>
              <w:rPr>
                <w:rFonts w:ascii="Calibri" w:cs="Calibri" w:eastAsia="Calibri" w:hAnsi="Calibri"/>
                <w:b w:val="false"/>
                <w:bCs w:val="false"/>
                <w:color w:val="000000"/>
                <w:sz w:val="21"/>
                <w:szCs w:val="21"/>
              </w:rPr>
              <w:t xml:space="preserve">Desk Lamp</w:t>
            </w:r>
          </w:p>
        </w:tc>
        <w:tc>
          <w:tcPr>
            <w:tcW w:type="dxa" w:w="26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53.0%</w:t>
            </w:r>
          </w:p>
        </w:tc>
      </w:tr>
      <w:tr>
        <w:tc>
          <w:tcPr>
            <w:tcW w:type="dxa" w:w="4900"/>
            <w:tcMar>
              <w:top w:type="dxa" w:w="80"/>
              <w:left w:type="dxa" w:w="120"/>
              <w:bottom w:type="dxa" w:w="80"/>
              <w:right w:type="dxa" w:w="120"/>
            </w:tcMar>
          </w:tcPr>
          <w:p>
            <w:pPr>
              <w:jc w:val="left"/>
            </w:pPr>
            <w:r>
              <w:rPr>
                <w:rFonts w:ascii="Calibri" w:cs="Calibri" w:eastAsia="Calibri" w:hAnsi="Calibri"/>
                <w:b w:val="false"/>
                <w:bCs w:val="false"/>
                <w:color w:val="000000"/>
                <w:sz w:val="21"/>
                <w:szCs w:val="21"/>
              </w:rPr>
              <w:t xml:space="preserve">Face Wash</w:t>
            </w:r>
          </w:p>
        </w:tc>
        <w:tc>
          <w:tcPr>
            <w:tcW w:type="dxa" w:w="2600"/>
            <w:tcMar>
              <w:top w:type="dxa" w:w="80"/>
              <w:left w:type="dxa" w:w="120"/>
              <w:bottom w:type="dxa" w:w="80"/>
              <w:right w:type="dxa" w:w="120"/>
            </w:tcMar>
          </w:tcPr>
          <w:p>
            <w:pPr>
              <w:jc w:val="center"/>
            </w:pPr>
            <w:r>
              <w:rPr>
                <w:rFonts w:ascii="Calibri" w:cs="Calibri" w:eastAsia="Calibri" w:hAnsi="Calibri"/>
                <w:b w:val="false"/>
                <w:bCs w:val="false"/>
                <w:color w:val="000000"/>
                <w:sz w:val="21"/>
                <w:szCs w:val="21"/>
              </w:rPr>
              <w:t xml:space="preserve">52.5%</w:t>
            </w:r>
          </w:p>
        </w:tc>
      </w:tr>
    </w:tbl>
    <w:p>
      <w:pPr>
        <w:spacing w:after="200" w:line="300"/>
      </w:pPr>
      <w:r>
        <w:rPr>
          <w:rFonts w:ascii="Calibri" w:cs="Calibri" w:eastAsia="Calibri" w:hAnsi="Calibri"/>
          <w:sz w:val="23"/>
          <w:szCs w:val="23"/>
        </w:rPr>
        <w:t xml:space="preserve"/>
      </w:r>
    </w:p>
    <w:p>
      <w:pPr>
        <w:spacing w:after="200" w:line="300"/>
      </w:pPr>
      <w:r>
        <w:rPr>
          <w:rFonts w:ascii="Calibri" w:cs="Calibri" w:eastAsia="Calibri" w:hAnsi="Calibri"/>
          <w:sz w:val="23"/>
          <w:szCs w:val="23"/>
        </w:rPr>
        <w:t xml:space="preserve">Products like the Bluetooth Speaker and Phone Case sit above 50% positive, which tracks with the overall dataset lean.</w:t>
      </w:r>
    </w:p>
    <w:p>
      <w:pPr>
        <w:spacing w:after="200" w:line="300"/>
      </w:pPr>
      <w:r>
        <w:rPr>
          <w:rFonts w:ascii="Calibri" w:cs="Calibri" w:eastAsia="Calibri" w:hAnsi="Calibri"/>
          <w:sz w:val="23"/>
          <w:szCs w:val="23"/>
        </w:rPr>
        <w:t xml:space="preserve">Other products tell a very different story. Moisturizer comes in at about 37.5% positive and 39.6% negative — genuinely split down the middle. Sunglasses land almost exactly the same way, at 39.1% each. Backpack is its own case: only about 31.0% positive, but 44.8% neutral, meaning a large chunk of its reviews aren't strongly positive or negative at all.</w:t>
      </w:r>
    </w:p>
    <w:p>
      <w:pPr>
        <w:spacing w:after="200" w:line="300"/>
      </w:pPr>
      <w:r>
        <w:rPr>
          <w:rFonts w:ascii="Calibri" w:cs="Calibri" w:eastAsia="Calibri" w:hAnsi="Calibri"/>
          <w:sz w:val="23"/>
          <w:szCs w:val="23"/>
        </w:rPr>
        <w:t xml:space="preserve">This is really the main reason product-level breakdowns matter — the dataset as a whole looks positive, but that number can hide products where customers are clearly unhappy or just lukewarm.</w:t>
      </w:r>
    </w:p>
    <w:p>
      <w:pPr>
        <w:pStyle w:val="Heading1"/>
        <w:pStyle w:val="Heading1Custom"/>
        <w:spacing w:after="160" w:before="320"/>
      </w:pPr>
      <w:r>
        <w:t xml:space="preserve">9. Business Implications</w:t>
      </w:r>
    </w:p>
    <w:p>
      <w:pPr>
        <w:spacing w:after="200" w:line="300"/>
      </w:pPr>
      <w:r>
        <w:rPr>
          <w:rFonts w:ascii="Calibri" w:cs="Calibri" w:eastAsia="Calibri" w:hAnsi="Calibri"/>
          <w:sz w:val="23"/>
          <w:szCs w:val="23"/>
        </w:rPr>
        <w:t xml:space="preserve">Put together, these results point to a few practical takeaways for a business sitting on this data.</w:t>
      </w:r>
    </w:p>
    <w:p>
      <w:pPr>
        <w:spacing w:after="200" w:line="300"/>
      </w:pPr>
      <w:r>
        <w:rPr>
          <w:rFonts w:ascii="Calibri" w:cs="Calibri" w:eastAsia="Calibri" w:hAnsi="Calibri"/>
          <w:sz w:val="23"/>
          <w:szCs w:val="23"/>
        </w:rPr>
        <w:t xml:space="preserve">The overall lean toward positive sentiment is reassuring on its own, but it's the product-level view that would actually change what someone does day to day — flagging something like Moisturizer, where sentiment is split almost 50/50, is the kind of signal worth acting on immediately, rather than a stat to file away. Digging into the negative reviews for a product like that could surface a recurring theme: quality, fit, packaging, or a mismatch between what customers expected and what they got.</w:t>
      </w:r>
    </w:p>
    <w:p>
      <w:pPr>
        <w:spacing w:after="200" w:line="300"/>
      </w:pPr>
      <w:r>
        <w:rPr>
          <w:rFonts w:ascii="Calibri" w:cs="Calibri" w:eastAsia="Calibri" w:hAnsi="Calibri"/>
          <w:sz w:val="23"/>
          <w:szCs w:val="23"/>
        </w:rPr>
        <w:t xml:space="preserve">Monthly tracking is useful in a similar way — not because any one month here looks alarming, but because having a baseline makes it much easier to notice when something actually changes. And the source comparison, while it didn't turn up a big difference this time, is worth revisiting periodically rather than assumed to hold forever.</w:t>
      </w:r>
    </w:p>
    <w:p>
      <w:pPr>
        <w:spacing w:after="200" w:line="300"/>
      </w:pPr>
      <w:r>
        <w:rPr>
          <w:rFonts w:ascii="Calibri" w:cs="Calibri" w:eastAsia="Calibri" w:hAnsi="Calibri"/>
          <w:sz w:val="23"/>
          <w:szCs w:val="23"/>
        </w:rPr>
        <w:t xml:space="preserve">Altogether, this kind of pipeline means a business doesn't have to read through 1,200 reviews by hand to catch that Moisturizer has a problem — the model surfaces it in seconds. That's the real value here, more than any single accuracy number.</w:t>
      </w:r>
    </w:p>
    <w:p>
      <w:pPr>
        <w:pStyle w:val="Heading1"/>
        <w:pStyle w:val="Heading1Custom"/>
        <w:spacing w:after="160" w:before="320"/>
      </w:pPr>
      <w:r>
        <w:t xml:space="preserve">10. Limitations</w:t>
      </w:r>
    </w:p>
    <w:p>
      <w:pPr>
        <w:pStyle w:val="Heading2"/>
        <w:pStyle w:val="Heading2Custom"/>
        <w:spacing w:after="120" w:before="220"/>
      </w:pPr>
      <w:r>
        <w:t xml:space="preserve">10.1 Duplicate Review Texts</w:t>
      </w:r>
    </w:p>
    <w:p>
      <w:pPr>
        <w:spacing w:after="200" w:line="300"/>
      </w:pPr>
      <w:r>
        <w:rPr>
          <w:rFonts w:ascii="Calibri" w:cs="Calibri" w:eastAsia="Calibri" w:hAnsi="Calibri"/>
          <w:sz w:val="23"/>
          <w:szCs w:val="23"/>
        </w:rPr>
        <w:t xml:space="preserve">This is the limitation that matters most, so it's worth walking through carefully. The dataset contains around 275 duplicate review-text values — the same or nearly the same wording showing up more than once. Because we split the data into train and test before removing those duplicates, some of the exact same review text likely ended up in both sets.</w:t>
      </w:r>
    </w:p>
    <w:p>
      <w:pPr>
        <w:spacing w:after="200" w:line="300"/>
      </w:pPr>
      <w:r>
        <w:rPr>
          <w:rFonts w:ascii="Calibri" w:cs="Calibri" w:eastAsia="Calibri" w:hAnsi="Calibri"/>
          <w:sz w:val="23"/>
          <w:szCs w:val="23"/>
        </w:rPr>
        <w:t xml:space="preserve">That's a textbook case of data leakage, and it's almost certainly the real explanation behind the perfect 1.00 scores in Section 4. A model doesn't need to “understand” sentiment to get a review right if it already saw that exact text during training — it just needs to remember it. So the honest read on those numbers is: this is what happened on this dataset with this split, not proof that any of these models would perform flawlessly on brand-new, independently collected reviews.</w:t>
      </w:r>
    </w:p>
    <w:p>
      <w:pPr>
        <w:pStyle w:val="Heading2"/>
        <w:pStyle w:val="Heading2Custom"/>
        <w:spacing w:after="120" w:before="220"/>
      </w:pPr>
      <w:r>
        <w:t xml:space="preserve">10.2 Synthetic / Template-Based Data</w:t>
      </w:r>
    </w:p>
    <w:p>
      <w:pPr>
        <w:spacing w:after="200" w:line="300"/>
      </w:pPr>
      <w:r>
        <w:rPr>
          <w:rFonts w:ascii="Calibri" w:cs="Calibri" w:eastAsia="Calibri" w:hAnsi="Calibri"/>
          <w:sz w:val="23"/>
          <w:szCs w:val="23"/>
        </w:rPr>
        <w:t xml:space="preserve">The reviews in this dataset were generated for the project and follow fairly structured patterns. Real customer reviews are messier — typos, slang, sarcasm, emojis, half-finished thoughts. We'd expect these models to perform noticeably worse once they're pointed at that kind of text instead.</w:t>
      </w:r>
    </w:p>
    <w:p>
      <w:pPr>
        <w:pStyle w:val="Heading2"/>
        <w:pStyle w:val="Heading2Custom"/>
        <w:spacing w:after="120" w:before="220"/>
      </w:pPr>
      <w:r>
        <w:t xml:space="preserve">10.3 Limited Sources</w:t>
      </w:r>
    </w:p>
    <w:p>
      <w:pPr>
        <w:spacing w:after="200" w:line="300"/>
      </w:pPr>
      <w:r>
        <w:rPr>
          <w:rFonts w:ascii="Calibri" w:cs="Calibri" w:eastAsia="Calibri" w:hAnsi="Calibri"/>
          <w:sz w:val="23"/>
          <w:szCs w:val="23"/>
        </w:rPr>
        <w:t xml:space="preserve">We only had two source types to compare, Online Store and Social Commerce. Other platforms almost certainly have their own writing styles and posting habits, so these findings shouldn't be assumed to generalize beyond the two sources we actually had.</w:t>
      </w:r>
    </w:p>
    <w:p>
      <w:pPr>
        <w:pStyle w:val="Heading2"/>
        <w:pStyle w:val="Heading2Custom"/>
        <w:spacing w:after="120" w:before="220"/>
      </w:pPr>
      <w:r>
        <w:t xml:space="preserve">10.4 Limited Context</w:t>
      </w:r>
    </w:p>
    <w:p>
      <w:pPr>
        <w:spacing w:after="200" w:line="300"/>
      </w:pPr>
      <w:r>
        <w:rPr>
          <w:rFonts w:ascii="Calibri" w:cs="Calibri" w:eastAsia="Calibri" w:hAnsi="Calibri"/>
          <w:sz w:val="23"/>
          <w:szCs w:val="23"/>
        </w:rPr>
        <w:t xml:space="preserve">A sentiment label tells you positive, negative, or neutral — it doesn't tell you why. A negative review could be about the product itself, shipping, price, packaging, or customer service, and sentiment classification alone can't tell those apart.</w:t>
      </w:r>
    </w:p>
    <w:p>
      <w:pPr>
        <w:pStyle w:val="Heading1"/>
        <w:pStyle w:val="Heading1Custom"/>
        <w:spacing w:after="160" w:before="320"/>
      </w:pPr>
      <w:r>
        <w:t xml:space="preserve">11. Possible Improvements</w:t>
      </w:r>
    </w:p>
    <w:p>
      <w:pPr>
        <w:spacing w:after="200" w:line="300"/>
      </w:pPr>
      <w:r>
        <w:rPr>
          <w:rFonts w:ascii="Calibri" w:cs="Calibri" w:eastAsia="Calibri" w:hAnsi="Calibri"/>
          <w:sz w:val="23"/>
          <w:szCs w:val="23"/>
        </w:rPr>
        <w:t xml:space="preserve">A few changes would make this project noticeably more solid. Removing duplicate reviews before the train/test split is the obvious first fix — it directly addresses the leakage issue above and would give a real read on how well these models generalize.</w:t>
      </w:r>
    </w:p>
    <w:p>
      <w:pPr>
        <w:spacing w:after="200" w:line="300"/>
      </w:pPr>
      <w:r>
        <w:rPr>
          <w:rFonts w:ascii="Calibri" w:cs="Calibri" w:eastAsia="Calibri" w:hAnsi="Calibri"/>
          <w:sz w:val="23"/>
          <w:szCs w:val="23"/>
        </w:rPr>
        <w:t xml:space="preserve">Beyond that, swapping in a larger set of real-world reviews, pulled from actual platforms rather than generated for the project, would test the models against language that's genuinely messy — slang, sarcasm, typos, mixed opinions, the works.</w:t>
      </w:r>
    </w:p>
    <w:p>
      <w:pPr>
        <w:spacing w:after="200" w:line="300"/>
      </w:pPr>
      <w:r>
        <w:rPr>
          <w:rFonts w:ascii="Calibri" w:cs="Calibri" w:eastAsia="Calibri" w:hAnsi="Calibri"/>
          <w:sz w:val="23"/>
          <w:szCs w:val="23"/>
        </w:rPr>
        <w:t xml:space="preserve">Longer term, it'd be worth trying more advanced models like LSTMs or transformer-based approaches, which can pick up on more complex patterns than TF-IDF ever will. That said, there's not much point reaching for those before the current baseline is on solid ground — no sense adding complexity on top of a dataset that still has a leakage problem.</w:t>
      </w:r>
    </w:p>
    <w:p>
      <w:pPr>
        <w:pStyle w:val="Heading1"/>
        <w:pStyle w:val="Heading1Custom"/>
        <w:spacing w:after="160" w:before="320"/>
      </w:pPr>
      <w:r>
        <w:t xml:space="preserve">12. Conclusion</w:t>
      </w:r>
    </w:p>
    <w:p>
      <w:pPr>
        <w:spacing w:after="200" w:line="300"/>
      </w:pPr>
      <w:r>
        <w:rPr>
          <w:rFonts w:ascii="Calibri" w:cs="Calibri" w:eastAsia="Calibri" w:hAnsi="Calibri"/>
          <w:sz w:val="23"/>
          <w:szCs w:val="23"/>
        </w:rPr>
        <w:t xml:space="preserve">This project set out to classify 1,200 online reviews into positive, negative, and neutral sentiment using TF-IDF features and three classic machine learning models — Logistic Regression, Multinomial Naive Bayes, and Linear SVM. Positive reviews made up the largest slice of the dataset at 45%.</w:t>
      </w:r>
    </w:p>
    <w:p>
      <w:pPr>
        <w:spacing w:after="200" w:line="300"/>
      </w:pPr>
      <w:r>
        <w:rPr>
          <w:rFonts w:ascii="Calibri" w:cs="Calibri" w:eastAsia="Calibri" w:hAnsi="Calibri"/>
          <w:sz w:val="23"/>
          <w:szCs w:val="23"/>
        </w:rPr>
        <w:t xml:space="preserve">All three models hit 1.00 across every metric we measured, and the confusion matrix showed zero misclassifications. Sentiment stayed positive-leaning across the full time window, Online Store and Social Commerce looked nearly identical to each other, and individual products ranged from strongly positive (Bluetooth Speaker, Phone Case) to genuinely split (Moisturizer, Sunglasses).</w:t>
      </w:r>
    </w:p>
    <w:p>
      <w:pPr>
        <w:spacing w:after="200" w:line="300"/>
      </w:pPr>
      <w:r>
        <w:rPr>
          <w:rFonts w:ascii="Calibri" w:cs="Calibri" w:eastAsia="Calibri" w:hAnsi="Calibri"/>
          <w:sz w:val="23"/>
          <w:szCs w:val="23"/>
        </w:rPr>
        <w:t xml:space="preserve">But those perfect scores need an asterisk. The dataset's duplicate reviews and templated structure almost certainly inflated them, and we don't think they should be read as a verdict on how these models would handle real customer reviews. Fixing the duplicate issue and testing on more realistic data are the natural next steps.</w:t>
      </w:r>
    </w:p>
    <w:p>
      <w:pPr>
        <w:spacing w:after="200" w:line="300"/>
      </w:pPr>
      <w:r>
        <w:rPr>
          <w:rFonts w:ascii="Calibri" w:cs="Calibri" w:eastAsia="Calibri" w:hAnsi="Calibri"/>
          <w:sz w:val="23"/>
          <w:szCs w:val="23"/>
        </w:rPr>
        <w:t xml:space="preserve">Even with that caveat, the project shows what this kind of pipeline is actually good for: turning a pile of text nobody has time to read individually into something a business can act on — which products need attention, whether sentiment is drifting, and where to look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Custom">
    <w:name w:val="Heading1Custom"/>
    <w:basedOn w:val="Normal"/>
    <w:next w:val="Normal"/>
    <w:qFormat/>
    <w:pPr>
      <w:spacing w:after="160" w:before="320"/>
    </w:pPr>
    <w:rPr>
      <w:rFonts w:ascii="Cambria" w:cs="Cambria" w:eastAsia="Cambria" w:hAnsi="Cambria"/>
      <w:b/>
      <w:bCs/>
      <w:color w:val="1F3864"/>
      <w:sz w:val="28"/>
      <w:szCs w:val="28"/>
    </w:rPr>
  </w:style>
  <w:style w:type="paragraph" w:styleId="Heading2Custom">
    <w:name w:val="Heading2Custom"/>
    <w:basedOn w:val="Normal"/>
    <w:next w:val="Normal"/>
    <w:qFormat/>
    <w:pPr>
      <w:spacing w:after="120" w:before="220"/>
    </w:pPr>
    <w:rPr>
      <w:rFonts w:ascii="Cambria" w:cs="Cambria" w:eastAsia="Cambria" w:hAnsi="Cambria"/>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2026-09-29T12:43:30.719Z</dcterms:created>
  <dcterms:modified xsi:type="dcterms:W3CDTF">2026-09-29T12:43:30.719Z</dcterms:modified>
</cp:coreProperties>
</file>

<file path=docProps/custom.xml><?xml version="1.0" encoding="utf-8"?>
<Properties xmlns="http://schemas.openxmlformats.org/officeDocument/2006/custom-properties" xmlns:vt="http://schemas.openxmlformats.org/officeDocument/2006/docPropsVTypes"/>
</file>