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60"/>
        <w:jc w:val="center"/>
      </w:pPr>
      <w:r>
        <w:rPr>
          <w:rFonts w:ascii="DejaVu Serif" w:hAnsi="DejaVu Serif" w:eastAsia="DejaVu Serif"/>
          <w:b/>
          <w:color w:val="1F4D78"/>
          <w:sz w:val="22"/>
        </w:rPr>
        <w:t>ООО «ЦЕНТР СРЕДСТВ ЗАЩИТЫ»</w:t>
      </w:r>
    </w:p>
    <w:p>
      <w:pPr>
        <w:spacing w:after="80"/>
        <w:jc w:val="center"/>
      </w:pPr>
      <w:r>
        <w:rPr>
          <w:rFonts w:ascii="DejaVu Serif" w:hAnsi="DejaVu Serif" w:eastAsia="DejaVu Serif"/>
          <w:b/>
          <w:color w:val="9B1C1C"/>
          <w:sz w:val="20"/>
        </w:rPr>
        <w:t>ПРОЕКТ — НА УТВЕРЖДЕНИЕ</w:t>
      </w:r>
    </w:p>
    <w:p>
      <w:pPr>
        <w:spacing w:after="20"/>
        <w:ind w:left="4252"/>
        <w:jc w:val="right"/>
      </w:pPr>
      <w:r>
        <w:rPr>
          <w:rFonts w:ascii="DejaVu Serif" w:hAnsi="DejaVu Serif" w:eastAsia="DejaVu Serif"/>
          <w:b/>
          <w:sz w:val="19"/>
        </w:rPr>
        <w:t>УТВЕРЖДЕНО</w:t>
      </w:r>
    </w:p>
    <w:p>
      <w:pPr>
        <w:spacing w:after="20"/>
        <w:ind w:left="4252"/>
        <w:jc w:val="right"/>
      </w:pPr>
      <w:r>
        <w:rPr>
          <w:rFonts w:ascii="DejaVu Serif" w:hAnsi="DejaVu Serif" w:eastAsia="DejaVu Serif"/>
          <w:b w:val="0"/>
          <w:sz w:val="19"/>
        </w:rPr>
        <w:t>приказом генерального директора ООО «ЦЕНТР СРЕДСТВ ЗАЩИТЫ»</w:t>
      </w:r>
    </w:p>
    <w:p>
      <w:pPr>
        <w:spacing w:after="20"/>
        <w:ind w:left="4252"/>
        <w:jc w:val="right"/>
      </w:pPr>
      <w:r>
        <w:rPr>
          <w:rFonts w:ascii="DejaVu Serif" w:hAnsi="DejaVu Serif" w:eastAsia="DejaVu Serif"/>
          <w:b w:val="0"/>
          <w:sz w:val="19"/>
        </w:rPr>
        <w:t>от «___» __________ 2026 г. № ____</w:t>
      </w:r>
    </w:p>
    <w:p>
      <w:pPr>
        <w:spacing w:after="20"/>
        <w:ind w:left="4252"/>
        <w:jc w:val="right"/>
      </w:pPr>
      <w:r>
        <w:rPr>
          <w:rFonts w:ascii="DejaVu Serif" w:hAnsi="DejaVu Serif" w:eastAsia="DejaVu Serif"/>
          <w:b w:val="0"/>
          <w:sz w:val="19"/>
        </w:rPr>
        <w:t>Генеральный директор ____________ / О.П. Баранов /</w:t>
      </w:r>
    </w:p>
    <w:p>
      <w:pPr>
        <w:spacing w:before="240" w:after="100"/>
        <w:jc w:val="center"/>
      </w:pPr>
      <w:r>
        <w:rPr>
          <w:rFonts w:ascii="DejaVu Serif" w:hAnsi="DejaVu Serif" w:eastAsia="DejaVu Serif"/>
          <w:b/>
          <w:color w:val="1F4D78"/>
          <w:sz w:val="32"/>
        </w:rPr>
        <w:t>ПОРЯДОК ОФОРМЛЕНИЯ ВОЗНИКНОВЕНИЯ, ПРИОСТАНОВЛЕНИЯ И ПРЕКРАЩЕНИЯ ОБРАЗОВАТЕЛЬНЫХ ОТНОШЕНИЙ</w:t>
      </w:r>
    </w:p>
    <w:p>
      <w:pPr>
        <w:pStyle w:val="Heading1"/>
      </w:pPr>
      <w:r>
        <w:t>1. Возникновение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1.1. Отношения возникают на основании договора об образовании и приказа о зачислении. Если договор не требуется по закону, основанием является распорядительный акт.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1.2. Приказ издаётся после выполнения условий приёма и должен соответствовать договору.</w:t>
      </w:r>
    </w:p>
    <w:p>
      <w:pPr>
        <w:pStyle w:val="Heading1"/>
      </w:pPr>
      <w:r>
        <w:t>2. Изменение и приостановление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2.1. Изменение программы, срока, формы и иных существенных условий оформляется письменным/электронным соглашением и при необходимости приказом.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2.2. Приостановление возможно по заявлению и соглашению сторон, а также в иных случаях, предусмотренных законом. На период приостановления доступ и расчёты регулируются соглашением.</w:t>
      </w:r>
    </w:p>
    <w:p>
      <w:pPr>
        <w:pStyle w:val="Heading1"/>
      </w:pPr>
      <w:r>
        <w:t>3. Прекращение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3.1. Отношения прекращаются в связи с завершением обучения или досрочно по основаниям закона, договора и локальных актов.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3.2. Прекращение оформляется приказом. Обучающемуся выдаётся документ о квалификации либо справка об обучении, производятся окончательные расчёты и прекращается доступ к закрытым ресурсам.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907" w:bottom="1020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DejaVu Serif" w:hAnsi="DejaVu Serif" w:eastAsia="DejaVu Serif"/>
        <w:color w:val="9B1C1C"/>
        <w:sz w:val="16"/>
      </w:rPr>
      <w:t xml:space="preserve">ПРОЕКТ — НЕ ДЕЙСТВУЕТ ДО УТВЕРЖДЕНИЯ  |  Стр.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DejaVu Serif" w:hAnsi="DejaVu Serif" w:eastAsia="DejaVu Serif"/>
        <w:color w:val="5B6573"/>
        <w:sz w:val="16"/>
      </w:rPr>
      <w:t>ООО «ЦЕНТР СРЕДСТВ ЗАЩИТЫ»  |  ИНН 7728302867</w:t>
    </w:r>
    <w:r>
      <w:rPr>
        <w:rFonts w:ascii="DejaVu Serif" w:hAnsi="DejaVu Serif" w:eastAsia="DejaVu Serif"/>
        <w:color w:val="5B6573"/>
        <w:sz w:val="16"/>
      </w:rPr>
      <w:t xml:space="preserve">  |  ЛНА-08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64" w:lineRule="auto"/>
    </w:pPr>
    <w:rPr>
      <w:rFonts w:ascii="DejaVu Serif" w:hAnsi="DejaVu Seri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DejaVu Serif" w:hAnsi="DejaVu Serif"/>
      <w:b/>
      <w:bCs/>
      <w:color w:val="1F4D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DejaVu Serif" w:hAnsi="DejaVu Serif"/>
      <w:b/>
      <w:bCs/>
      <w:color w:val="1F4D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DejaVu Serif" w:hAnsi="DejaVu Serif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 Порядок образовательных отношений</dc:title>
  <dc:subject>Проект документа для лицензирования образовательной деятельности</dc:subject>
  <dc:creator>ООО «ЦЕНТР СРЕДСТВ ЗАЩИТЫ»</dc:creator>
  <cp:keywords>проект; ДПО; лицензия; образовательная деятельность</cp:keywords>
  <dc:description>Реквизиты организации сверены по выписке ЕГРЮЛ от 22.07.2026. Документ сохраняет статус проекта до заполнения, утверждения и подписания.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