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от «___» __________ 2026 г. № ____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Генеральный директор ____________ / О.П. Баранов /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ДОПОЛНИТЕЛЬНАЯ ПРОФЕССИОНАЛЬНАЯ ПРОГРАММА ПОВЫШЕНИЯ КВАЛИФИКАЦИИ</w:t>
      </w:r>
    </w:p>
    <w:p>
      <w:pPr>
        <w:spacing w:after="200"/>
        <w:jc w:val="center"/>
      </w:pPr>
      <w:r>
        <w:rPr>
          <w:rFonts w:ascii="DejaVu Serif" w:hAnsi="DejaVu Serif" w:eastAsia="DejaVu Serif"/>
          <w:i/>
          <w:color w:val="5B6573"/>
          <w:sz w:val="22"/>
        </w:rPr>
        <w:t>«Деятельность по монтажу, техническому обслуживанию и ремонту средств обеспечения пожарной безопасности зданий и сооружений» — 178 академических часов</w:t>
      </w:r>
    </w:p>
    <w:p>
      <w:pPr>
        <w:keepNext w:val="0"/>
        <w:spacing w:after="100"/>
        <w:jc w:val="center"/>
      </w:pPr>
      <w:r>
        <w:rPr>
          <w:rFonts w:ascii="DejaVu Serif" w:hAnsi="DejaVu Serif" w:eastAsia="DejaVu Serif"/>
          <w:b/>
          <w:i w:val="0"/>
        </w:rPr>
        <w:t>Форма обучения: исключительно с применением электронного обучения и дистанционных образовательных технологий</w:t>
      </w:r>
    </w:p>
    <w:p>
      <w:pPr>
        <w:keepNext w:val="0"/>
        <w:spacing w:after="240"/>
        <w:jc w:val="center"/>
      </w:pPr>
      <w:r>
        <w:rPr>
          <w:rFonts w:ascii="DejaVu Serif" w:hAnsi="DejaVu Serif" w:eastAsia="DejaVu Serif"/>
          <w:b w:val="0"/>
          <w:i w:val="0"/>
        </w:rPr>
        <w:t>Москва, 2026</w:t>
      </w:r>
    </w:p>
    <w:p>
      <w:pPr>
        <w:spacing w:before="100" w:after="140"/>
        <w:ind w:left="255" w:right="142"/>
        <w:shd w:fill="FFF8E7"/>
      </w:pPr>
      <w:r>
        <w:rPr>
          <w:rFonts w:ascii="DejaVu Serif" w:hAnsi="DejaVu Serif" w:eastAsia="DejaVu Serif"/>
          <w:b/>
          <w:color w:val="9B1C1C"/>
        </w:rPr>
        <w:t xml:space="preserve">Статус: </w:t>
      </w:r>
      <w:r>
        <w:rPr>
          <w:rFonts w:ascii="DejaVu Serif" w:hAnsi="DejaVu Serif" w:eastAsia="DejaVu Serif"/>
        </w:rPr>
        <w:t>Проект программы. Перед утверждением требуется предметная экспертиза специалистом по системам пожарной безопасности, заполнение сведений об ЭИОС и педагогах, утверждение оценочных материалов.</w:t>
      </w:r>
    </w:p>
    <w:p>
      <w:pPr>
        <w:pStyle w:val="Heading1"/>
      </w:pPr>
      <w:r>
        <w:t>1. Общая характеристика программы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Программа является дополнительной профессиональной программой повышения квалификации и разработана с учётом требований Федеральных законов № 273-ФЗ, № 69-ФЗ, № 123-ФЗ, приказа Минобрнауки России от 24.03.2025 № 266, постановления Правительства РФ № 1678 и типовых дополнительных профессиональных программ МЧС России, утверждённых приказом МЧС России от 15.11.2022 № 1156.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Цель: качественное изменение профессиональных компетенций, необходимых для организации и выполнения монтажа, технического обслуживания и ремонта средств обеспечения пожарной безопасности зданий и сооружений.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1.3. Категория слушателей: руководители и специалисты организаций, выполняющих или планирующих выполнять соответствующие работы. К освоению допускаются лица, имеющие среднее профессиональное и (или) высшее образование, а также лица, получающие такое образование.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1.4. Объём — 178 академических часов. Академический час — 45 минут. Конкретный срок освоения устанавливается календарным графиком и приказом о зачислении.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1.5. Форма — исключительно электронное обучение и дистанционные образовательные технологии; очные занятия, требующие непосредственного присутствия в аудитории, не предусмотрены.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1.6. Итоговый документ — удостоверение о повышении квалификации установленного Организацией образца при успешном освоении и итоговой аттестации.</w:t>
      </w:r>
    </w:p>
    <w:p>
      <w:pPr>
        <w:pStyle w:val="Heading1"/>
      </w:pPr>
      <w:r>
        <w:t>2. Планируемые результаты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В результате освоения программы слушатель совершенствует компетенцию по планированию, организации, выполнению и контролю работ с системами противопожарной защиты с соблюдением проектных, технических, охранных и экологических требований.</w:t>
      </w:r>
    </w:p>
    <w:p>
      <w:pPr>
        <w:keepNext w:val="0"/>
        <w:spacing w:after="100"/>
      </w:pPr>
      <w:r>
        <w:rPr>
          <w:rFonts w:ascii="DejaVu Serif" w:hAnsi="DejaVu Serif" w:eastAsia="DejaVu Serif"/>
          <w:b/>
          <w:i w:val="0"/>
        </w:rPr>
        <w:t>Слушатель должен знать: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нормативные и организационные основы пожарной безопасности и лицензируемой деятельности;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назначение, устройство и принципы взаимодействия основных средств противопожарной защиты;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требования к монтажу, пусконаладке, техническому обслуживанию, ремонту, испытаниям и документации;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требования охраны труда, техники безопасности и охраны окружающей среды.</w:t>
      </w:r>
    </w:p>
    <w:p>
      <w:pPr>
        <w:keepNext w:val="0"/>
        <w:spacing w:after="100"/>
      </w:pPr>
      <w:r>
        <w:rPr>
          <w:rFonts w:ascii="DejaVu Serif" w:hAnsi="DejaVu Serif" w:eastAsia="DejaVu Serif"/>
          <w:b/>
          <w:i w:val="0"/>
        </w:rPr>
        <w:t>Слушатель должен уметь: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анализировать проектные и эксплуатационные документы;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планировать последовательность работ и контроль качества;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выявлять типовые неисправности, определять способы диагностики и восстановления;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оформлять результаты монтажа, испытаний и обслуживания.</w:t>
      </w:r>
    </w:p>
    <w:p>
      <w:pPr>
        <w:keepNext w:val="0"/>
        <w:spacing w:after="100"/>
      </w:pPr>
      <w:r>
        <w:rPr>
          <w:rFonts w:ascii="DejaVu Serif" w:hAnsi="DejaVu Serif" w:eastAsia="DejaVu Serif"/>
          <w:b/>
          <w:i w:val="0"/>
        </w:rPr>
        <w:t>Слушатель должен владеть: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навыками выбора нормативных требований для конкретной системы и объекта;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методами контроля параметров и документирования результатов;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приёмами безопасной организации работ и взаимодействия специалистов.</w:t>
      </w:r>
    </w:p>
    <w:p>
      <w:pPr>
        <w:pStyle w:val="Heading1"/>
      </w:pPr>
      <w:r>
        <w:t>3. Учебный план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6"/>
        <w:gridCol w:w="4988"/>
        <w:gridCol w:w="850"/>
        <w:gridCol w:w="850"/>
        <w:gridCol w:w="850"/>
        <w:gridCol w:w="850"/>
        <w:gridCol w:w="850"/>
      </w:tblGrid>
      <w:tr>
        <w:trPr>
          <w:tblHeader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4"/>
              </w:rPr>
              <w:t>№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4"/>
              </w:rPr>
              <w:t>Наименование раздела/модуля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4"/>
              </w:rPr>
              <w:t>Теория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4"/>
              </w:rPr>
              <w:t>Практич.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4"/>
              </w:rPr>
              <w:t>Самост.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4"/>
              </w:rPr>
              <w:t>Аттест.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4"/>
              </w:rPr>
              <w:t>Всего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1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Общие вопросы организации обучения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2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3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2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Организационные основы обеспечения пожарной безопасности в Российской Федерации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2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2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3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Пожары. Классификация пожаров. Опасные факторы пожаров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2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2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Требования по охране окружающей среды, охране труда и технике безопасности при выполнении работ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2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5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Промежуточная аттестация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6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Монтаж, техническое обслуживание и ремонт систем пожаротушения и их элементов, включая диспетчеризацию и проведение пусконаладочных работ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7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9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10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11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12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Монтаж, техническое обслуживание и ремонт противопожарных занавесов и завес, включая диспетчеризацию и проведение пусконаладочных работ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13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Монтаж, техническое обслуживание и ремонт заполнений проёмов в противопожарных преградах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14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Выполнение работ по огнезащите материалов, изделий и конструкций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15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Монтаж, техническое обслуживание и ремонт первичных средств пожаротушения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  <w:t>16</w:t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Итоговая аттестация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2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2</w:t>
            </w:r>
          </w:p>
        </w:tc>
      </w:tr>
      <w:tr>
        <w:trPr>
          <w:cantSplit w:val="true"/>
        </w:trPr>
        <w:tc>
          <w:tcPr>
            <w:tcW w:type="dxa" w:w="3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4"/>
              </w:rPr>
            </w:r>
          </w:p>
        </w:tc>
        <w:tc>
          <w:tcPr>
            <w:tcW w:type="dxa" w:w="49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ИТОГО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47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41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87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3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4"/>
              </w:rPr>
              <w:t>178</w:t>
            </w:r>
          </w:p>
        </w:tc>
      </w:tr>
    </w:tbl>
    <w:p>
      <w:pPr>
        <w:spacing w:after="20"/>
      </w:pP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Примечание: распределение теории, практических заданий и самостоятельной работы является проектным и может уточняться при предметной экспертизе без изменения общего объёма 178 часов.</w:t>
      </w:r>
    </w:p>
    <w:p>
      <w:pPr>
        <w:pStyle w:val="Heading1"/>
      </w:pPr>
      <w:r>
        <w:t>4. Календарный учебный график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Набор проводится по мере комплектования группы/индивидуально. Дата начала, продолжительность и последовательность модулей определяются приказом о зачислении и графиком в ЭИОС. Обучающийся получает доступ ко всем предусмотренным материалам и выполняет задания в установленные сроки. Итоговая аттестация проводится после освоения всех модулей и получения зачёта по промежуточной аттестации.</w:t>
      </w:r>
    </w:p>
    <w:p>
      <w:pPr>
        <w:pStyle w:val="Heading1"/>
      </w:pPr>
      <w:r>
        <w:t>5. Содержание модулей</w:t>
      </w:r>
    </w:p>
    <w:p>
      <w:pPr>
        <w:pStyle w:val="Heading2"/>
      </w:pPr>
      <w:r>
        <w:t>Модуль 1. Общие вопросы организации обучения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порядок работы в ЭИОС и правила доступа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режим обучения, коммуникации и техническая поддержка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порядок контроля, аттестации и выдачи документов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2. Организационные основы обеспечения пожарной безопасности в Российской Федерации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система нормативного регулирования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полномочия органов и ответственность участников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лицензирование и организация работ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3. Пожары. Классификация пожаров. Опасные факторы пожаров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классы пожаров и пожароопасные свойства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опасные факторы и динамика развития пожара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общие принципы противопожарной защиты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4. Требования по охране окружающей среды, охране труда и технике безопасности при выполнении работ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безопасная организация монтажных и пусконаладочных работ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оценка рисков, средства защиты и допуск к работам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экологические требования и обращение с отходами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6. Монтаж, техническое обслуживание и ремонт систем пожаротушения и их элементов, включая диспетчеризацию и проведение пусконаладочных работ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виды установок пожаротушения и проектные решения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монтаж, испытания, наладка и ввод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регламентное обслуживание, диагностика и ремонт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7. 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архитектура пожарной и охранно-пожарной сигнализации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шлейфы, извещатели, приборы управления и интерфейсы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пусконаладка, журналирование, поиск неисправностей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8. 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внутренний и наружный противопожарный водопровод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насосные установки, узлы управления и гидравлические испытания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техническое обслуживание и документирование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9. 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принципы противодымной защиты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вентиляторы, клапаны, автоматика и взаимодействие систем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наладка, измерения и диагностика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10. 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типы СОУЭ, зоны оповещения и сценарии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кабельные линии, приборы, громкоговорители и световые элементы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фотолюминесцентные эвакуационные системы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11. 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каналы и протоколы передачи извещений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сопряжение с пультами и диспетчеризация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контроль связи, испытания и обслуживание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12. Монтаж, техническое обслуживание и ремонт противопожарных занавесов и завес, включая диспетчеризацию и проведение пусконаладочных работ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типы противопожарных занавесов и завес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монтаж приводов, направляющих и автоматики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проверка сценариев, пределы и обслуживание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13. Монтаж, техническое обслуживание и ремонт заполнений проёмов в противопожарных преградах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двери, ворота, люки, окна и проходки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требования к монтажу, уплотнениям и фурнитуре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контроль качества, обслуживание и ремонт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14. Выполнение работ по огнезащите материалов, изделий и конструкций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огнезащитные составы и конструктивные способы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подготовка поверхности, нанесение и контроль толщины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документирование, сроки службы и восстановление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2"/>
      </w:pPr>
      <w:r>
        <w:t>Модуль 15. Монтаж, техническое обслуживание и ремонт первичных средств пожаротушения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классификация огнетушителей и иных первичных средств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монтаж, размещение, перезарядка и ремонт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контроль состояния и ведение эксплуатационной документации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Практическая/самостоятельная работа: анализ технической ситуации, документации или чек-листа контроля по теме модуля; выполнение электронного задания в ЭИОС.</w:t>
      </w:r>
    </w:p>
    <w:p>
      <w:pPr>
        <w:pStyle w:val="Heading1"/>
      </w:pPr>
      <w:r>
        <w:t>6. Организационно-педагогические условия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6.1. ЭИОС: [ЗАПОЛНИТЬ: название и адрес LMS], средства видеоконференцсвязи [ЗАПОЛНИТЬ], электронная библиотека/нормативная база [ЗАПОЛНИТЬ], электронная почта и служба поддержки [ЗАПОЛНИТЬ].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6.2. Для обучения необходимы: компьютер/мобильное устройство с современным браузером, стабильный доступ в Интернет, средство воспроизведения аудио/видео и при необходимости камера/микрофон.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6.3. Преподаватели должны иметь образование и квалификацию, соответствующие профилю программы, подтверждённый опыт в области пожарной безопасности/проектирования/монтажа и соблюдать ограничения на педагогическую деятельность.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6.4. Методическое обеспечение включает электронные конспекты, презентации, нормативные документы, видеоматериалы, инструкции, практические задания, тесты и консультации.</w:t>
      </w:r>
    </w:p>
    <w:p>
      <w:pPr>
        <w:pStyle w:val="Heading1"/>
      </w:pPr>
      <w:r>
        <w:t>7. Текущий контроль и промежуточная аттестация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Текущий контроль проводится тестами и практическими заданиями. Промежуточная аттестация после вводного блока (темы 1–4) — электронный тест; результат «зачтено» при не менее 80% правильных ответов. Результаты фиксируются в ЭИОС.</w:t>
      </w:r>
    </w:p>
    <w:p>
      <w:pPr>
        <w:pStyle w:val="Heading1"/>
      </w:pPr>
      <w:r>
        <w:t>8. Итоговая аттестация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8.1. Итоговая аттестация — электронный итоговый тест по всем модулям. Рекомендуемый объём — 30 вопросов, время — 60 минут, критерий «зачтено» — не менее 80% правильных ответов.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8.2. Идентификация: персональная учётная запись и [ЗАПОЛНИТЬ: дополнительный способ]. При техническом сбое результат сохраняется, а обучающемуся назначается продолжение/повтор без ухудшения положения.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8.3. При результате «не зачтено» предоставляется повторная попытка в срок до [ЗАПОЛНИТЬ] рабочих дней. Апелляция рассматривается по локальному акту.</w:t>
      </w:r>
    </w:p>
    <w:p>
      <w:pPr>
        <w:pStyle w:val="Heading1"/>
      </w:pPr>
      <w:r>
        <w:t>9. Примерный фонд оценочных средств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документы определяют обязательные требования пожарной безопасности при выборе и монтаже системы?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 классифицируются пожары и как класс пожара влияет на выбор средств тушения?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опасные факторы пожара учитываются при проектировании противопожарной защиты?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действия выполняются до начала монтажных работ с точки зрения охраны труда?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этапы включает пусконаладка автоматической установки пожаротушения?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Какими способами контролируется работоспособность пожарных извещателей и линий связи?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параметры проверяются при испытании противопожарного водоснабжения?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 проверяется взаимодействие противодымной вентиляции с пожарной автоматикой?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элементы и сценарии входят в систему оповещения и управления эвакуацией?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признаки свидетельствуют о неисправности канала передачи извещения о пожаре?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Что проверяют при обслуживании противопожарного занавеса?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требования предъявляются к заполнениям проёмов в противопожарных преградах?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 контролируется качество огнезащитного покрытия?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сведения фиксируют при техническом обслуживании огнетушителя?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Какие документы оформляются по результатам выполненных работ и испытаний?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/>
        </w:rPr>
        <w:t>Полный банк вопросов, варианты ответов, ключи и правила случайной выборки утверждаются приложением к программе и хранятся в ЭИОС. Ключи ответов в открытой версии программы не публикуются.</w:t>
      </w:r>
    </w:p>
    <w:p>
      <w:pPr>
        <w:pStyle w:val="Heading1"/>
      </w:pPr>
      <w:r>
        <w:t>10. Нормативные и учебные источники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Федеральный закон от 21.12.1994 № 69-ФЗ «О пожарной безопасности»;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Федеральный закон от 22.07.2008 № 123-ФЗ «Технический регламент о требованиях пожарной безопасности»;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постановление Правительства РФ от 16.09.2020 № 1479 «Об утверждении Правил противопожарного режима»;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приказ МЧС России от 15.11.2022 № 1156 о типовых дополнительных профессиональных программах;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действующие своды правил, ГОСТ и руководства по проектированию, монтажу, испытаниям и обслуживанию соответствующих систем — перечень уточняется предметным экспертом на дату утверждения;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эксплуатационная документация изготовителей оборудования и программных средств.</w:t>
      </w:r>
    </w:p>
    <w:p>
      <w:pPr>
        <w:pStyle w:val="Heading1"/>
      </w:pPr>
      <w:r>
        <w:t>11. Лист согласования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Разработал(а): [Ф.И.О., должность, квалификация] __________________ / __________ /  дата ______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Предметную экспертизу провёл(а): [Ф.И.О., должность, образование, стаж] __________________ / __________ /  дата ______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Согласовано, руководитель Учебного центра: __________________ / __________ /  дата 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ДПП-ПК-01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4" w:lineRule="auto"/>
    </w:pPr>
    <w:rPr>
      <w:rFonts w:ascii="DejaVu Serif" w:hAnsi="DejaVu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 Программа повышения квалификации 178 часов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