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Times New Roman"/>
          <w:b/>
          <w:color w:val="253447"/>
          <w:sz w:val="24"/>
        </w:rPr>
        <w:t>Общество с ограниченной ответственностью «Центр средств защиты»</w:t>
      </w:r>
    </w:p>
    <w:p>
      <w:pPr>
        <w:spacing w:after="240"/>
        <w:jc w:val="center"/>
      </w:pPr>
      <w:r>
        <w:rPr>
          <w:rFonts w:ascii="Times New Roman" w:hAnsi="Times New Roman" w:eastAsia="Times New Roman"/>
          <w:sz w:val="21"/>
        </w:rPr>
        <w:t>Специализированное структурное образовательное подразделение «Учебный центр»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706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pBdr>
                <w:bottom w:val="single" w:sz="10" w:space="4" w:color="D9E3EA"/>
              </w:pBdr>
              <w:keepNext/>
            </w:pPr>
            <w:r/>
            <w:r>
              <w:rPr>
                <w:rFonts w:ascii="Times New Roman" w:hAnsi="Times New Roman" w:eastAsia="Times New Roman"/>
                <w:b/>
                <w:color w:val="253447"/>
                <w:sz w:val="20"/>
              </w:rPr>
              <w:t xml:space="preserve">ПРОЕКТ ДЛЯ УТВЕРЖДЕНИЯ</w:t>
            </w:r>
          </w:p>
          <w:p>
            <w:pPr>
              <w:spacing w:before="80" w:after="0"/>
              <w:keepNext/>
            </w:pPr>
            <w:r>
              <w:rPr>
                <w:rFonts w:ascii="Times New Roman" w:hAnsi="Times New Roman" w:eastAsia="Times New Roman"/>
                <w:sz w:val="19"/>
              </w:rPr>
              <w:t xml:space="preserve">Реализация начинается после предоставления образовательной лицензии</w:t>
            </w:r>
          </w:p>
        </w:tc>
        <w:tc>
          <w:tcPr>
            <w:tcW w:type="dxa" w:w="4706"/>
            <w:tcMar>
              <w:top w:w="60" w:type="dxa"/>
              <w:start w:w="180" w:type="dxa"/>
              <w:bottom w:w="60" w:type="dxa"/>
              <w:end w:w="80" w:type="dxa"/>
            </w:tcMar>
          </w:tcPr>
          <w:p>
            <w:pPr>
              <w:spacing w:after="40"/>
              <w:keepNext/>
            </w:pPr>
            <w:r/>
            <w:r>
              <w:rPr>
                <w:rFonts w:ascii="Times New Roman" w:hAnsi="Times New Roman" w:eastAsia="Times New Roman"/>
                <w:b/>
                <w:sz w:val="21"/>
              </w:rPr>
              <w:t>УТВЕРЖДАЮ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Генеральный директор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ООО «Центр средств защиты»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______________ / О. П. Баранов /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«___» __________ 2026 г.</w:t>
            </w:r>
          </w:p>
          <w:p>
            <w:pPr>
              <w:spacing w:after="40"/>
              <w:keepNext/>
            </w:pPr>
            <w:r>
              <w:rPr>
                <w:rFonts w:ascii="Times New Roman" w:hAnsi="Times New Roman" w:eastAsia="Times New Roman"/>
                <w:b w:val="0"/>
                <w:sz w:val="21"/>
              </w:rPr>
              <w:t>Приказ от «___» __________ 2026 г. № ____</w:t>
            </w:r>
          </w:p>
        </w:tc>
      </w:tr>
    </w:tbl>
    <w:p>
      <w:pPr>
        <w:spacing w:after="300"/>
      </w:pPr>
    </w:p>
    <w:p>
      <w:pPr>
        <w:spacing w:after="140"/>
        <w:jc w:val="center"/>
      </w:pPr>
      <w:r>
        <w:rPr>
          <w:rFonts w:ascii="Times New Roman" w:hAnsi="Times New Roman" w:eastAsia="Times New Roman"/>
          <w:b/>
          <w:color w:val="253447"/>
          <w:sz w:val="26"/>
        </w:rPr>
        <w:t>ДОПОЛНИТЕЛЬНАЯ ПРОФЕССИОНАЛЬНАЯ ПРОГРАММА</w:t>
      </w:r>
    </w:p>
    <w:p>
      <w:pPr>
        <w:spacing w:after="80"/>
        <w:jc w:val="center"/>
      </w:pPr>
      <w:r>
        <w:rPr>
          <w:rFonts w:ascii="Times New Roman" w:hAnsi="Times New Roman" w:eastAsia="Times New Roman"/>
          <w:b/>
          <w:color w:val="253447"/>
          <w:sz w:val="26"/>
        </w:rPr>
        <w:t>ПОВЫШЕНИЯ КВАЛИФИКАЦИИ</w:t>
      </w:r>
    </w:p>
    <w:p>
      <w:pPr>
        <w:pStyle w:val="Title"/>
        <w:spacing w:before="200" w:after="360"/>
        <w:jc w:val="center"/>
      </w:pPr>
      <w:r>
        <w:rPr>
          <w:rFonts w:ascii="Times New Roman" w:hAnsi="Times New Roman" w:eastAsia="Times New Roman"/>
          <w:b/>
          <w:color w:val="253447"/>
          <w:sz w:val="38"/>
        </w:rPr>
        <w:t>«Деятельность по монтажу, техническому обслуживанию и ремонту средств обеспечения пожарной безопасности зданий и сооружений»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E3EA"/>
          <w:left w:val="single" w:sz="4" w:color="D9E3EA"/>
          <w:bottom w:val="single" w:sz="4" w:color="D9E3EA"/>
          <w:right w:val="single" w:sz="4" w:color="D9E3EA"/>
          <w:insideH w:val="single" w:sz="4" w:color="D9E3EA"/>
          <w:insideV w:val="single" w:sz="4" w:color="D9E3EA"/>
        </w:tblBorders>
      </w:tblPr>
      <w:tblGrid>
        <w:gridCol w:w="4705"/>
        <w:gridCol w:w="4705"/>
      </w:tblGrid>
      <w:tr>
        <w:trPr>
          <w:cantSplit/>
          <w:tblHeader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Объем программы</w:t>
            </w:r>
          </w:p>
        </w:tc>
        <w:tc>
          <w:tcPr>
            <w:tcW w:type="dxa" w:w="56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178 академических часов</w:t>
            </w:r>
          </w:p>
        </w:tc>
      </w:tr>
      <w:tr>
        <w:trPr>
          <w:cantSplit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Форма обучения</w:t>
            </w:r>
          </w:p>
        </w:tc>
        <w:tc>
          <w:tcPr>
            <w:tcW w:type="dxa" w:w="566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заочная</w:t>
            </w:r>
          </w:p>
        </w:tc>
      </w:tr>
      <w:tr>
        <w:trPr>
          <w:cantSplit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Технология реализации</w:t>
            </w:r>
          </w:p>
        </w:tc>
        <w:tc>
          <w:tcPr>
            <w:tcW w:type="dxa" w:w="566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исключительно электронное обучение и дистанционные образовательные технологии</w:t>
            </w:r>
          </w:p>
        </w:tc>
      </w:tr>
      <w:tr>
        <w:trPr>
          <w:cantSplit/>
        </w:trPr>
        <w:tc>
          <w:tcPr>
            <w:tcW w:type="dxa" w:w="28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20"/>
              </w:rPr>
              <w:t>Вид программы</w:t>
            </w:r>
          </w:p>
        </w:tc>
        <w:tc>
          <w:tcPr>
            <w:tcW w:type="dxa" w:w="566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20"/>
              </w:rPr>
              <w:t>повышение квалификации</w:t>
            </w:r>
          </w:p>
        </w:tc>
      </w:tr>
    </w:tbl>
    <w:p>
      <w:pPr>
        <w:spacing w:before="240" w:after="0"/>
        <w:jc w:val="center"/>
      </w:pPr>
      <w:r>
        <w:rPr>
          <w:rFonts w:ascii="Times New Roman" w:hAnsi="Times New Roman" w:eastAsia="Times New Roman"/>
          <w:color w:val="5E6A78"/>
          <w:sz w:val="19"/>
        </w:rPr>
        <w:t>Разработана на основе Типовой дополнительной профессиональной программы, утвержденной приказом МЧС России от 15.11.2022 № 1156</w:t>
      </w:r>
    </w:p>
    <w:p>
      <w:pPr>
        <w:spacing w:before="600"/>
        <w:jc w:val="center"/>
      </w:pPr>
      <w:r>
        <w:rPr>
          <w:rFonts w:ascii="Times New Roman" w:hAnsi="Times New Roman" w:eastAsia="Times New Roman"/>
          <w:b/>
          <w:color w:val="253447"/>
          <w:sz w:val="22"/>
        </w:rPr>
        <w:t>Москва · 2026</w:t>
      </w:r>
    </w:p>
    <w:p>
      <w:r>
        <w:br w:type="page"/>
      </w:r>
    </w:p>
    <w:p>
      <w:pPr>
        <w:pStyle w:val="Heading1"/>
        <w:spacing w:after="160"/>
        <w:keepNext/>
        <w:keepLines/>
      </w:pPr>
      <w:r>
        <w:t>Содержание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01  </w:t>
      </w:r>
      <w:r>
        <w:rPr>
          <w:rFonts w:ascii="Times New Roman" w:hAnsi="Times New Roman" w:eastAsia="Times New Roman"/>
          <w:sz w:val="22"/>
        </w:rPr>
        <w:t>Паспорт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02  </w:t>
      </w:r>
      <w:r>
        <w:rPr>
          <w:rFonts w:ascii="Times New Roman" w:hAnsi="Times New Roman" w:eastAsia="Times New Roman"/>
          <w:sz w:val="22"/>
        </w:rPr>
        <w:t>I. Общие положения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03  </w:t>
      </w:r>
      <w:r>
        <w:rPr>
          <w:rFonts w:ascii="Times New Roman" w:hAnsi="Times New Roman" w:eastAsia="Times New Roman"/>
          <w:sz w:val="22"/>
        </w:rPr>
        <w:t>II. Цели и задачи обучения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04  </w:t>
      </w:r>
      <w:r>
        <w:rPr>
          <w:rFonts w:ascii="Times New Roman" w:hAnsi="Times New Roman" w:eastAsia="Times New Roman"/>
          <w:sz w:val="22"/>
        </w:rPr>
        <w:t>III. Учебный план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05  </w:t>
      </w:r>
      <w:r>
        <w:rPr>
          <w:rFonts w:ascii="Times New Roman" w:hAnsi="Times New Roman" w:eastAsia="Times New Roman"/>
          <w:sz w:val="22"/>
        </w:rPr>
        <w:t>IV. Календарный учебный график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06  </w:t>
      </w:r>
      <w:r>
        <w:rPr>
          <w:rFonts w:ascii="Times New Roman" w:hAnsi="Times New Roman" w:eastAsia="Times New Roman"/>
          <w:sz w:val="22"/>
        </w:rPr>
        <w:t>V. Содержание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07  </w:t>
      </w:r>
      <w:r>
        <w:rPr>
          <w:rFonts w:ascii="Times New Roman" w:hAnsi="Times New Roman" w:eastAsia="Times New Roman"/>
          <w:sz w:val="22"/>
        </w:rPr>
        <w:t>VI. Содержание модулей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08  </w:t>
      </w:r>
      <w:r>
        <w:rPr>
          <w:rFonts w:ascii="Times New Roman" w:hAnsi="Times New Roman" w:eastAsia="Times New Roman"/>
          <w:sz w:val="22"/>
        </w:rPr>
        <w:t>VII. Планируемые результаты освоения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09  </w:t>
      </w:r>
      <w:r>
        <w:rPr>
          <w:rFonts w:ascii="Times New Roman" w:hAnsi="Times New Roman" w:eastAsia="Times New Roman"/>
          <w:sz w:val="22"/>
        </w:rPr>
        <w:t>VIII. Организационно-педагогические условия реализации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10  </w:t>
      </w:r>
      <w:r>
        <w:rPr>
          <w:rFonts w:ascii="Times New Roman" w:hAnsi="Times New Roman" w:eastAsia="Times New Roman"/>
          <w:sz w:val="22"/>
        </w:rPr>
        <w:t>IX. Оценка качества освоения программы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11  </w:t>
      </w:r>
      <w:r>
        <w:rPr>
          <w:rFonts w:ascii="Times New Roman" w:hAnsi="Times New Roman" w:eastAsia="Times New Roman"/>
          <w:sz w:val="22"/>
        </w:rPr>
        <w:t>Приложение 1. Матрица практических занятий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12  </w:t>
      </w:r>
      <w:r>
        <w:rPr>
          <w:rFonts w:ascii="Times New Roman" w:hAnsi="Times New Roman" w:eastAsia="Times New Roman"/>
          <w:sz w:val="22"/>
        </w:rPr>
        <w:t>Приложение 2. Паспорт оценивания</w:t>
      </w:r>
    </w:p>
    <w:p>
      <w:pPr>
        <w:spacing w:after="80"/>
        <w:ind w:left="227" w:hanging="227"/>
      </w:pPr>
      <w:r>
        <w:rPr>
          <w:rFonts w:ascii="Times New Roman" w:hAnsi="Times New Roman" w:eastAsia="Times New Roman"/>
          <w:b/>
          <w:color w:val="5E6A78"/>
          <w:sz w:val="20"/>
        </w:rPr>
        <w:t xml:space="preserve">13  Приложение 3. Соответствие тематического комплекта учебному плану</w:t>
      </w:r>
      <w:r>
        <w:rPr>
          <w:rFonts w:ascii="Times New Roman" w:hAnsi="Times New Roman" w:eastAsia="Times New Roman"/>
          <w:sz w:val="22"/>
        </w:rPr>
        <w:t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F3E9D2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>Утверждение документа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 xml:space="preserve">Программа подлежит утверждению уполномоченным лицом ООО «Центр средств защиты». Номер и дата приказа заполняются при его принятии. Реализация начинается после предоставления образовательной лицензии и обеспечения условий реализации.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keepLines/>
      </w:pPr>
      <w:r>
        <w:t>Паспорт программы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AAB3BD"/>
          <w:left w:val="single" w:sz="5" w:color="AAB3BD"/>
          <w:bottom w:val="single" w:sz="5" w:color="AAB3BD"/>
          <w:right w:val="single" w:sz="5" w:color="AAB3BD"/>
          <w:insideH w:val="single" w:sz="5" w:color="AAB3BD"/>
          <w:insideV w:val="single" w:sz="5" w:color="AAB3BD"/>
        </w:tblBorders>
      </w:tblPr>
      <w:tblGrid>
        <w:gridCol w:w="4705"/>
        <w:gridCol w:w="4705"/>
      </w:tblGrid>
      <w:tr>
        <w:trPr>
          <w:cantSplit/>
          <w:tblHeader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Организация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Общество с ограниченной ответственностью «Центр средств защиты»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Структурное подразделение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Специализированное структурное образовательное подразделение «Учебный центр»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Вид образования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Дополнительное образование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Подвид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Дополнительное профессиональное образование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Вид программы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Дополнительная профессиональная программа повышения квалификации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Наименование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Деятельность по монтажу, техническому обслуживанию и ремонту средств обеспечения пожарной безопасности зданий и сооружений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Объем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178 академических часов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Форма обучения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Заочная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Образовательные технологии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Исключительно электронное обучение и дистанционные образовательные технологии (ЭО и ДОТ)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Сетевая форма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Настоящей редакцией не предусмотрена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Категория слушателей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Работники соискателей лицензии или лицензиатов — специалисты, осуществляющие деятельность по монтажу, техническому обслуживанию и ремонту средств обеспечения пожарной безопасности зданий и сооружений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Требования к поступающим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Наличие или получение среднего профессионального и (или) высшего образования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Язык обучения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Русский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Срок освоения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5 учебных недель по типовому календарному графику; конкретные даты устанавливаются расписанием группы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Итоговая аттестация</w:t>
            </w:r>
          </w:p>
        </w:tc>
        <w:tc>
          <w:tcPr>
            <w:tcW w:type="dxa" w:w="635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Комплексный экзамен: проверка теоретической и практической подготовленности, 2 академических часа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Документ о квалификации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>Удостоверение о повышении квалификации установленного организацией образца</w:t>
            </w:r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Официальный сайт</w:t>
            </w:r>
          </w:p>
        </w:tc>
        <w:tc>
          <w:tcPr>
            <w:tcW w:type="dxa" w:w="6350"/>
            <w:shd w:fill="FFFFFF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/>
            <w:hyperlink r:id="rId11">
              <w:r>
                <w:rPr>
                  <w:rFonts w:ascii="Times New Roman" w:hAnsi="Times New Roman" w:eastAsia="Times New Roman"/>
                  <w:color w:val="1F4E79"/>
                  <w:u w:val="single"/>
                </w:rPr>
                <w:t>центр-средств-защиты.рф</w:t>
              </w:r>
            </w:hyperlink>
          </w:p>
        </w:tc>
      </w:tr>
      <w:tr>
        <w:trPr>
          <w:cantSplit/>
        </w:trPr>
        <w:tc>
          <w:tcPr>
            <w:tcW w:type="dxa" w:w="2891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  <w:keepLines/>
            </w:pPr>
            <w:r/>
            <w:r>
              <w:rPr>
                <w:rFonts w:ascii="Times New Roman" w:hAnsi="Times New Roman" w:eastAsia="Times New Roman"/>
                <w:b/>
                <w:sz w:val="19"/>
              </w:rPr>
              <w:t>Статус</w:t>
            </w:r>
          </w:p>
        </w:tc>
        <w:tc>
          <w:tcPr>
            <w:tcW w:type="dxa" w:w="635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9"/>
              </w:rPr>
              <w:t xml:space="preserve">ПРОЕКТ ДЛЯ УТВЕРЖДЕНИЯ</w:t>
            </w:r>
          </w:p>
        </w:tc>
      </w:tr>
    </w:tbl>
    <w:p>
      <w:pPr>
        <w:pStyle w:val="Heading1"/>
        <w:keepNext/>
        <w:keepLines/>
      </w:pPr>
      <w:r>
        <w:t>I. Общие положения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1. Настоящая дополнительная профессиональная программа повышения квалификации «Деятельность по монтажу, техническому обслуживанию и ремонту средств обеспечения пожарной безопасности зданий и сооружений» (далее — Программа) разработана на основе Типовой дополнительной профессиональной программы, утвержденной приказом МЧС России от 15 ноября 2022 г. № 1156.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2. Нормативную основу Программы составляют: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Федеральный закон от 29.12.2012 № 273-ФЗ «Об образовании в Российской Федерации»;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приказ МЧС России от 15.11.2022 № 1156 «Об утверждении типовых дополнительных профессиональных программ в области пожарной безопасности» (в редакции приказа МЧС России от 24.06.2026 № 468);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приказ Министерства науки и высшего образования Российской Федерации от 24.03.2025 № 266 «Об утверждении Порядка организации и осуществления образовательной деятельности по дополнительным профессиональным программам»;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постановление Правительства Российской Федерации от 11.10.2023 № 1678 «Об утверждении Правил применения организациями, осуществляющими образовательную деятельность, электронного обучения, дистанционных образовательных технологий при реализации образовательных программ» (в действующей редакции);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локальные нормативные акты организации об организации образовательной деятельности, применении ЭО и ДОТ, текущем контроле, промежуточной и итоговой аттестации, обработке персональных данных и выдаче документов о квалификации.</w:t>
      </w:r>
    </w:p>
    <w:p>
      <w:pPr>
        <w:spacing w:before="80" w:after="100"/>
      </w:pPr>
      <w:r>
        <w:rPr>
          <w:rFonts w:ascii="Times New Roman" w:hAnsi="Times New Roman" w:eastAsia="Times New Roman"/>
          <w:b/>
        </w:rPr>
        <w:t xml:space="preserve">Официальные источники: </w:t>
      </w:r>
      <w:hyperlink r:id="rId12">
        <w:r>
          <w:rPr>
            <w:rFonts w:ascii="Times New Roman" w:hAnsi="Times New Roman" w:eastAsia="Times New Roman"/>
            <w:color w:val="1F4E79"/>
            <w:u w:val="single"/>
          </w:rPr>
          <w:t>приказ МЧС России № 1156</w:t>
        </w:r>
      </w:hyperlink>
      <w:r>
        <w:rPr>
          <w:rFonts w:ascii="Times New Roman" w:hAnsi="Times New Roman" w:eastAsia="Times New Roman"/>
        </w:rPr>
        <w:t xml:space="preserve">; </w:t>
      </w:r>
      <w:hyperlink r:id="rId13">
        <w:r>
          <w:rPr>
            <w:rFonts w:ascii="Times New Roman" w:hAnsi="Times New Roman" w:eastAsia="Times New Roman"/>
            <w:color w:val="1F4E79"/>
            <w:u w:val="single"/>
          </w:rPr>
          <w:t>приказ МЧС России № 468</w:t>
        </w:r>
      </w:hyperlink>
      <w:r>
        <w:rPr>
          <w:rFonts w:ascii="Times New Roman" w:hAnsi="Times New Roman" w:eastAsia="Times New Roman"/>
        </w:rPr>
        <w:t xml:space="preserve">; </w:t>
      </w:r>
      <w:hyperlink r:id="rId14">
        <w:r>
          <w:rPr>
            <w:rFonts w:ascii="Times New Roman" w:hAnsi="Times New Roman" w:eastAsia="Times New Roman"/>
            <w:color w:val="1F4E79"/>
            <w:u w:val="single"/>
          </w:rPr>
          <w:t>приказ Минобрнауки России № 266</w:t>
        </w:r>
      </w:hyperlink>
      <w:r>
        <w:rPr>
          <w:rFonts w:ascii="Times New Roman" w:hAnsi="Times New Roman" w:eastAsia="Times New Roman"/>
        </w:rPr>
        <w:t xml:space="preserve">; </w:t>
      </w:r>
      <w:hyperlink r:id="rId15">
        <w:r>
          <w:rPr>
            <w:rFonts w:ascii="Times New Roman" w:hAnsi="Times New Roman" w:eastAsia="Times New Roman"/>
            <w:color w:val="1F4E79"/>
            <w:u w:val="single"/>
          </w:rPr>
          <w:t>постановление Правительства РФ № 1678</w:t>
        </w:r>
      </w:hyperlink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3. Программа направлена на совершенствование и (или) получение новой компетенции, необходимой для профессиональной деятельности, и повышение профессионального уровня в рамках имеющейся квалификации.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4. Структура и минимальный объем модулей соответствуют Типовой программе. В Программу включены обязательный общепрофессиональный модуль и все десять профессиональных модулей вариативной части.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 xml:space="preserve">5. Практические занятия имеют общий объем 22 академических часа. В модулях 1–7 и 9–11 выполняются десять дистанционных самостоятельных документарных ситуационных заданий по 2 академических часа. В модуле 8 проводится отдельное синхронное дистанционное практическое занятие продолжительностью 2 академических часа: в реальном времени организуются наблюдение объекта с установленным противопожарным занавесом (занавесами), вопросы преподавателю или представителю объекта и оформление отчета в ЭИОС. Выезд слушателя и физические действия слушателя на оборудовании не предусмотрены. Каждый практический результат сохраняется в ЭИОС и оценивается преподавателем.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6. К освоению допускаются лица, имеющие или получающие среднее профессиональное и (или) высшее образование. Документ об образовании либо справка об обучении проверяется при зачислении.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7. Форма обучения — заочная. Программа реализуется исключительно с применением электронного обучения и дистанционных образовательных технологий. Порядок взаимодействия закрепляется расписанием и методическими материалами группы.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8. Академический час составляет 45 минут. До начала обучения каждому слушателю предоставляются индивидуальные средства доступа в электронную информационно-образовательную среду (ЭИОС), инструкция и канал технической поддержки.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9. Удостоверение о повышении квалификации подтверждает успешное освоение Программы. Оно не заменяет решение лицензирующего органа и само по себе не является лицензией на соответствующий вид деятельности.</w:t>
      </w:r>
    </w:p>
    <w:p>
      <w:pPr>
        <w:pStyle w:val="Heading1"/>
        <w:keepNext/>
        <w:keepLines/>
      </w:pPr>
      <w:r>
        <w:t>II. Цели и задачи обучения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10. Цель Программы — повышение квалификации специалистов, осуществляющих деятельность по монтажу, техническому обслуживанию и ремонту, в том числе диспетчеризацию и проведение пусконаладочных работ систем пожаротушения, пожарной сигнализации, оповещения и эвакуации при пожаре, в том числе фотолюминесцентных эвакуационных систем, дымоудаления и противодымной вентиляции, противопожарного водоснабжения, передачи извещений о пожаре, противопожарных занавесов и завес, заполнений проемов в противопожарных преградах и их элементов, в том числе проведения огнезащитной обработки материалов, изделий и конструкций, а также первичных средств пожаротушения.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11. Задачи Программы: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приобретение теоретических знаний по новым образцам пожарно-технической продукции, современным технологиям автоматического обнаружения и защиты объектов от пожаров, ограничения распространения пожара и воздействия опасных факторов пожара на людей;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совершенствование теоретических знаний и практических навыков, необходимых для монтажа, технического обслуживания и ремонта средств обеспечения пожарной безопасности зданий и сооружений;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совершенствование знаний и практических навыков работы со специальным программным обеспечением;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формирование способности документировать результаты монтажа, наладки, испытаний, технического обслуживания и ремонта.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12. Результат освоения Программы — совершенствование профессиональных компетенций, необходимых для выполнения соответствующих трудовых функций в пределах имеющейся квалификации и допуска работодателя.</w:t>
      </w:r>
    </w:p>
    <w:p>
      <w:pPr>
        <w:pStyle w:val="Heading1"/>
        <w:keepNext/>
        <w:keepLines/>
      </w:pPr>
      <w:r>
        <w:t>III. Учебный план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13. Учебный план включает обязательный общепрофессиональный модуль, все десять профессиональных модулей вариативной части и итоговую аттестацию.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510"/>
        <w:gridCol w:w="5896"/>
        <w:gridCol w:w="879"/>
        <w:gridCol w:w="935"/>
        <w:gridCol w:w="1020"/>
      </w:tblGrid>
      <w:tr>
        <w:trPr>
          <w:tblHeader w:val="true"/>
          <w:cantSplit/>
        </w:trPr>
        <w:tc>
          <w:tcPr>
            <w:tcW w:type="dxa" w:w="510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№</w:t>
            </w:r>
          </w:p>
        </w:tc>
        <w:tc>
          <w:tcPr>
            <w:tcW w:type="dxa" w:w="5896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Наименование модуля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Всего</w:t>
            </w:r>
          </w:p>
        </w:tc>
        <w:tc>
          <w:tcPr>
            <w:tcW w:type="dxa" w:w="935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Теория</w:t>
            </w:r>
          </w:p>
        </w:tc>
        <w:tc>
          <w:tcPr>
            <w:tcW w:type="dxa" w:w="1020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 xml:space="preserve">Работы / ИА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Общепрофессиональный модуль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пожаротушения и их элементов, включая диспетчеризацию и проведение пусконаладочных работ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пожарной и охранно-пожарной сигнализации и их элементов, включая диспетчеризацию и проведение пусконаладочных работ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противопожарного водоснабжения и их элементов, включая диспетчеризацию и проведение пусконаладочных работ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автоматических систем (элементов автоматических систем) противодымной вентиляции, включая диспетчеризацию и проведение пусконаладочных работ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6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систем оповещения и эвакуации при пожаре и их элементов, включая диспетчеризацию и проведение пусконаладочных работ, в том числе фотолюминесцентных эвакуационных систем и их элементов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7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автоматических систем (элементов автоматических систем) передачи извещений о пожаре, включая диспетчеризацию и проведение пусконаладочных работ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противопожарных занавесов и завес, включая диспетчеризацию и проведение пусконаладочных работ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9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заполнений проемов в противопожарных преградах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10</w:t>
            </w:r>
          </w:p>
        </w:tc>
        <w:tc>
          <w:tcPr>
            <w:tcW w:type="dxa" w:w="5896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Выполнение работ по огнезащите материалов, изделий и конструкций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11</w:t>
            </w:r>
          </w:p>
        </w:tc>
        <w:tc>
          <w:tcPr>
            <w:tcW w:type="dxa" w:w="5896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Монтаж, техническое обслуживание и ремонт первичных средств пожаротушения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16</w:t>
            </w:r>
          </w:p>
        </w:tc>
        <w:tc>
          <w:tcPr>
            <w:tcW w:type="dxa" w:w="935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14</w:t>
            </w:r>
          </w:p>
        </w:tc>
        <w:tc>
          <w:tcPr>
            <w:tcW w:type="dxa" w:w="1020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12</w:t>
            </w:r>
          </w:p>
        </w:tc>
        <w:tc>
          <w:tcPr>
            <w:tcW w:type="dxa" w:w="5896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Итоговая аттестация</w:t>
            </w:r>
          </w:p>
        </w:tc>
        <w:tc>
          <w:tcPr>
            <w:tcW w:type="dxa" w:w="879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2</w:t>
            </w:r>
          </w:p>
        </w:tc>
        <w:tc>
          <w:tcPr>
            <w:tcW w:type="dxa" w:w="935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—</w:t>
            </w:r>
          </w:p>
        </w:tc>
        <w:tc>
          <w:tcPr>
            <w:tcW w:type="dxa" w:w="1020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7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5896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 по Программе</w:t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178</w:t>
            </w:r>
          </w:p>
        </w:tc>
        <w:tc>
          <w:tcPr>
            <w:tcW w:type="dxa" w:w="935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154</w:t>
            </w:r>
          </w:p>
        </w:tc>
        <w:tc>
          <w:tcPr>
            <w:tcW w:type="dxa" w:w="1020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24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EEF2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Распределение учебного времени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>154 часа теоретических занятий + 22 часа практических занятий (11 модулей × 2 часа) + 2 часа итоговой аттестации = 178 часов. В последней колонке учебного плана 24 часа объединяют практику и итоговую аттестацию.</w:t>
            </w:r>
          </w:p>
        </w:tc>
      </w:tr>
    </w:tbl>
    <w:p>
      <w:pPr>
        <w:spacing w:after="0"/>
      </w:pPr>
    </w:p>
    <w:p>
      <w:pPr>
        <w:pStyle w:val="Heading1"/>
        <w:keepNext/>
        <w:keepLines/>
      </w:pPr>
      <w:r>
        <w:t>IV. Календарный учебный график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14. Типовой календарный график рассчитан на освоение всех модулей. Конкретные даты, время синхронных занятий и сроки выполнения асинхронных заданий устанавливаются расписанием группы. Учебная нагрузка по данному графику не превышает 8 академических часов в день.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1304"/>
        <w:gridCol w:w="879"/>
        <w:gridCol w:w="879"/>
        <w:gridCol w:w="879"/>
        <w:gridCol w:w="879"/>
        <w:gridCol w:w="879"/>
        <w:gridCol w:w="737"/>
        <w:gridCol w:w="737"/>
        <w:gridCol w:w="879"/>
      </w:tblGrid>
      <w:tr>
        <w:trPr>
          <w:tblHeader w:val="true"/>
          <w:cantSplit/>
        </w:trPr>
        <w:tc>
          <w:tcPr>
            <w:tcW w:type="dxa" w:w="1304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Неделя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Пн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Вт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Ср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Чт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Пт</w:t>
            </w:r>
          </w:p>
        </w:tc>
        <w:tc>
          <w:tcPr>
            <w:tcW w:type="dxa" w:w="737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Сб</w:t>
            </w:r>
          </w:p>
        </w:tc>
        <w:tc>
          <w:tcPr>
            <w:tcW w:type="dxa" w:w="737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Вс</w:t>
            </w:r>
          </w:p>
        </w:tc>
        <w:tc>
          <w:tcPr>
            <w:tcW w:type="dxa" w:w="879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Итого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 неделя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2 неделя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3 неделя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 неделя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1304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5 неделя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8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ИА · 2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737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—</w:t>
            </w:r>
          </w:p>
        </w:tc>
        <w:tc>
          <w:tcPr>
            <w:tcW w:type="dxa" w:w="879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1304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Итого</w:t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737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737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</w:r>
          </w:p>
        </w:tc>
        <w:tc>
          <w:tcPr>
            <w:tcW w:type="dxa" w:w="879"/>
            <w:shd w:fill="D9E3E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178</w:t>
            </w:r>
          </w:p>
        </w:tc>
      </w:tr>
    </w:tbl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 xml:space="preserve">Обозначение «ИА · 2» — итоговая аттестация продолжительностью 2 академических часа. Синхронное занятие модуля 8 длится 2 академических часа; время его проведения и перерывы устанавливаются расписанием, при этом перерывы в учебный объем не входят.</w:t>
      </w:r>
    </w:p>
    <w:p>
      <w:pPr>
        <w:pStyle w:val="Heading1"/>
        <w:keepNext/>
        <w:keepLines/>
      </w:pPr>
      <w:r>
        <w:t>V. Содержание программы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15. Программа основана на модульном принципе и включает обязательный общепрофессиональный модуль, формирующий базовые знания в области пожарной безопасности.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16. Профессиональные модули направлены на приобретение знаний и умений, необходимых для выполнения трудовых функций по монтажу, техническому обслуживанию и ремонту средств обеспечения пожарной безопасности зданий и сооружений.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17. Срок освоения каждого модуля составляет 16 академических часов: 14 часов теоретических занятий и 2 часа практического занятия. Текущий контроль проводится в ходе занятий; промежуточная аттестация проводится в форме теста по каждому модулю в пределах 14 часов теоретических занятий и не увеличивает объем модуля и общий объем Программы.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 xml:space="preserve">18. Учебные материалы, задания, контрольные мероприятия и взаимодействие с преподавателем доступны через ЭИОС. В модулях 1–7 и 9–11 практические занятия проводятся в форме самостоятельных документарных ситуационных заданий; в модуле 8 — в форме синхронного дистанционного наблюдения реального объекта с установленным противопожарным занавесом (занавесами). Письменные результаты загружаются в ЭИОС.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19. Изучение темы об охране окружающей среды, охране труда и технике безопасности осуществляется применительно ко всем профессиональным модулям.</w:t>
      </w:r>
    </w:p>
    <w:p>
      <w:r>
        <w:br w:type="page"/>
      </w:r>
    </w:p>
    <w:p>
      <w:pPr>
        <w:pStyle w:val="Heading1"/>
        <w:keepNext/>
        <w:keepLines/>
      </w:pPr>
      <w:r>
        <w:t>VI. Содержание модулей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Содержание ниже воспроизводит структуру и предметный охват приложения № 3 к приказу МЧС России от 15.11.2022 № 1156. Нумерация пунктов 17.1–27 сохранена для прямого сопоставления с Типовой программой.</w:t>
      </w:r>
    </w:p>
    <w:p>
      <w:pPr>
        <w:pStyle w:val="Heading2"/>
        <w:spacing w:before="200"/>
        <w:keepNext/>
        <w:keepLines/>
      </w:pPr>
      <w:r>
        <w:t>17.1. Содержание учебной темы "Общие вопросы организации обучения".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Организация учебного процесса. Расписание занятий. Противопожарный инструктаж. Цель, задачи и программа курса обучения. Актуальность курса. Требования к знаниям, умениям и навыкам специалиста по пожарной безопасности.</w:t>
      </w:r>
    </w:p>
    <w:p>
      <w:pPr>
        <w:pStyle w:val="Heading2"/>
        <w:spacing w:before="200"/>
        <w:keepNext/>
        <w:keepLines/>
      </w:pPr>
      <w:r>
        <w:t>17.2. Содержание учебной темы "Организационные основы обеспечения пожарной безопасности в Российской Федерации".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1. "Государственное регулирование в области пожарной безопасности".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Система обеспечения пожарной безопасности в Российской Федерации. Цель создания и основные функции системы обеспечения пожарной безопасности в Российской Федерации. Основные элементы системы обеспечения пожарной безопасности в Российской Федерации.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Нормативное правовое регулирование в области пожарной безопасности. Механизм правового регулирования общественных отношений в области пожарной безопасности. Система нормативных правовых актов в области пожарной безопасности. Техническое регулирование в области пожарной безопасности. Требования пожарной безопасности. Система нормативных документов по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Правоприменительная практика в области пожарной безопасности. Акты судебной власти.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2. "Субъекты правоотношений в области пожарной безопасности, их полномочия и ответственность".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Полномочия органов государственной власти, органов местного самоуправления и организаций в области обеспечения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Права, обязанности и ответственность должностных лиц в области обеспечения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Права, обязанности и ответственность лиц, осуществляющих трудовую или служебную деятельность в организациях, в области обеспечения пожарной безопасности.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Права и ответственность граждан в области обеспечения пожарной безопасности.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3. "Федеральный государственный пожарный надзор".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Нормативные правовые акты, регулирующие исполнение государственной функции по надзору за выполнением обязательных требований пожарной безопасности. Организационная структура, полномочия и функции органов государственного пожарного надзора. Права и обязанности должностных лиц органов государственного пожарного надзора. Права и обязанности лиц, в отношении которых осуществляются мероприятия по надзору. Порядок осуществления федерального государственного пожарного надзора.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Риск-ориентированный подход. Отнесение объектов защиты к категории риска. Планирование мероприятий по контролю в зависимости от присвоенной объекту защиты категории риска. Профилактика нарушения обязательных требований пожарной безопасности.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4. "Лицензирование в области пожарной безопасности".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Цели лицензирования в области пожарной безопасности. Лицензируемые виды деятельности в области пожарной безопасности. Порядок проведения лицензирования в области пожарной безопасности. Лицензионные требования изучаются по действующей редакции Положения, утвержденного постановлением Правительства Российской Федерации от 28.07.2020 № 1128. Осуществление контроля за соблюдением лицензиатом лицензионных требований.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5. "Подтверждение соответствия объектов защиты (продукции) требованиям пожарной безопасности".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Цели осуществления подтверждения соответствия. Принципы осуществления оценки соответствия. Общие положения о подтверждении соответствия объектов защиты (продукции) требованиям пожарной безопасности. Перечни продукции и схемы подтверждения соответствия продукции требованиям пожарной безопасности. Общие требования к порядку проведения сертификации. Способы идентификации для выявления фальсификата (контрафакта).</w:t>
      </w:r>
    </w:p>
    <w:p>
      <w:pPr>
        <w:pStyle w:val="Heading2"/>
        <w:spacing w:before="200"/>
        <w:keepNext/>
        <w:keepLines/>
      </w:pPr>
      <w:r>
        <w:t>17.3. Содержание учебной темы "Пожары. Классификация пожаров. Опасные факторы пожаров".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1. "Пожары. Виды, классификация пожаров".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сведения о горении. Возникновение и развитие пожара. Классификация пожаров. Основные причины пожаров. Статистика пожаров. Краткая статистика пожаров в регионе, муниципальном образовании, в организациях различной отраслевой направленности. Пожары и возгорания, которые произошли непосредственно в организации (в цехе, на участке, рабочем месте, в жилых помещениях), анализ причин их возникновения.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2. "Опасные факторы пожара".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опасных факторов пожара. Воздействие опасных факторов пожара. Предельно допустимые значения опасных факторов пожара.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3. "Категорирование помещений, зданий и наружных установок по взрывопожарной и пожарной опасности".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Методика анализа пожарной опасности технологических процессов. Классификация технологического оборудования и его пожарная опасность.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помещений, зданий и наружных установок по взрывопожарной и пожарной опасности. Характеристика и принципы категорирования помещений, зданий и наружных установок.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Определение категорий помещений и зданий по взрывопожарной и пожарной опасности.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4. "Требование к электрооборудованию в пожароопасных и взрывоопасных зонах".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помещений, пожароопасных и взрывоопасных зон. Классификация взрывоопасных смесей.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 электрооборудования по пожаровзрывоопасности и пожарной опасности. Степени защиты оболочек электрооборудования. Виды и уровни взрывозащиты. Маркировка взрывозащищенного электрооборудования. Требования к выбору, монтажу и эксплуатации электрооборудования в взрывоопасных и пожароопасных зонах.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5. "Требования к питанию электроприемников и электрооборудованию систем противопожарной защиты".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Электроснабжение систем автоматической противопожарной защиты. Расчет электроснабжения. Требования к прокладке кабельных трасс и соединительным линиям.</w:t>
      </w:r>
    </w:p>
    <w:p>
      <w:pPr>
        <w:pStyle w:val="Heading2"/>
        <w:spacing w:before="200"/>
        <w:keepNext/>
        <w:keepLines/>
      </w:pPr>
      <w:r>
        <w:t>17.4. Содержание учебной темы "Требования по охране окружающей среды, охране труда и технике безопасности при выполнении работ".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1. "Основные нормативные правовые акты по охране труда".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требования охраны труда при проведении работ по монтажу, ремонту и обслуживанию установок пожаротушения, пожарной сигнализации, систем дымоудаления, оповещения и управления эвакуацией при пожаре. Порядок расследования и учета несчастных случаев на производстве. Влияние на организм человека метеорологических условий (температуры, влажности, скорости движения воздуха), газов и пыли. Требования к освещенности рабочего места, к питьевой воде. Режим труда и отдыха, личная гигиена рабочего. Опасность поражения электрическим током. Основные меры защиты от поражения электрическим током.</w:t>
      </w:r>
    </w:p>
    <w:p>
      <w:pPr>
        <w:keepNext/>
        <w:spacing w:before="100" w:after="60"/>
      </w:pPr>
      <w:r>
        <w:rPr>
          <w:rFonts w:ascii="Times New Roman" w:hAnsi="Times New Roman" w:eastAsia="Times New Roman"/>
          <w:b/>
          <w:color w:val="253447"/>
          <w:sz w:val="22"/>
        </w:rPr>
        <w:t>Тема 2. "Первая помощь".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Понятие первая помощь, мероприятия по оказанию первой помощи. Средства первой помощи. Алгоритм сердечно-легочной реанимации. Первая помощь при различных состояниях.</w:t>
      </w:r>
    </w:p>
    <w:p>
      <w:pPr>
        <w:pStyle w:val="Heading2"/>
        <w:spacing w:before="200"/>
        <w:keepNext/>
        <w:keepLines/>
      </w:pPr>
      <w:r>
        <w:t>18. Содержание профессионального модуля "Монтаж, техническое обслуживание и ремонт систем пожаротушения и их элементов,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сведения об автоматической установке пожаротушения (далее - АУП): краткие сведения из истории развития, назначение, область применения, классификация.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Назначение, область применения, классификация АУП, выбор АУП для защиты объекта.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Область применения, классификация и состав автоматической установки водяного пожаротушения (далее - АУВП).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Конструктивные особенности элементов и узлов (оросители, пеногенераторы, узлы управления, водопитатели, дозаторы, приборы контроля, управление и сигнализация).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Устройство и алгоритм работы водозаполненных спринклерных, воздушных спринклерных АУВП, дренчерных АУВП с электрическим пуском, спринклерно-дренчерных АУП. Способы проверки работоспособности. Гидравлический расчет.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сведения о роботизированных установках и установках тушения тонкораспыленной водой.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 установок водяного и пенного пожаротушения.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 газовых огнетушащих веществ и их особенности. Область применения, требования нормативных документов. Состав модульных АУП, структурные схемы, алгоритмы функционирования с учетом обеспечения безопасности человека и эффективности тушения. Конструктивные особенности элементов и узлов. Требования к аппаратуре управления. Расчет массы огнетушащего вещества.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 огнетушащих порошков и аэрозолей. Область применения, состав модульных АУП, структурные схемы, алгоритмы функционирования с учетом обеспечения безопасности человека и эффективности тушения (в дежурном режиме, в автоматическом режиме пуска при пожаре, в ручном режиме пуска при пожаре).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нормативных документов. Требования к аппаратуре управления. Классификации модулей и генераторов. Конструктивные особенности элементов и узлов.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 установок газового, порошкового и аэрозольного пожаротушения.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автоматических установок пожаротушения. Виды и периодичность технического обслуживания.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Методика проверки технического состояния и работоспособности установок автоматического пожаротушения.</w:t>
      </w:r>
    </w:p>
    <w:p>
      <w:pPr>
        <w:pStyle w:val="Heading2"/>
        <w:spacing w:before="200"/>
        <w:keepNext/>
        <w:keepLines/>
      </w:pPr>
      <w:r>
        <w:t>19. Содержание профессионального модуля "Монтаж, техническое обслуживание и ремонт систем пожарной и охранно-пожарной сигнализации и их элементов,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Основные нормативно-технические документы, регламентирующие внедрение, монтаж и эксплуатацию систем пожарной сигнализации (далее - СПС).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 СПС. Нормативное обоснование типа установки пожарной автоматики для защиты объекта. Классификация и основные параметры СПС. Основные принципы построения СПС. Пожарные извещатели: назначение, область применения, классификация, устройство, требования к выбору и размещению.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Приемно-контрольные приборы пожарной сигнализации и оборудование, используемые в СПС.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Зоны контроля пожарной сигнализации. Алгоритмы принятия решения о пожаре. Защита от ложных срабатываний. Автоматизация систем противопожарной защиты.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к монтажу СПС: подготовительные работы, входной контроль, материально-технические ресурсы, технология выполнения работ, приемка работ, пусконаладочные работы.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к эксплуатации, техническому обслуживанию и ремонту СПС.</w:t>
      </w:r>
    </w:p>
    <w:p>
      <w:pPr>
        <w:pStyle w:val="Heading2"/>
        <w:spacing w:before="200"/>
        <w:keepNext/>
        <w:keepLines/>
      </w:pPr>
      <w:r>
        <w:t>20. Содержание профессионального модуля "Монтаж, техническое обслуживание и ремонт систем противопожарного водоснабжения и их элементов,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пожарной безопасности к системам наружного и внутреннего противопожарного водопровода.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Обеспечение надежности работы систем противопожарного водоснабжения. Конструктивные решения, обеспечивающие надежную работу водоводов и водопроводной сети. Трассировка сети, устройство водопроводной сети. Размещение пожарных гидрантов на водопроводных сетях. Определение требуемого расстояния между пожарными гидрантами.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Классификация, основные элементы и схемы внутренних водопроводов. Обоснование требуемых величин расходов и напоров воды на внутреннее пожаротушение. Конструктивные решения, обеспечивающие надежную работу внутренних водопроводов. Размещение внутренних пожарных кранов.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техническому обслуживанию и ремонту систем противопожарного водоснабжения.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Водоотдача водопроводных сетей. Практическое определение водоотдачи для целей пожаротушения. Методика испытаний внутреннего и наружного противопожарного водопровода на водоотдачу. Причины снижения водоотдачи и способы улучшения противопожарного водоснабжения.</w:t>
      </w:r>
    </w:p>
    <w:p>
      <w:pPr>
        <w:pStyle w:val="Heading2"/>
        <w:spacing w:before="200"/>
        <w:keepNext/>
        <w:keepLines/>
      </w:pPr>
      <w:r>
        <w:t>21. Содержание профессионального модуля "Монтаж, техническое обслуживание и ремонт автоматических систем (элементов автоматических систем) противодымной вентиляции,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Назначение, область применения, виды, основные элементы и работа установок противодымной защиты объектов. Режимы управления. Рекомендации по выбору установок противодымной защиты.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установок противодымной защиты объектов. Виды и периодичность технического обслуживания. Методика проверки технического состояния и работоспособности.</w:t>
      </w:r>
    </w:p>
    <w:p>
      <w:pPr>
        <w:pStyle w:val="Heading2"/>
        <w:spacing w:before="200"/>
        <w:keepNext/>
        <w:keepLines/>
      </w:pPr>
      <w:r>
        <w:t>22. Содержание профессионального модуля "Монтаж, техническое обслуживание и ремонт систем оповещения и эвакуации при пожаре и их элементов, включая диспетчеризацию и проведение пусконаладочных работ, в том числе фотолюминесцентных эвакуационных систем и их элементов".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нормативных документов к системам оповещения и управления эвакуацией людей при пожаре. Определение типов и характеристик систем оповещения.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нормативных документов к монтажу технических средств систем оповещения. Особенности размещения звуковых, речевых и световых оповещателей. Акустический расчет, расчет электрических параметров: максимальная нагрузка на реле, длина и сечения кабеля, потери напряжения. Измерение уровня звукового давления.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Нормативные требования к кабельным линиям систем оповещения, особенности их выбора и монтажа.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Алгоритмы работы систем оповещения. Аварийное и эвакуационное освещение. Размещение оборудования обратной связи с зонами пожарного оповещения.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 систем оповещения.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систем оповещения. Виды и периодичность технического обслуживания систем оповещения людей о пожаре. Методика проверки технического состояния и работоспособности систем оповещения людей о пожаре. Основные требования к проверке технического состояния систем оповещения людей о пожаре. Правила использования систем оповещения при возникновении пожара на объекте.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пожарной безопасности к путям эвакуации. Классификация элементов фотолюминесцентной эвакуационной системы и знаков безопасности. Требования к элементам фотолюминесцентной эвакуационной системы и к их размещению. Методы контроля за элементами фотолюминесцентной эвакуационной системы. Определение фотометрических характеристик элементов фотолюминесцентной эвакуационной системы на стадии эксплуатации. Правила монтажа фотолюминесцентных эвакуационных систем.</w:t>
      </w:r>
    </w:p>
    <w:p>
      <w:pPr>
        <w:pStyle w:val="Heading2"/>
        <w:spacing w:before="200"/>
        <w:keepNext/>
        <w:keepLines/>
      </w:pPr>
      <w:r>
        <w:t>23. Содержание профессионального модуля "Монтаж, техническое обслуживание и ремонт автоматических систем (элементов автоматических систем) передачи извещений о пожаре,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Назначение, область применения, виды, основные элементы и работа автоматических систем передачи извещений о пожаре. Режимы управления. Рекомендации по выбору автоматических систем передачи извещений о пожаре.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Общие положения по монтажу, наладке, испытаниям и сдаче в эксплуатацию.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Техническое обслуживание автоматических систем передачи извещений о пожаре. Виды и периодичность технического обслуживания. Методика проверки технического состояния и работоспособности.</w:t>
      </w:r>
    </w:p>
    <w:p>
      <w:pPr>
        <w:pStyle w:val="Heading2"/>
        <w:spacing w:before="200"/>
        <w:keepNext/>
        <w:keepLines/>
      </w:pPr>
      <w:r>
        <w:t>24. Содержание профессионального модуля "Монтаж, техническое обслуживание и ремонт противопожарных занавесов и завес, включая диспетчеризацию и проведение пусконаладочных работ".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Классификация, конструктивное исполнение и обслуживание противопожарных занавесов и завес.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нормативно-технической документации по монтажу противопожарных занавесов и завес.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Принципы построения и аппаратура управления (автоматика) противопожарных занавесов и завес.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 xml:space="preserve">Посещение объекта с установленным противопожарным занавесом (занавесами) проводится дистанционно в синхронном формате по расписанию. Преподаватель или представитель объекта в реальном времени показывает состав узлов, состояние полотна, аппаратуру управления, обратную связь и защитные блокировки; слушатель фиксирует наблюдения, задает вопросы и оформляет отчет. До занятия фиксируются наименование и адрес объекта, основание его показа, ответственное лицо, дата, время и ссылка доступа; после занятия — участие слушателя и результат оценивания. Выезд слушателя и физические действия слушателя на оборудовании не предусмотрены.</w:t>
      </w:r>
    </w:p>
    <w:p>
      <w:pPr>
        <w:pStyle w:val="Heading2"/>
        <w:spacing w:before="200"/>
        <w:keepNext/>
        <w:keepLines/>
      </w:pPr>
      <w:r>
        <w:t>25. Содержание профессионального модуля "Монтаж, техническое обслуживание и ремонт заполнений проемов в противопожарных преградах".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Виды, типы и классификация противопожарных преград. Требования нормативно-технической документации по заполнению проемов в противопожарных преградах.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Классификация, конструктивное исполнение заполнения проемов в противопожарных преградах. Двери, ворота, люки, окна, занавесы, шторы. Требования к монтажу и техническому обслуживанию элементов заполнений проемов в противопожарных преградах. Заделка кабельных проходок в противопожарных преградах. Противопожарные клапаны.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Принципы построения и аппаратура управления (автоматика) элементов заполнений проемов в противопожарных преградах.</w:t>
      </w:r>
    </w:p>
    <w:p>
      <w:pPr>
        <w:pStyle w:val="Heading2"/>
        <w:spacing w:before="200"/>
        <w:keepNext/>
        <w:keepLines/>
      </w:pPr>
      <w:r>
        <w:t>26. Содержание профессионального модуля "Выполнение работ по огнезащите материалов, изделий и конструкций".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Способы и средства повышения огнестойкости строительных конструкций. Виды огнезащитных средств и способов и их классификация. Механизмы действия и выбор огнезащитных средств. Химические и физические (поверхностные) способы огнезащиты строительных конструкций. Сравнительная эффективность различных видов огнезащиты. Методы испытаний на огнезащитную эффективность. Идентификация средств огнезащиты методами термического анализа.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Оборудование и инструменты, применяемые при производстве работ. Подготовка поверхности конструкций. Нанесение огнезащитного покрытия. Нанесение покрывных материалов. Ремонт повреждений покрытия. Требования безопасности при проведении работ. Правила обращения с токсичными веществами. Охрана окружающей среды при проведении работ.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Виды контроля. Входной контроль. Операционный контроль. Контроль качества подготовки поверхности. Контроль климатических условий. Контроль качества подготовки материала. Контроль качества нанесения материала. Контроль готового покрытия.</w:t>
      </w:r>
    </w:p>
    <w:p>
      <w:pPr>
        <w:pStyle w:val="Heading2"/>
        <w:spacing w:before="200"/>
        <w:keepNext/>
        <w:keepLines/>
      </w:pPr>
      <w:r>
        <w:t>27. Содержание профессионального модуля "Монтаж, техническое обслуживание и ремонт первичных средств пожаротушения".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Требования нормативно-технической документации по оснащению зданий и сооружений первичными средствами пожаротушения.</w:t>
      </w:r>
    </w:p>
    <w:p>
      <w:pPr>
        <w:widowControl/>
        <w:spacing w:after="80" w:line="276" w:lineRule="auto"/>
      </w:pPr>
      <w:r>
        <w:rPr>
          <w:rFonts w:ascii="Times New Roman" w:hAnsi="Times New Roman" w:eastAsia="Times New Roman"/>
        </w:rPr>
        <w:t>Огнетушители: типы, основные параметры, технические характеристики. Применение огнетушителей в производственных, складских и общественных зданиях и сооружениях. Техническое обслуживание и ремонт огнетушителей.</w:t>
      </w:r>
    </w:p>
    <w:p>
      <w:r>
        <w:br w:type="page"/>
      </w:r>
    </w:p>
    <w:p>
      <w:pPr>
        <w:pStyle w:val="Heading1"/>
        <w:keepNext/>
        <w:keepLines/>
      </w:pPr>
      <w:r>
        <w:t>VII. Планируемые результаты освоения программы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28. Программа совершенствует в рамках имеющейся квалификации следующие профессиональные компетенции слушателя: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2381"/>
        <w:gridCol w:w="4762"/>
        <w:gridCol w:w="2098"/>
      </w:tblGrid>
      <w:tr>
        <w:trPr>
          <w:tblHeader w:val="true"/>
          <w:cantSplit/>
        </w:trPr>
        <w:tc>
          <w:tcPr>
            <w:tcW w:type="dxa" w:w="238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Компетенция</w:t>
            </w:r>
          </w:p>
        </w:tc>
        <w:tc>
          <w:tcPr>
            <w:tcW w:type="dxa" w:w="4762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Качественное изменение по результатам обучения</w:t>
            </w:r>
          </w:p>
        </w:tc>
        <w:tc>
          <w:tcPr>
            <w:tcW w:type="dxa" w:w="2098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Связь с модулями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Организация и безопасное выполнение работ</w:t>
            </w:r>
          </w:p>
        </w:tc>
        <w:tc>
          <w:tcPr>
            <w:tcW w:type="dxa" w:w="476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планировать и выполнять монтаж, пусконаладку, техническое обслуживание и ремонт средств обеспечения пожарной безопасности с учетом обязательных требований, документации изготовителя и требований охраны труда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общепрофессиональный модуль и 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Анализ технической и проектной документации</w:t>
            </w:r>
          </w:p>
        </w:tc>
        <w:tc>
          <w:tcPr>
            <w:tcW w:type="dxa" w:w="4762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оценивать проектные решения, схемы, алгоритмы, исходные данные и техническую документацию в части соблюдения требований пожарной безопасности</w:t>
            </w:r>
          </w:p>
        </w:tc>
        <w:tc>
          <w:tcPr>
            <w:tcW w:type="dxa" w:w="209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общепрофессиональный модуль и 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Диагностика, испытания и контроль работоспособности</w:t>
            </w:r>
          </w:p>
        </w:tc>
        <w:tc>
          <w:tcPr>
            <w:tcW w:type="dxa" w:w="476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выявлять неисправности, выбирать контрольные операции, проводить проверки и испытания, оценивать результаты и обосновывать корректирующие действия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Документирование результатов</w:t>
            </w:r>
          </w:p>
        </w:tc>
        <w:tc>
          <w:tcPr>
            <w:tcW w:type="dxa" w:w="4762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оформлять журналы, акты, протоколы, дефектные ведомости, расчетные листы и иные результаты монтажа, наладки, обслуживания и ремонта</w:t>
            </w:r>
          </w:p>
        </w:tc>
        <w:tc>
          <w:tcPr>
            <w:tcW w:type="dxa" w:w="209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общепрофессиональный модуль и профессиональные модули 2–11</w:t>
            </w:r>
          </w:p>
        </w:tc>
      </w:tr>
      <w:tr>
        <w:trPr>
          <w:cantSplit/>
        </w:trPr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Применение инженерных и цифровых средств</w:t>
            </w:r>
          </w:p>
        </w:tc>
        <w:tc>
          <w:tcPr>
            <w:tcW w:type="dxa" w:w="4762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способность применять инженерные расчеты, специальное программное обеспечение, цифровые модели и средства диагностики при решении профессиональных задач</w:t>
            </w:r>
          </w:p>
        </w:tc>
        <w:tc>
          <w:tcPr>
            <w:tcW w:type="dxa" w:w="209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6"/>
              </w:rPr>
              <w:t>профессиональные модули 2–11</w:t>
            </w:r>
          </w:p>
        </w:tc>
      </w:tr>
    </w:tbl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Обозначения компетенций в таблице являются внутренним описанием результатов настоящей Программы и не подменяют формулировки Типовой программы.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29. В результате освоения Программы слушатель должен знать: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организационные основы обеспечения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законодательные и иные нормативные правовые акты Российской Федерации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технические регламенты и нормативные документы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нормы и требования общеотраслевых, отраслевых правил, регламентов и локальных нормативных документов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принципы построения, конструкции и особенности функционирования систем противопожарной защиты зданий и сооружений и предупреждения пожаровзрывоопасных ситуаций;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нормативные документы по монтажу, ремонту, наладке, эксплуатации и обслуживанию систем противопожарной защиты зданий и сооружений.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30. Слушатель должен уметь: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проводить оценку проектной документации в части соблюдения требований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применять полученные знания при монтаже, ремонте, наладке, эксплуатации и обслуживании систем противопожарной защиты зданий и сооружений;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выявлять неисправности по схемам, измерениям и журналам событий и обосновывать корректирующие действия;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оформлять результаты проверок, испытаний и технического обслуживания.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31. Слушатель должен владеть: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методами инженерных расчетов и решений в области разработки основных технических мероприятий, монтажа, ремонта, наладки, эксплуатации и обслуживания средств обеспечения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приемами безопасного выполнения работ и контроля качества;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навыками применения специального программного обеспечения и цифровых средств диагностики.</w:t>
      </w:r>
    </w:p>
    <w:p>
      <w:pPr>
        <w:pStyle w:val="Heading1"/>
        <w:keepNext/>
        <w:keepLines/>
      </w:pPr>
      <w:r>
        <w:t>VIII. Организационно-педагогические условия реализации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32. Реализация Программы должна обеспечить приобретение знаний и умений, необходимых для выполнения работ по монтажу, техническому обслуживанию и ремонту средств обеспечения пожарной безопасности зданий и сооружений.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33. Выбор методов обучения для каждого занятия определяется преподавателем с учетом состава и уровня подготовленности группы, сложности материала и продолжительности занятия.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34. Теоретические материалы предоставляются через ЭИОС и сопровождаются примерами, схемами и ссылками на актуальные нормативные документы.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35. Практические занятия закрепляют теоретические знания и формируют умения применять требования, схемы и техническую документацию при решении профессиональных ситуационных задач. Ответ слушатель загружает в ЭИОС.</w:t>
      </w:r>
    </w:p>
    <w:p>
      <w:pPr>
        <w:pStyle w:val="Heading2"/>
        <w:keepNext/>
        <w:keepLines/>
      </w:pPr>
      <w:r>
        <w:t>8.1. Электронная информационно-образовательная среда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Для реализации Программы используется образовательная платформа «Синтагма». До подачи заявления и в течение всего периода реализации ЭИОС обеспечивает: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индивидуальную авторизацию и учет периода, объема и результатов учебной активности каждого слушателя;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доступ к Программе, расписанию, учебным материалам, заданиям, оценочным средствам и нормативным источникам;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взаимодействие слушателей с преподавателем и службой поддержки;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проведение текущего контроля, промежуточной и итоговой аттестации с сохранением результатов;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загрузку ответов на практические задания и фиксацию результатов аттестации;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защиту персональных данных и разграничение прав доступа.</w:t>
      </w:r>
    </w:p>
    <w:p>
      <w:pPr>
        <w:pStyle w:val="Heading2"/>
        <w:keepNext/>
        <w:keepLines/>
      </w:pPr>
      <w:r>
        <w:t>8.2. Идентификация слушателей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Идентификация при доступе к ЭИОС выполняется по индивидуальной учетной записи. При необходимости дополнительная проверка личности проводится одним из способов, предусмотренных локальным актом организации и фактически доступных в ЭИОС. Порядок действий при техническом сбое и хранения результатов установлен локальным актом.</w:t>
      </w:r>
    </w:p>
    <w:p>
      <w:pPr>
        <w:pStyle w:val="Heading2"/>
        <w:keepNext/>
        <w:keepLines/>
      </w:pPr>
      <w:r>
        <w:t>8.3. Кадровые условия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К реализации допускаются педагогические работники, квалификация и опыт которых соответствуют преподаваемому модулю и установленным требованиям. До начала обучения организация утверждает распределение модулей, проверяет документы об образовании, квалификации и трудовом/договорном основании. Персональный состав оформляется распорядительными документами организации до начала реализации Программы.</w:t>
      </w:r>
    </w:p>
    <w:p>
      <w:pPr>
        <w:pStyle w:val="Heading2"/>
        <w:keepNext/>
        <w:keepLines/>
      </w:pPr>
      <w:r>
        <w:t>8.4. Материально-технические и цифровые условия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рабочее место слушателя с устойчивым доступом в Интернет и современным браузером;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платформа ЭИОС со средствами контроля и фиксации результатов;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лицензионные или законно используемые базы нормативных документов и учебные материалы;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ситуационные задания, схемы и техническая документация по темам модулей;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канал технической поддержки и резервный порядок продолжения занятия при сбое.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EEF2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>Контроль готовности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>Доступность перечисленных ресурсов проверяется до подачи заявления, перед началом каждой группы и при обновлении курса; результат проверки оформляется внутренним актом.</w:t>
            </w:r>
          </w:p>
        </w:tc>
      </w:tr>
    </w:tbl>
    <w:p>
      <w:pPr>
        <w:spacing w:after="0"/>
      </w:pPr>
    </w:p>
    <w:p>
      <w:pPr>
        <w:pStyle w:val="Heading2"/>
        <w:keepNext/>
        <w:keepLines/>
      </w:pPr>
      <w:r>
        <w:t>8.5. Учебно-методическое и информационное обеспечение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актуальные нормативные правовые акты и нормативные документы по пожарной безопасности;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руководства по эксплуатации, схемы, регламенты и образцы технической документации;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методические указания к каждой практической работе, критерии и формы фиксации результата;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банк тестовых и ситуационных заданий, утвержденный в составе оценочных материалов.</w:t>
      </w:r>
    </w:p>
    <w:p>
      <w:pPr>
        <w:pStyle w:val="Heading1"/>
        <w:keepNext/>
        <w:keepLines/>
      </w:pPr>
      <w:r>
        <w:t>IX. Оценка качества освоения программы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36. Оценка качества освоения включает текущий контроль успеваемости, промежуточную аттестацию по каждому модулю и итоговую аттестацию.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37. Текущий контроль проводится в ходе изучения теоретического материала посредством контрольных вопросов, мини-тестов и разбора ситуаций. Его результаты используются для обратной связи и допуска к практическому заданию.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 xml:space="preserve">38. Промежуточный тест каждого модуля содержит 5 вопросов с одним правильным ответом: зачет — не менее 4 правильных ответов (не менее 70% с округлением количества правильных ответов вверх). Практический результат каждого модуля оценивается отдельно преподавателем: в модулях 1–7 и 9–11 — по самостоятельной работе, в модуле 8 — по участию в синхронном дистанционном занятии и отчету. К итоговой аттестации допускается слушатель, получивший зачет по всем 11 модульным тестам и положительную оценку всех 11 практических результатов.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39. Итоговая аттестация проводится в форме комплексного экзамена продолжительностью 2 академических часа и включает: (1) тестирование теоретической подготовки; (2) решение практико-ориентированной ситуационной задачи. Идентификация и ход экзамена фиксируются установленным локальным порядком.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 xml:space="preserve">40. Итоговый тест содержит 12 вопросов с одним правильным ответом: необходимо не менее 9 правильных ответов (не менее 70% с округлением вверх). Итоговая оценка «зачтено» требует одновременно успешного теста и положительной оценки письменной комплексной задачи. Общая продолжительность итоговой аттестации — 2 академических часа: 30 минут тестирование и 60 минут письменная задача. Существенная ошибка в обязательном расчете, вывод без опоры на данные либо опасное решение означает «не зачтено» по задаче; правильное установление неполноты данных является допустимым результатом.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 xml:space="preserve">41. К итоговой аттестации допускаются лица, выполнившие условия пункта 38. Состав аттестационной комиссии назначается организацией до аттестации. Вопросы, письменное задание и критерии приведены в утверждаемом одновременно ФОС.</w:t>
      </w:r>
    </w:p>
    <w:p>
      <w:pPr>
        <w:widowControl/>
        <w:spacing w:after="40" w:line="240" w:lineRule="auto"/>
      </w:pPr>
      <w:r>
        <w:rPr>
          <w:rFonts w:ascii="Times New Roman" w:hAnsi="Times New Roman" w:eastAsia="Times New Roman"/>
          <w:sz w:val="20"/>
        </w:rPr>
        <w:t>42. Лицам, успешно освоившим Программу и прошедшим итоговую аттестацию, выдается удостоверение о повышении квалификации. Лицам, не прошедшим итоговую аттестацию, получившим неудовлетворительный результат, освоившим часть Программы или отчисленным, выдается справка об обучении или периоде обучения.</w:t>
      </w:r>
    </w:p>
    <w:p>
      <w:r>
        <w:br w:type="page"/>
      </w:r>
    </w:p>
    <w:p>
      <w:pPr>
        <w:pStyle w:val="Heading1"/>
        <w:keepNext/>
        <w:keepLines/>
      </w:pPr>
      <w:r>
        <w:t>Приложение 1. Матрица практических занятий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241"/>
      </w:tblGrid>
      <w:tr>
        <w:trPr>
          <w:cantSplit/>
          <w:tblHeader/>
        </w:trPr>
        <w:tc>
          <w:tcPr>
            <w:tcW w:type="dxa" w:w="9241"/>
            <w:shd w:fill="EEF2F5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  <w:keepNext/>
            </w:pPr>
            <w:r>
              <w:rPr>
                <w:rFonts w:ascii="Times New Roman" w:hAnsi="Times New Roman" w:eastAsia="Times New Roman"/>
                <w:b/>
                <w:sz w:val="21"/>
              </w:rPr>
              <w:t>Объем</w:t>
            </w:r>
          </w:p>
          <w:p>
            <w:pPr>
              <w:spacing w:after="0"/>
              <w:keepNext/>
            </w:pPr>
            <w:r>
              <w:rPr>
                <w:rFonts w:ascii="Times New Roman" w:hAnsi="Times New Roman" w:eastAsia="Times New Roman"/>
                <w:sz w:val="21"/>
              </w:rPr>
              <w:t xml:space="preserve">22 академических часа: 20 часов самостоятельных документарных ситуационных заданий по модулям 1–7 и 9–11 и 2 часа синхронного дистанционного наблюдения реального объекта по модулю 8. Слушатель загружает письменные результаты и отчет в ЭИОС.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1. Общепрофессиональный модуль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Определить применимые требования, риски и безопасную последовательность работ по заданной производственной ситуации.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Требования выбраны верно; риски и меры безопасности обоснованы.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2. Системы пожаротушения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системы определить состав, последовательность монтажа и пусконаладки, выявить дефекты и предложить обслуживание.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Логика системы сохранена; дефекты и действия определены обоснованно.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3. Пожарная и охранно-пожарная сигнализация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и журналу событий определить зоны, алгоритм работы и причину отказа, предложить способ проверки.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Причина отказа и контрольные действия определены верно.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4. Противопожарное водоснабжение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и результатам измерений выбрать точки контроля и сформировать вывод о работоспособности.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Расчет и единицы измерения верны; вывод следует из исходных данных.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5. Противодымная вентиляция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сценарию пожара и таблице состояний проверить алгоритм запуска, локализовать неисправность и предложить пусконаладочные действия.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Алгоритм и взаимоблокировки учтены; действие безопасно.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6. Оповещение, эвакуация и ФЭС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плану объекта определить очередность оповещения, маршруты эвакуации и контрольные точки ФЭС.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Очередность и решения обоснованы и не противоречат исходным данным.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7. Передача извещений о пожаре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схеме каналов и перечню событий проверить адресацию, резервирование и определить причину потери связи.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События и причина отказа определены; восстановление обосновано.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8. Противопожарные занавесы и завесы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 xml:space="preserve">Во время синхронного дистанционного наблюдения реального объекта зафиксировать показанные узлы, аппаратуру управления, обратную связь и защитные блокировки; задать уточняющие вопросы; отделить наблюдаемое состояние от неподтвержденных предположений и оформить отчет.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 xml:space="preserve">Синхронная видеосвязь по расписанию с преподавателем или представителем реального объекта; ссылка доступа размещается в ЭИОС. Слушатель наблюдает и задает вопросы дистанционно, без управления оборудованием.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 xml:space="preserve">Расписание, сведения об объекте и ответственном лице, журнал участия в синхронном занятии и индивидуальный отчет слушателя, загруженный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 w:val="0"/>
                <w:sz w:val="18"/>
              </w:rPr>
              <w:t xml:space="preserve">Участие подтверждено; объект и источник наблюдения идентифицированы; обязательные узлы и безопасный порядок проверки определены; наблюдения отделены от предположений; ограничения указаны.</w:t>
            </w:r>
          </w:p>
        </w:tc>
      </w:tr>
    </w:tbl>
    <w:p>
      <w:pPr>
        <w:spacing w:after="0"/>
      </w:pPr>
    </w:p>
    <w:p>
      <w:pPr>
        <w:pStyle w:val="Heading2"/>
        <w:pageBreakBefore/>
        <w:spacing w:before="200"/>
        <w:keepNext/>
        <w:keepLines/>
      </w:pPr>
      <w:r>
        <w:t>9. Заполнения проемов в противопожарных преградах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описанию, схеме и измерениям проверить маркировку, зазоры, уплотнения и составить дефектную ведомость.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Дефекты распознаны; меры устранения соответствуют нарушениям.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10. Огнезащита материалов, изделий и конструкций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документам и исходным данным рассчитать расход, выбрать контрольные операции и оценить качество покрытия.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Материал идентифицирован; расчет и вывод выполнены верно.</w:t>
            </w:r>
          </w:p>
        </w:tc>
      </w:tr>
    </w:tbl>
    <w:p>
      <w:pPr>
        <w:spacing w:after="0"/>
      </w:pPr>
    </w:p>
    <w:p>
      <w:pPr>
        <w:pStyle w:val="Heading2"/>
        <w:spacing w:before="200"/>
        <w:keepNext/>
        <w:keepLines/>
      </w:pPr>
      <w:r>
        <w:t>11. Первичные средства пожаротушения · 2 часа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B8C0C8"/>
          <w:left w:val="single" w:sz="5" w:color="B8C0C8"/>
          <w:bottom w:val="single" w:sz="5" w:color="B8C0C8"/>
          <w:right w:val="single" w:sz="5" w:color="B8C0C8"/>
          <w:insideH w:val="single" w:sz="5" w:color="B8C0C8"/>
          <w:insideV w:val="single" w:sz="5" w:color="B8C0C8"/>
        </w:tblBorders>
      </w:tblPr>
      <w:tblGrid>
        <w:gridCol w:w="1928"/>
        <w:gridCol w:w="7313"/>
      </w:tblGrid>
      <w:tr>
        <w:trPr>
          <w:cantSplit/>
          <w:tblHeader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Практическая задача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keepNext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 данным объекта и технической документации определить потребность, распознать дефекты и оформить решение об эксплуатации.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Формат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Документарный ситуационный кейс в ЭИОС по выданным исходным данным, схеме и (или) технической документации.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Доказательства</w:t>
            </w:r>
          </w:p>
        </w:tc>
        <w:tc>
          <w:tcPr>
            <w:tcW w:type="dxa" w:w="7313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Краткое обоснованное решение, загруженное слушателем в ЭИОС.</w:t>
            </w:r>
          </w:p>
        </w:tc>
      </w:tr>
      <w:tr>
        <w:trPr>
          <w:cantSplit/>
        </w:trPr>
        <w:tc>
          <w:tcPr>
            <w:tcW w:type="dxa" w:w="1928"/>
            <w:shd w:fill="EEF2F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/>
                <w:sz w:val="18"/>
              </w:rPr>
              <w:t>Критерии зачета</w:t>
            </w:r>
          </w:p>
        </w:tc>
        <w:tc>
          <w:tcPr>
            <w:tcW w:type="dxa" w:w="7313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Тип и количество обоснованы; дефекты и решение определены безопасно.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keepNext/>
        <w:keepLines/>
      </w:pPr>
      <w:r>
        <w:t>Приложение 2. Паспорт оценивания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AAB3BD"/>
          <w:left w:val="single" w:sz="6" w:color="AAB3BD"/>
          <w:bottom w:val="single" w:sz="6" w:color="AAB3BD"/>
          <w:right w:val="single" w:sz="6" w:color="AAB3BD"/>
          <w:insideH w:val="single" w:sz="6" w:color="AAB3BD"/>
          <w:insideV w:val="single" w:sz="6" w:color="AAB3BD"/>
        </w:tblBorders>
      </w:tblPr>
      <w:tblGrid>
        <w:gridCol w:w="1701"/>
        <w:gridCol w:w="2381"/>
        <w:gridCol w:w="2891"/>
        <w:gridCol w:w="2268"/>
      </w:tblGrid>
      <w:tr>
        <w:trPr>
          <w:tblHeader w:val="true"/>
          <w:cantSplit/>
        </w:trPr>
        <w:tc>
          <w:tcPr>
            <w:tcW w:type="dxa" w:w="170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Этап</w:t>
            </w:r>
          </w:p>
        </w:tc>
        <w:tc>
          <w:tcPr>
            <w:tcW w:type="dxa" w:w="238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Форма</w:t>
            </w:r>
          </w:p>
        </w:tc>
        <w:tc>
          <w:tcPr>
            <w:tcW w:type="dxa" w:w="2891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Что оценивается</w:t>
            </w:r>
          </w:p>
        </w:tc>
        <w:tc>
          <w:tcPr>
            <w:tcW w:type="dxa" w:w="2268"/>
            <w:shd w:fill="2534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center"/>
              <w:keepNext/>
            </w:pPr>
            <w:r>
              <w:rPr>
                <w:color w:val="FFFFFF"/>
              </w:rPr>
            </w: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Положительный результат</w:t>
            </w:r>
          </w:p>
        </w:tc>
      </w:tr>
      <w:tr>
        <w:trPr>
          <w:cantSplit/>
        </w:trPr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Текущий контроль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Вопросы, мини-тесты, разбор кейсов</w:t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Понимание терминов, требований, схем и алгоритмов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Результат используется для обратной связи и допуска к практике</w:t>
            </w:r>
          </w:p>
        </w:tc>
      </w:tr>
      <w:tr>
        <w:trPr>
          <w:cantSplit/>
        </w:trPr>
        <w:tc>
          <w:tcPr>
            <w:tcW w:type="dxa" w:w="170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Промежуточная аттестация каждого модуля</w:t>
            </w:r>
          </w:p>
        </w:tc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Модульный тест</w:t>
            </w:r>
          </w:p>
        </w:tc>
        <w:tc>
          <w:tcPr>
            <w:tcW w:type="dxa" w:w="289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Знания по содержанию модуля</w:t>
            </w:r>
          </w:p>
        </w:tc>
        <w:tc>
          <w:tcPr>
            <w:tcW w:type="dxa" w:w="226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 менее 70% правильных ответов</w:t>
            </w:r>
          </w:p>
        </w:tc>
      </w:tr>
      <w:tr>
        <w:trPr>
          <w:cantSplit/>
        </w:trPr>
        <w:tc>
          <w:tcPr>
            <w:tcW w:type="dxa" w:w="170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Итоговая аттестация, часть 1</w:t>
            </w:r>
          </w:p>
        </w:tc>
        <w:tc>
          <w:tcPr>
            <w:tcW w:type="dxa" w:w="238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Контролируемое тестирование</w:t>
            </w:r>
          </w:p>
        </w:tc>
        <w:tc>
          <w:tcPr>
            <w:tcW w:type="dxa" w:w="2891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Теоретическая готовность по всем 11 модулям</w:t>
            </w:r>
          </w:p>
        </w:tc>
        <w:tc>
          <w:tcPr>
            <w:tcW w:type="dxa" w:w="2268"/>
            <w:shd w:fill="FFFFFF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Не менее 70% правильных ответов</w:t>
            </w:r>
          </w:p>
        </w:tc>
      </w:tr>
      <w:tr>
        <w:trPr>
          <w:cantSplit/>
        </w:trPr>
        <w:tc>
          <w:tcPr>
            <w:tcW w:type="dxa" w:w="170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Итоговая аттестация, часть 2</w:t>
            </w:r>
          </w:p>
        </w:tc>
        <w:tc>
          <w:tcPr>
            <w:tcW w:type="dxa" w:w="238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Решение практико-ориентированной ситуационной задачи</w:t>
            </w:r>
          </w:p>
        </w:tc>
        <w:tc>
          <w:tcPr>
            <w:tcW w:type="dxa" w:w="2891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Диагностика, решение, безопасность, обоснование и документация</w:t>
            </w:r>
          </w:p>
        </w:tc>
        <w:tc>
          <w:tcPr>
            <w:tcW w:type="dxa" w:w="2268"/>
            <w:shd w:fill="F7F8FA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17"/>
              </w:rPr>
              <w:t>Все обязательные критерии выполнены; критической ошибки нет</w:t>
            </w:r>
          </w:p>
        </w:tc>
      </w:tr>
    </w:tbl>
    <w:p>
      <w:pPr>
        <w:pStyle w:val="Heading2"/>
        <w:keepNext/>
        <w:keepLines/>
      </w:pPr>
      <w:r>
        <w:t>Критическая ошибка</w:t>
      </w:r>
    </w:p>
    <w:p>
      <w:pPr>
        <w:widowControl/>
        <w:spacing w:after="100" w:line="276" w:lineRule="auto"/>
      </w:pPr>
      <w:r>
        <w:rPr>
          <w:rFonts w:ascii="Times New Roman" w:hAnsi="Times New Roman" w:eastAsia="Times New Roman"/>
        </w:rPr>
        <w:t>К критической относится действие или решение, которое в заданной ситуации способно создать угрозу жизни и здоровью, вывести из работоспособного состояния систему противопожарной защиты, скрыть неисправность либо нарушить обязательную последовательность безопасного выполнения работ.</w:t>
      </w:r>
    </w:p>
    <w:p>
      <w:pPr>
        <w:pStyle w:val="Heading2"/>
        <w:keepNext/>
        <w:keepLines/>
      </w:pPr>
      <w:r>
        <w:t>Состав фонда оценочных средств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спецификация теоретического банка по всем темам и версия банка;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практико-ориентированные ситуационные задания;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эталоны оформления протоколов, актов, расчетов и дефектных ведомостей;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инструкция по идентификации, фиксации результатов и рассмотрению апелляций;</w:t>
      </w:r>
    </w:p>
    <w:p>
      <w:pPr>
        <w:pStyle w:val="ListBullet"/>
        <w:spacing w:after="60" w:line="259" w:lineRule="auto"/>
      </w:pPr>
      <w:r>
        <w:rPr>
          <w:rFonts w:ascii="Times New Roman" w:hAnsi="Times New Roman" w:eastAsia="Times New Roman"/>
        </w:rPr>
        <w:t>протоколы промежуточной и итоговой аттестации.</w:t>
      </w:r>
    </w:p>
    <w:p>
      <w:pPr>
        <w:pStyle w:val="Heading2"/>
        <w:spacing w:after="80" w:line="252" w:lineRule="auto"/>
        <w:widowControl/>
        <w:keepNext/>
        <w:pageBreakBefore/>
        <w:keepLines/>
      </w:pPr>
      <w:r>
        <w:rPr>
          <w:sz w:val="24"/>
          <w:b/>
        </w:rPr>
        <w:t xml:space="preserve">Приложение 3. Соответствие тематического комплекта учебному плану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1.1. Государственное регулирование в области пожарной безопасности.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1.2. Субъекты правоотношений в области пожарной безопасности, их полномочия и ответственность.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1.3. Федеральный государственный пожарный надзор.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1.4. Лицензирование в области пожарной безопасности.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1.5. Подтверждение соответствия объектов защиты (продукции) требованиям пожарной безопасности.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2.1. Пожары. Виды, классификация пожаров.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2.2. Опасные факторы пожара.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2.3. Категорирование помещений, зданий и наружных установок по взрывопожарной и пожарной опасности.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2.4. Требование к электрооборудованию в пожароопасных и взрывоопасных зонах.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2.5. Требования к питанию электроприемников и электрооборудованию систем противопожарной защиты.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3.1. Основные нормативные правовые акты по охране труда.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 · тема 3.2. Первая помощь.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2 · тема 4.1. Монтаж, техническое обслуживание и ремонт систем пожаротушения и их элементов,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3 · тема 4.2. Монтаж, техническое обслуживание и ремонт систем пожарной и охранно-пожарной сигнализации и их элементов,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4 · тема 4.3. Монтаж, техническое обслуживание и ремонт систем противопожарного водоснабжения и их элементов,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5 · тема 4.4. Монтаж, техническое обслуживание и ремонт автоматических систем (элементов автоматических систем) противодымной вентиляции,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6 · тема 4.5. Монтаж, техническое обслуживание и ремонт систем оповещения и эвакуации при пожаре и их элементов, включая диспетчеризацию и проведение пусконаладочных работ, в том числе фотолюминесцентных эвакуационных систем и их элементов.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7 · тема 4.6. Монтаж, техническое обслуживание и ремонт автоматических систем (элементов автоматических систем) передачи извещений о пожаре,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8 · тема 4.7. Монтаж, техническое обслуживание и ремонт противопожарных занавесов и завес, включая диспетчеризацию и проведение пусконаладочных работ.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9 · тема 4.8. Монтаж, техническое обслуживание и ремонт заполнений проемов в противопожарных преградах.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10 · тема 4.9. Выполнение работ по огнезащите материалов, изделий и конструкций.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Модуль 11 · тема 4.10. Монтаж, техническое обслуживание и ремонт первичных средств пожаротушения.</w:t>
      </w:r>
    </w:p>
    <w:p>
      <w:pPr>
        <w:pStyle w:val="Heading2"/>
        <w:spacing w:after="80" w:line="252" w:lineRule="auto"/>
        <w:widowControl/>
        <w:keepNext/>
        <w:keepLines/>
      </w:pPr>
      <w:r>
        <w:rPr>
          <w:sz w:val="24"/>
          <w:b/>
        </w:rPr>
        <w:t xml:space="preserve">Использование учебных материалов</w:t>
      </w:r>
    </w:p>
    <w:p>
      <w:pPr>
        <w:pStyle w:val="Normal"/>
        <w:spacing w:after="80" w:line="252" w:lineRule="auto"/>
        <w:widowControl/>
      </w:pPr>
      <w:r>
        <w:rPr>
          <w:sz w:val="22"/>
        </w:rPr>
        <w:t xml:space="preserve">Темы 1.1–3.2 образуют общий модуль 1, темы 4.1–4.10 — модули 2–11. Номера тем служат навигации и не добавляют часов. Теория и промежуточный тест каждого модуля занимают 14 часов; практическое занятие — 2 часа: в модулях 1–7 и 9–11 оно выполняется самостоятельно, в модуле 8 проводится синхронно и дистанционно с наблюдением реального объекта. Содержание раскрыто в рабочих программах модулей.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361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color w:val="5E6A78"/>
        <w:sz w:val="17"/>
      </w:rPr>
      <w:t xml:space="preserve">Страница </w:t>
    </w:r>
    <w:r>
      <w:rPr>
        <w:rFonts w:ascii="Times New Roman" w:hAnsi="Times New Roman" w:eastAsia="Times New Roman"/>
        <w:color w:val="5E6A78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6" w:space="4" w:color="B7C0C9"/>
      </w:pBdr>
    </w:pPr>
    <w:r>
      <w:rPr>
        <w:rFonts w:ascii="Times New Roman" w:hAnsi="Times New Roman" w:eastAsia="Times New Roman"/>
        <w:b/>
        <w:color w:val="5E6A78"/>
        <w:sz w:val="17"/>
      </w:rPr>
      <w:t>ООО «Центр средств защиты»</w:t>
    </w:r>
    <w:r>
      <w:rPr>
        <w:rFonts w:ascii="Times New Roman" w:hAnsi="Times New Roman" w:eastAsia="Times New Roman"/>
        <w:color w:val="5E6A78"/>
        <w:sz w:val="17"/>
      </w:rPr>
      <w:t xml:space="preserve">  ·  Дополнительная профессиональная программа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5344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2534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5E6A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253447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xn-----8kcgjebtk6b7abmdihf9c1dzb.xn--p1ai" TargetMode="External"/><Relationship Id="rId12" Type="http://schemas.openxmlformats.org/officeDocument/2006/relationships/hyperlink" Target="https://mchs.gov.ru/dokumenty/7404" TargetMode="External"/><Relationship Id="rId13" Type="http://schemas.openxmlformats.org/officeDocument/2006/relationships/hyperlink" Target="https://publication.pravo.gov.ru/document/0001202607230002" TargetMode="External"/><Relationship Id="rId14" Type="http://schemas.openxmlformats.org/officeDocument/2006/relationships/hyperlink" Target="https://publication.pravo.gov.ru/document/0001202504230011" TargetMode="External"/><Relationship Id="rId15" Type="http://schemas.openxmlformats.org/officeDocument/2006/relationships/hyperlink" Target="https://publication.pravo.gov.ru/document/0001202310120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Дополнительная профессиональная программа повышения квалификации «Деятельность по монтажу, техническому обслуживанию и ремонту средств обеспечения пожарной безопасности зданий и сооружений»</dc:title>
  <dc:subject>178 академических часов; заочная форма; исключительно ЭО и ДОТ</dc:subject>
  <dc:creator>ООО «Центр средств защиты»</dc:creator>
  <cp:keywords>ДПО, повышение квалификации, МЧС, приказ 1156, пожарная безопасность, ЭО, ДОТ</cp:keywords>
  <dc:description>Рабочая редакция от 03.09.2026; утверждается приказом № 4-ОД.</dc:description>
  <cp:lastModifiedBy>ООО «Центр средств защиты»</cp:lastModifiedBy>
  <cp:revision>1</cp:revision>
  <dcterms:created xsi:type="dcterms:W3CDTF">2013-12-23T23:15:00Z</dcterms:created>
  <dcterms:modified xsi:type="dcterms:W3CDTF">2013-12-23T23:15:00Z</dcterms:modified>
  <cp:category/>
</cp:coreProperties>
</file>