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Times New Roman"/>
          <w:b/>
          <w:color w:val="253447"/>
          <w:sz w:val="24"/>
        </w:rPr>
        <w:t>Общество с ограниченной ответственностью «Центр средств защиты»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sz w:val="21"/>
        </w:rPr>
        <w:t>Специализированное структурное образовательное подразделение «Учебный центр»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706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Bdr>
                <w:bottom w:val="single" w:sz="10" w:space="4" w:color="D9E3EA"/>
              </w:pBdr>
              <w:keepNext/>
            </w:pPr>
            <w:r/>
            <w:r>
              <w:rPr>
                <w:rFonts w:ascii="Times New Roman" w:hAnsi="Times New Roman" w:eastAsia="Times New Roman"/>
                <w:b/>
                <w:color w:val="253447"/>
                <w:sz w:val="20"/>
              </w:rPr>
              <w:t xml:space="preserve">ПРОЕКТ ДЛЯ УТВЕРЖДЕНИЯ</w:t>
            </w:r>
          </w:p>
          <w:p>
            <w:pPr>
              <w:spacing w:before="80" w:after="0"/>
              <w:keepNext/>
            </w:pPr>
            <w:r>
              <w:rPr>
                <w:rFonts w:ascii="Times New Roman" w:hAnsi="Times New Roman" w:eastAsia="Times New Roman"/>
                <w:sz w:val="19"/>
              </w:rPr>
              <w:t xml:space="preserve">Реализация начинается после предоставления образовательной лицензии</w:t>
            </w:r>
          </w:p>
        </w:tc>
        <w:tc>
          <w:tcPr>
            <w:tcW w:type="dxa" w:w="4706"/>
            <w:tcMar>
              <w:top w:w="60" w:type="dxa"/>
              <w:start w:w="180" w:type="dxa"/>
              <w:bottom w:w="60" w:type="dxa"/>
              <w:end w:w="80" w:type="dxa"/>
            </w:tcMar>
          </w:tcPr>
          <w:p>
            <w:pPr>
              <w:spacing w:after="40"/>
              <w:keepNext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УТВЕРЖДАЮ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Генеральный директор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ООО «Центр средств защиты»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______________ / О. П. Баранов /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«___» __________ 2026 г.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Приказ от «___» __________ 2026 г. № ____</w:t>
            </w:r>
          </w:p>
        </w:tc>
      </w:tr>
    </w:tbl>
    <w:p>
      <w:pPr>
        <w:spacing w:after="300"/>
      </w:pPr>
    </w:p>
    <w:p>
      <w:pPr>
        <w:spacing w:after="140"/>
        <w:jc w:val="center"/>
      </w:pPr>
      <w:r>
        <w:rPr>
          <w:rFonts w:ascii="Times New Roman" w:hAnsi="Times New Roman" w:eastAsia="Times New Roman"/>
          <w:b/>
          <w:color w:val="253447"/>
          <w:sz w:val="26"/>
        </w:rPr>
        <w:t>ДОПОЛНИТЕЛЬНАЯ ПРОФЕССИОНАЛЬНАЯ ПРОГРАММА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color w:val="253447"/>
          <w:sz w:val="26"/>
        </w:rPr>
        <w:t>ПОВЫШЕНИЯ КВАЛИФИКАЦИИ</w:t>
      </w:r>
    </w:p>
    <w:p>
      <w:pPr>
        <w:pStyle w:val="Title"/>
        <w:spacing w:before="200" w:after="360"/>
        <w:jc w:val="center"/>
      </w:pPr>
      <w:r>
        <w:rPr>
          <w:rFonts w:ascii="Times New Roman" w:hAnsi="Times New Roman" w:eastAsia="Times New Roman"/>
          <w:b/>
          <w:color w:val="253447"/>
          <w:sz w:val="38"/>
        </w:rPr>
        <w:t>«Деятельность по монтажу, техническому обслуживанию и ремонту средств обеспечения пожарной безопасности зданий и сооружений»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3EA"/>
          <w:left w:val="single" w:sz="4" w:color="D9E3EA"/>
          <w:bottom w:val="single" w:sz="4" w:color="D9E3EA"/>
          <w:right w:val="single" w:sz="4" w:color="D9E3EA"/>
          <w:insideH w:val="single" w:sz="4" w:color="D9E3EA"/>
          <w:insideV w:val="single" w:sz="4" w:color="D9E3EA"/>
        </w:tblBorders>
      </w:tblPr>
      <w:tblGrid>
        <w:gridCol w:w="4705"/>
        <w:gridCol w:w="4705"/>
      </w:tblGrid>
      <w:tr>
        <w:trPr>
          <w:cantSplit/>
          <w:tblHeader/>
        </w:trPr>
        <w:tc>
          <w:tcPr>
            <w:tcW w:type="dxa" w:w="28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Объем программы</w:t>
            </w:r>
          </w:p>
        </w:tc>
        <w:tc>
          <w:tcPr>
            <w:tcW w:type="dxa" w:w="566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178 академических часов</w:t>
            </w:r>
          </w:p>
        </w:tc>
      </w:tr>
      <w:tr>
        <w:trPr>
          <w:cantSplit/>
        </w:trPr>
        <w:tc>
          <w:tcPr>
            <w:tcW w:type="dxa" w:w="28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Форма обучения</w:t>
            </w:r>
          </w:p>
        </w:tc>
        <w:tc>
          <w:tcPr>
            <w:tcW w:type="dxa" w:w="566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заочная</w:t>
            </w:r>
          </w:p>
        </w:tc>
      </w:tr>
      <w:tr>
        <w:trPr>
          <w:cantSplit/>
        </w:trPr>
        <w:tc>
          <w:tcPr>
            <w:tcW w:type="dxa" w:w="28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Технология реализации</w:t>
            </w:r>
          </w:p>
        </w:tc>
        <w:tc>
          <w:tcPr>
            <w:tcW w:type="dxa" w:w="566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исключительно электронное обучение и дистанционные образовательные технологии</w:t>
            </w:r>
          </w:p>
        </w:tc>
      </w:tr>
      <w:tr>
        <w:trPr>
          <w:cantSplit/>
        </w:trPr>
        <w:tc>
          <w:tcPr>
            <w:tcW w:type="dxa" w:w="28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Вид программы</w:t>
            </w:r>
          </w:p>
        </w:tc>
        <w:tc>
          <w:tcPr>
            <w:tcW w:type="dxa" w:w="566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повышение квалификации</w:t>
            </w:r>
          </w:p>
        </w:tc>
      </w:tr>
    </w:tbl>
    <w:p>
      <w:pPr>
        <w:spacing w:before="240" w:after="0"/>
        <w:jc w:val="center"/>
      </w:pPr>
      <w:r>
        <w:rPr>
          <w:rFonts w:ascii="Times New Roman" w:hAnsi="Times New Roman" w:eastAsia="Times New Roman"/>
          <w:color w:val="5E6A78"/>
          <w:sz w:val="19"/>
        </w:rPr>
        <w:t>Разработана на основе Типовой дополнительной профессиональной программы, утвержденной приказом МЧС России от 15.11.2022 № 1156</w:t>
      </w:r>
    </w:p>
    <w:p>
      <w:pPr>
        <w:spacing w:before="600"/>
        <w:jc w:val="center"/>
      </w:pPr>
      <w:r>
        <w:rPr>
          <w:rFonts w:ascii="Times New Roman" w:hAnsi="Times New Roman" w:eastAsia="Times New Roman"/>
          <w:b/>
          <w:color w:val="253447"/>
          <w:sz w:val="22"/>
        </w:rPr>
        <w:t>Москва · 2026</w:t>
      </w:r>
    </w:p>
    <w:p>
      <w:r>
        <w:br w:type="page"/>
      </w:r>
    </w:p>
    <w:p>
      <w:pPr>
        <w:pStyle w:val="Heading1"/>
        <w:spacing w:after="160"/>
        <w:keepNext/>
        <w:keepLines/>
      </w:pPr>
      <w:r>
        <w:t>Содержание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01  </w:t>
      </w:r>
      <w:r>
        <w:rPr>
          <w:rFonts w:ascii="Times New Roman" w:hAnsi="Times New Roman" w:eastAsia="Times New Roman"/>
          <w:sz w:val="22"/>
        </w:rPr>
        <w:t>Паспорт программы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02  </w:t>
      </w:r>
      <w:r>
        <w:rPr>
          <w:rFonts w:ascii="Times New Roman" w:hAnsi="Times New Roman" w:eastAsia="Times New Roman"/>
          <w:sz w:val="22"/>
        </w:rPr>
        <w:t>I. Общие положения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03  </w:t>
      </w:r>
      <w:r>
        <w:rPr>
          <w:rFonts w:ascii="Times New Roman" w:hAnsi="Times New Roman" w:eastAsia="Times New Roman"/>
          <w:sz w:val="22"/>
        </w:rPr>
        <w:t>II. Цели и задачи обучения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04  </w:t>
      </w:r>
      <w:r>
        <w:rPr>
          <w:rFonts w:ascii="Times New Roman" w:hAnsi="Times New Roman" w:eastAsia="Times New Roman"/>
          <w:sz w:val="22"/>
        </w:rPr>
        <w:t>III. Учебный план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05  </w:t>
      </w:r>
      <w:r>
        <w:rPr>
          <w:rFonts w:ascii="Times New Roman" w:hAnsi="Times New Roman" w:eastAsia="Times New Roman"/>
          <w:sz w:val="22"/>
        </w:rPr>
        <w:t>IV. Календарный учебный график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06  </w:t>
      </w:r>
      <w:r>
        <w:rPr>
          <w:rFonts w:ascii="Times New Roman" w:hAnsi="Times New Roman" w:eastAsia="Times New Roman"/>
          <w:sz w:val="22"/>
        </w:rPr>
        <w:t>V. Содержание программы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07  </w:t>
      </w:r>
      <w:r>
        <w:rPr>
          <w:rFonts w:ascii="Times New Roman" w:hAnsi="Times New Roman" w:eastAsia="Times New Roman"/>
          <w:sz w:val="22"/>
        </w:rPr>
        <w:t>VI. Содержание модулей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08  </w:t>
      </w:r>
      <w:r>
        <w:rPr>
          <w:rFonts w:ascii="Times New Roman" w:hAnsi="Times New Roman" w:eastAsia="Times New Roman"/>
          <w:sz w:val="22"/>
        </w:rPr>
        <w:t>VII. Планируемые результаты освоения программы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09  </w:t>
      </w:r>
      <w:r>
        <w:rPr>
          <w:rFonts w:ascii="Times New Roman" w:hAnsi="Times New Roman" w:eastAsia="Times New Roman"/>
          <w:sz w:val="22"/>
        </w:rPr>
        <w:t>VIII. Организационно-педагогические условия реализации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10  </w:t>
      </w:r>
      <w:r>
        <w:rPr>
          <w:rFonts w:ascii="Times New Roman" w:hAnsi="Times New Roman" w:eastAsia="Times New Roman"/>
          <w:sz w:val="22"/>
        </w:rPr>
        <w:t>IX. Оценка качества освоения программы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11  </w:t>
      </w:r>
      <w:r>
        <w:rPr>
          <w:rFonts w:ascii="Times New Roman" w:hAnsi="Times New Roman" w:eastAsia="Times New Roman"/>
          <w:sz w:val="22"/>
        </w:rPr>
        <w:t>Приложение 1. Матрица практических занятий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12  </w:t>
      </w:r>
      <w:r>
        <w:rPr>
          <w:rFonts w:ascii="Times New Roman" w:hAnsi="Times New Roman" w:eastAsia="Times New Roman"/>
          <w:sz w:val="22"/>
        </w:rPr>
        <w:t>Приложение 2. Паспорт оценивания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13  Приложение 3. Соответствие тематического комплекта учебному плану</w:t>
      </w:r>
      <w:r>
        <w:rPr>
          <w:rFonts w:ascii="Times New Roman" w:hAnsi="Times New Roman" w:eastAsia="Times New Roman"/>
          <w:sz w:val="22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1"/>
      </w:tblGrid>
      <w:tr>
        <w:trPr>
          <w:cantSplit/>
          <w:tblHeader/>
        </w:trPr>
        <w:tc>
          <w:tcPr>
            <w:tcW w:type="dxa" w:w="9241"/>
            <w:shd w:fill="F3E9D2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  <w:keepNext/>
            </w:pPr>
            <w:r>
              <w:rPr>
                <w:rFonts w:ascii="Times New Roman" w:hAnsi="Times New Roman" w:eastAsia="Times New Roman"/>
                <w:b/>
                <w:sz w:val="21"/>
              </w:rPr>
              <w:t>Утверждение документа</w:t>
            </w:r>
          </w:p>
          <w:p>
            <w:pPr>
              <w:spacing w:after="0"/>
              <w:keepNext/>
            </w:pPr>
            <w:r>
              <w:rPr>
                <w:rFonts w:ascii="Times New Roman" w:hAnsi="Times New Roman" w:eastAsia="Times New Roman"/>
                <w:sz w:val="21"/>
              </w:rPr>
              <w:t xml:space="preserve">Программа подлежит утверждению уполномоченным лицом ООО «Центр средств защиты». Номер и дата приказа заполняются при его принятии. Реализация начинается после предоставления образовательной лицензии и обеспечения условий реализации.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keepLines/>
      </w:pPr>
      <w:r>
        <w:t>Паспорт программы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AB3BD"/>
          <w:left w:val="single" w:sz="5" w:color="AAB3BD"/>
          <w:bottom w:val="single" w:sz="5" w:color="AAB3BD"/>
          <w:right w:val="single" w:sz="5" w:color="AAB3BD"/>
          <w:insideH w:val="single" w:sz="5" w:color="AAB3BD"/>
          <w:insideV w:val="single" w:sz="5" w:color="AAB3BD"/>
        </w:tblBorders>
      </w:tblPr>
      <w:tblGrid>
        <w:gridCol w:w="4705"/>
        <w:gridCol w:w="4705"/>
      </w:tblGrid>
      <w:tr>
        <w:trPr>
          <w:cantSplit/>
          <w:tblHeader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Организация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Общество с ограниченной ответственностью «Центр средств защиты»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Структурное подразделение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Специализированное структурное образовательное подразделение «Учебный центр»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Вид образования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Дополнительное образование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Подвид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Дополнительное профессиональное образование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Вид программы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Дополнительная профессиональная программа повышения квалификации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Наименование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Деятельность по монтажу, техническому обслуживанию и ремонту средств обеспечения пожарной безопасности зданий и сооружений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Объем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178 академических часов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Форма обучения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Заочная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Образовательные технологии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Исключительно электронное обучение и дистанционные образовательные технологии (ЭО и ДОТ)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Сетевая форма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Настоящей редакцией не предусмотрена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Категория слушателей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Работники соискателей лицензии или лицензиатов — специалисты, осуществляющие деятельность по монтажу, техническому обслуживанию и ремонту средств обеспечения пожарной безопасности зданий и сооружений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Требования к поступающим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Наличие или получение среднего профессионального и (или) высшего образования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Язык обучения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Русский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Срок освоения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5 учебных недель по типовому календарному графику; конкретные даты устанавливаются расписанием группы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Итоговая аттестация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Комплексный экзамен: проверка теоретической и практической подготовленности, 2 академических часа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Документ о квалификации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Удостоверение о повышении квалификации установленного организацией образца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Официальный сайт</w:t>
            </w:r>
          </w:p>
        </w:tc>
        <w:tc>
          <w:tcPr>
            <w:tcW w:type="dxa" w:w="6350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hyperlink r:id="rId11">
              <w:r>
                <w:rPr>
                  <w:rFonts w:ascii="Times New Roman" w:hAnsi="Times New Roman" w:eastAsia="Times New Roman"/>
                  <w:color w:val="1F4E79"/>
                  <w:u w:val="single"/>
                </w:rPr>
                <w:t>центр-средств-защиты.рф</w:t>
              </w:r>
            </w:hyperlink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  <w:keepLines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Статус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 xml:space="preserve">ПРОЕКТ ДЛЯ УТВЕРЖДЕНИЯ</w:t>
            </w:r>
          </w:p>
        </w:tc>
      </w:tr>
    </w:tbl>
    <w:p>
      <w:pPr>
        <w:pStyle w:val="Heading1"/>
        <w:keepNext/>
        <w:keepLines/>
      </w:pPr>
      <w:r>
        <w:t>I. Общие положения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1. Настоящая дополнительная профессиональная программа повышения квалификации «Деятельность по монтажу, техническому обслуживанию и ремонту средств обеспечения пожарной безопасности зданий и сооружений» (далее — Программа) разработана на основе Типовой дополнительной профессиональной программы, утвержденной приказом МЧС России от 15 ноября 2022 г. № 1156.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2. Нормативную основу Программы составляют: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Федеральный закон от 29.12.2012 № 273-ФЗ «Об образовании в Российской Федерации»;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приказ МЧС России от 15.11.2022 № 1156 «Об утверждении типовых дополнительных профессиональных программ в области пожарной безопасности» (в редакции приказа МЧС России от 24.06.2026 № 468);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приказ Министерства науки и высшего образования Российской Федерации от 24.03.2025 № 266 «Об утверждении Порядка организации и осуществления образовательной деятельности по дополнительным профессиональным программам»;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 (в действующей редакции);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локальные нормативные акты организации об организации образовательной деятельности, применении ЭО и ДОТ, текущем контроле, промежуточной и итоговой аттестации, обработке персональных данных и выдаче документов о квалификации.</w:t>
      </w:r>
    </w:p>
    <w:p>
      <w:pPr>
        <w:spacing w:before="80" w:after="100"/>
      </w:pPr>
      <w:r>
        <w:rPr>
          <w:rFonts w:ascii="Times New Roman" w:hAnsi="Times New Roman" w:eastAsia="Times New Roman"/>
          <w:b/>
        </w:rPr>
        <w:t xml:space="preserve">Официальные источники: </w:t>
      </w:r>
      <w:hyperlink r:id="rId12">
        <w:r>
          <w:rPr>
            <w:rFonts w:ascii="Times New Roman" w:hAnsi="Times New Roman" w:eastAsia="Times New Roman"/>
            <w:color w:val="1F4E79"/>
            <w:u w:val="single"/>
          </w:rPr>
          <w:t>приказ МЧС России № 1156</w:t>
        </w:r>
      </w:hyperlink>
      <w:r>
        <w:rPr>
          <w:rFonts w:ascii="Times New Roman" w:hAnsi="Times New Roman" w:eastAsia="Times New Roman"/>
        </w:rPr>
        <w:t xml:space="preserve">; </w:t>
      </w:r>
      <w:hyperlink r:id="rId13">
        <w:r>
          <w:rPr>
            <w:rFonts w:ascii="Times New Roman" w:hAnsi="Times New Roman" w:eastAsia="Times New Roman"/>
            <w:color w:val="1F4E79"/>
            <w:u w:val="single"/>
          </w:rPr>
          <w:t>приказ МЧС России № 468</w:t>
        </w:r>
      </w:hyperlink>
      <w:r>
        <w:rPr>
          <w:rFonts w:ascii="Times New Roman" w:hAnsi="Times New Roman" w:eastAsia="Times New Roman"/>
        </w:rPr>
        <w:t xml:space="preserve">; </w:t>
      </w:r>
      <w:hyperlink r:id="rId14">
        <w:r>
          <w:rPr>
            <w:rFonts w:ascii="Times New Roman" w:hAnsi="Times New Roman" w:eastAsia="Times New Roman"/>
            <w:color w:val="1F4E79"/>
            <w:u w:val="single"/>
          </w:rPr>
          <w:t>приказ Минобрнауки России № 266</w:t>
        </w:r>
      </w:hyperlink>
      <w:r>
        <w:rPr>
          <w:rFonts w:ascii="Times New Roman" w:hAnsi="Times New Roman" w:eastAsia="Times New Roman"/>
        </w:rPr>
        <w:t xml:space="preserve">; </w:t>
      </w:r>
      <w:hyperlink r:id="rId15">
        <w:r>
          <w:rPr>
            <w:rFonts w:ascii="Times New Roman" w:hAnsi="Times New Roman" w:eastAsia="Times New Roman"/>
            <w:color w:val="1F4E79"/>
            <w:u w:val="single"/>
          </w:rPr>
          <w:t>постановление Правительства РФ № 1678</w:t>
        </w:r>
      </w:hyperlink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3. Программа направлена на совершенствование и (или) получение новой компетенции, необходимой для профессиональной деятельности, и повышение профессионального уровня в рамках имеющейся квалификации.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4. Структура и минимальный объем модулей соответствуют Типовой программе. В Программу включены обязательный общепрофессиональный модуль и все десять профессиональных модулей вариативной части.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 xml:space="preserve">5. В каждом модуле 2 академических часа отведены на дистанционную самостоятельную практико-ориентированную работу (практические занятия по учебному плану). Слушатель анализирует учебные документы, схемы и журналы, выполняет расчеты и оформляет письменное решение в ЭИОС. Выезд, работа в учебных помещениях организации и физические манипуляции с оборудованием не предусмотрены. Практические учебные результаты сохраняются и оцениваются преподавателем; просмотр материала и тест сами по себе их не заменяют.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6. К освоению допускаются лица, имеющие или получающие среднее профессиональное и (или) высшее образование. Документ об образовании либо справка об обучении проверяется при зачислении.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7. Форма обучения — заочная. Программа реализуется исключительно с применением электронного обучения и дистанционных образовательных технологий. Порядок взаимодействия закрепляется расписанием и методическими материалами группы.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8. Академический час составляет 45 минут. До начала обучения каждому слушателю предоставляются индивидуальные средства доступа в электронную информационно-образовательную среду (ЭИОС), инструкция и канал технической поддержки.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9. Удостоверение о повышении квалификации подтверждает успешное освоение Программы. Оно не заменяет решение лицензирующего органа и само по себе не является лицензией на соответствующий вид деятельности.</w:t>
      </w:r>
    </w:p>
    <w:p>
      <w:pPr>
        <w:pStyle w:val="Heading1"/>
        <w:keepNext/>
        <w:keepLines/>
      </w:pPr>
      <w:r>
        <w:t>II. Цели и задачи обучения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10. Цель Программы — повышение квалификации специалистов, осуществляющих деятельность по монтажу, техническому обслуживанию и ремонту, в том числе диспетчеризацию и проведение пусконаладочных работ систем пожаротушения, пожарной сигнализации, оповещения и эвакуации при пожаре, в том числе фотолюминесцентных эвакуационных систем, дымоудаления и противодымной вентиляции, противопожарного водоснабжения, передачи извещений о пожаре, противопожарных занавесов и завес, заполнений проемов в противопожарных преградах и их элементов, в том числе проведения огнезащитной обработки материалов, изделий и конструкций, а также первичных средств пожаротушения.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11. Задачи Программы: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приобретение теоретических знаний по новым образцам пожарно-технической продукции, современным технологиям автоматического обнаружения и защиты объектов от пожаров, ограничения распространения пожара и воздействия опасных факторов пожара на людей;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совершенствование теоретических знаний и практических навыков, необходимых для монтажа, технического обслуживания и ремонта средств обеспечения пожарной безопасности зданий и сооружений;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совершенствование знаний и практических навыков работы со специальным программным обеспечением;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формирование способности документировать результаты монтажа, наладки, испытаний, технического обслуживания и ремонта.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12. Результат освоения Программы — совершенствование профессиональных компетенций, необходимых для выполнения соответствующих трудовых функций в пределах имеющейся квалификации и допуска работодателя.</w:t>
      </w:r>
    </w:p>
    <w:p>
      <w:pPr>
        <w:pStyle w:val="Heading1"/>
        <w:keepNext/>
        <w:keepLines/>
      </w:pPr>
      <w:r>
        <w:t>III. Учебный план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13. Учебный план включает обязательный общепрофессиональный модуль, все десять профессиональных модулей вариативной части и итоговую аттестацию.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AAB3BD"/>
          <w:left w:val="single" w:sz="6" w:color="AAB3BD"/>
          <w:bottom w:val="single" w:sz="6" w:color="AAB3BD"/>
          <w:right w:val="single" w:sz="6" w:color="AAB3BD"/>
          <w:insideH w:val="single" w:sz="6" w:color="AAB3BD"/>
          <w:insideV w:val="single" w:sz="6" w:color="AAB3BD"/>
        </w:tblBorders>
      </w:tblPr>
      <w:tblGrid>
        <w:gridCol w:w="510"/>
        <w:gridCol w:w="5896"/>
        <w:gridCol w:w="879"/>
        <w:gridCol w:w="935"/>
        <w:gridCol w:w="1020"/>
      </w:tblGrid>
      <w:tr>
        <w:trPr>
          <w:tblHeader w:val="true"/>
          <w:cantSplit/>
        </w:trPr>
        <w:tc>
          <w:tcPr>
            <w:tcW w:type="dxa" w:w="510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№</w:t>
            </w:r>
          </w:p>
        </w:tc>
        <w:tc>
          <w:tcPr>
            <w:tcW w:type="dxa" w:w="5896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Наименование модуля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Всего</w:t>
            </w:r>
          </w:p>
        </w:tc>
        <w:tc>
          <w:tcPr>
            <w:tcW w:type="dxa" w:w="935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Теория</w:t>
            </w:r>
          </w:p>
        </w:tc>
        <w:tc>
          <w:tcPr>
            <w:tcW w:type="dxa" w:w="1020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 xml:space="preserve">Работы / ИА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Общепрофессиональный модуль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систем пожаротушения и их элементов, включая диспетчеризацию и проведение пусконаладочных работ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систем пожарной и охранно-пожарной сигнализации и их элементов, включая диспетчеризацию и проведение пусконаладочных работ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систем противопожарного водоснабжения и их элементов, включая диспетчеризацию и проведение пусконаладочных работ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автоматических систем (элементов автоматических систем) противодымной вентиляции, включая диспетчеризацию и проведение пусконаладочных работ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6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систем оповещения и эвакуации при пожаре и их элементов, включая диспетчеризацию и проведение пусконаладочных работ, в том числе фотолюминесцентных эвакуационных систем и их элементов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7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автоматических систем (элементов автоматических систем) передачи извещений о пожаре, включая диспетчеризацию и проведение пусконаладочных работ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противопожарных занавесов и завес, включая диспетчеризацию и проведение пусконаладочных работ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9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заполнений проемов в противопожарных преградах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10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Выполнение работ по огнезащите материалов, изделий и конструкций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11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первичных средств пожаротушения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12</w:t>
            </w:r>
          </w:p>
        </w:tc>
        <w:tc>
          <w:tcPr>
            <w:tcW w:type="dxa" w:w="5896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Итоговая аттестация</w:t>
            </w:r>
          </w:p>
        </w:tc>
        <w:tc>
          <w:tcPr>
            <w:tcW w:type="dxa" w:w="879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2</w:t>
            </w:r>
          </w:p>
        </w:tc>
        <w:tc>
          <w:tcPr>
            <w:tcW w:type="dxa" w:w="9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—</w:t>
            </w:r>
          </w:p>
        </w:tc>
        <w:tc>
          <w:tcPr>
            <w:tcW w:type="dxa" w:w="1020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5896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по Программе</w:t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178</w:t>
            </w:r>
          </w:p>
        </w:tc>
        <w:tc>
          <w:tcPr>
            <w:tcW w:type="dxa" w:w="935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154</w:t>
            </w:r>
          </w:p>
        </w:tc>
        <w:tc>
          <w:tcPr>
            <w:tcW w:type="dxa" w:w="1020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24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1"/>
      </w:tblGrid>
      <w:tr>
        <w:trPr>
          <w:cantSplit/>
          <w:tblHeader/>
        </w:trPr>
        <w:tc>
          <w:tcPr>
            <w:tcW w:type="dxa" w:w="9241"/>
            <w:shd w:fill="EEF2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  <w:keepNext/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Распределение учебного времени</w:t>
            </w:r>
          </w:p>
          <w:p>
            <w:pPr>
              <w:spacing w:after="0"/>
              <w:keepNext/>
            </w:pPr>
            <w:r>
              <w:rPr>
                <w:rFonts w:ascii="Times New Roman" w:hAnsi="Times New Roman" w:eastAsia="Times New Roman"/>
                <w:sz w:val="21"/>
              </w:rPr>
              <w:t>154 часа теоретических занятий + 22 часа практических занятий (11 модулей × 2 часа) + 2 часа итоговой аттестации = 178 часов. В последней колонке учебного плана 24 часа объединяют практику и итоговую аттестацию.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t>IV. Календарный учебный график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14. Типовой календарный график рассчитан на освоение всех модулей. Конкретные даты, время синхронных занятий и сроки выполнения асинхронных заданий устанавливаются расписанием группы. Учебная нагрузка по данному графику не превышает 8 академических часов в день.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AAB3BD"/>
          <w:left w:val="single" w:sz="6" w:color="AAB3BD"/>
          <w:bottom w:val="single" w:sz="6" w:color="AAB3BD"/>
          <w:right w:val="single" w:sz="6" w:color="AAB3BD"/>
          <w:insideH w:val="single" w:sz="6" w:color="AAB3BD"/>
          <w:insideV w:val="single" w:sz="6" w:color="AAB3BD"/>
        </w:tblBorders>
      </w:tblPr>
      <w:tblGrid>
        <w:gridCol w:w="1304"/>
        <w:gridCol w:w="879"/>
        <w:gridCol w:w="879"/>
        <w:gridCol w:w="879"/>
        <w:gridCol w:w="879"/>
        <w:gridCol w:w="879"/>
        <w:gridCol w:w="737"/>
        <w:gridCol w:w="737"/>
        <w:gridCol w:w="879"/>
      </w:tblGrid>
      <w:tr>
        <w:trPr>
          <w:tblHeader w:val="true"/>
          <w:cantSplit/>
        </w:trPr>
        <w:tc>
          <w:tcPr>
            <w:tcW w:type="dxa" w:w="1304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Неделя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Пн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Вт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Ср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Чт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Пт</w:t>
            </w:r>
          </w:p>
        </w:tc>
        <w:tc>
          <w:tcPr>
            <w:tcW w:type="dxa" w:w="737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Сб</w:t>
            </w:r>
          </w:p>
        </w:tc>
        <w:tc>
          <w:tcPr>
            <w:tcW w:type="dxa" w:w="737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Вс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Итого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 неделя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</w:t>
            </w:r>
          </w:p>
        </w:tc>
      </w:tr>
      <w:tr>
        <w:trPr>
          <w:cantSplit/>
        </w:trPr>
        <w:tc>
          <w:tcPr>
            <w:tcW w:type="dxa" w:w="1304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 неделя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737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 неделя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</w:t>
            </w:r>
          </w:p>
        </w:tc>
      </w:tr>
      <w:tr>
        <w:trPr>
          <w:cantSplit/>
        </w:trPr>
        <w:tc>
          <w:tcPr>
            <w:tcW w:type="dxa" w:w="1304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 неделя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737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 неделя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ИА · 2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18</w:t>
            </w:r>
          </w:p>
        </w:tc>
      </w:tr>
      <w:tr>
        <w:trPr>
          <w:cantSplit/>
        </w:trPr>
        <w:tc>
          <w:tcPr>
            <w:tcW w:type="dxa" w:w="1304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737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737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178</w:t>
            </w:r>
          </w:p>
        </w:tc>
      </w:tr>
    </w:tbl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Обозначение «ИА · 2» — итоговая аттестация продолжительностью 2 академических часа. Перерывы и продолжительность синхронных сессий указываются в расписании и не входят в объем академических часов.</w:t>
      </w:r>
    </w:p>
    <w:p>
      <w:pPr>
        <w:pStyle w:val="Heading1"/>
        <w:keepNext/>
        <w:keepLines/>
      </w:pPr>
      <w:r>
        <w:t>V. Содержание программы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15. Программа основана на модульном принципе и включает обязательный общепрофессиональный модуль, формирующий базовые знания в области пожарной безопасности.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16. Профессиональные модули направлены на приобретение знаний и умений, необходимых для выполнения трудовых функций по монтажу, техническому обслуживанию и ремонту средств обеспечения пожарной безопасности зданий и сооружений.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17. Срок освоения каждого модуля составляет 16 академических часов: 14 часов теоретических занятий и 2 часа практического занятия. Текущий контроль проводится в ходе занятий; промежуточная аттестация проводится в форме теста по каждому модулю в пределах 14 часов теоретических занятий и не увеличивает объем модуля и общий объем Программы.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18. Учебные материалы, задания, контрольные мероприятия и взаимодействие с преподавателем доступны через ЭИОС. Практические занятия проводятся в форме документарных ситуационных задач с загрузкой ответа в ЭИОС.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19. Изучение темы об охране окружающей среды, охране труда и технике безопасности осуществляется применительно ко всем профессиональным модулям.</w:t>
      </w:r>
    </w:p>
    <w:p>
      <w:r>
        <w:br w:type="page"/>
      </w:r>
    </w:p>
    <w:p>
      <w:pPr>
        <w:pStyle w:val="Heading1"/>
        <w:keepNext/>
        <w:keepLines/>
      </w:pPr>
      <w:r>
        <w:t>VI. Содержание модулей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Содержание ниже воспроизводит структуру и предметный охват приложения № 3 к приказу МЧС России от 15.11.2022 № 1156. Нумерация пунктов 17.1–27 сохранена для прямого сопоставления с Типовой программой.</w:t>
      </w:r>
    </w:p>
    <w:p>
      <w:pPr>
        <w:pStyle w:val="Heading2"/>
        <w:spacing w:before="200"/>
        <w:keepNext/>
        <w:keepLines/>
      </w:pPr>
      <w:r>
        <w:t>17.1. Содержание учебной темы "Общие вопросы организации обучения".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Организация учебного процесса. Расписание занятий. Противопожарный инструктаж. Цель, задачи и программа курса обучения. Актуальность курса. Требования к знаниям, умениям и навыкам специалиста по пожарной безопасности.</w:t>
      </w:r>
    </w:p>
    <w:p>
      <w:pPr>
        <w:pStyle w:val="Heading2"/>
        <w:spacing w:before="200"/>
        <w:keepNext/>
        <w:keepLines/>
      </w:pPr>
      <w:r>
        <w:t>17.2. Содержание учебной темы "Организационные основы обеспечения пожарной безопасности в Российской Федерации".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1. "Государственное регулирование в области пожарной безопасности".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Система обеспечения пожарной безопасности в Российской Федерации. Цель создания и основные функции системы обеспечения пожарной безопасности в Российской Федерации. Основные элементы системы обеспечения пожарной безопасности в Российской Федерации.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Нормативное правовое регулирование в области пожарной безопасности. Механизм правового регулирования общественных отношений в области пожарной безопасности. Система нормативных правовых актов в области пожарной безопасности. Техническое регулирование в области пожарной безопасности. Требования пожарной безопасности. Система нормативных документов по пожарной безопасности.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Правоприменительная практика в области пожарной безопасности. Акты судебной власти.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2. "Субъекты правоотношений в области пожарной безопасности, их полномочия и ответственность".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Полномочия органов государственной власти, органов местного самоуправления и организаций в области обеспечения пожарной безопасности.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Права, обязанности и ответственность должностных лиц в области обеспечения пожарной безопасности.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Права, обязанности и ответственность лиц, осуществляющих трудовую или служебную деятельность в организациях, в области обеспечения пожарной безопасности.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Права и ответственность граждан в области обеспечения пожарной безопасности.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3. "Федеральный государственный пожарный надзор".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Нормативные правовые акты, регулирующие исполнение государственной функции по надзору за выполнением обязательных требований пожарной безопасности. Организационная структура, полномочия и функции органов государственного пожарного надзора. Права и обязанности должностных лиц органов государственного пожарного надзора. Права и обязанности лиц, в отношении которых осуществляются мероприятия по надзору. Порядок осуществления федерального государственного пожарного надзора.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Риск-ориентированный подход. Отнесение объектов защиты к категории риска. Планирование мероприятий по контролю в зависимости от присвоенной объекту защиты категории риска. Профилактика нарушения обязательных требований пожарной безопасности.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4. "Лицензирование в области пожарной безопасности".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Цели лицензирования в области пожарной безопасности. Лицензируемые виды деятельности в области пожарной безопасности. Порядок проведения лицензирования в области пожарной безопасности. Лицензионные требования изучаются по действующей редакции Положения, утвержденного постановлением Правительства Российской Федерации от 28.07.2020 № 1128. Осуществление контроля за соблюдением лицензиатом лицензионных требований.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5. "Подтверждение соответствия объектов защиты (продукции) требованиям пожарной безопасности".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Цели осуществления подтверждения соответствия. Принципы осуществления оценки соответствия. Общие положения о подтверждении соответствия объектов защиты (продукции) требованиям пожарной безопасности. Перечни продукции и схемы подтверждения соответствия продукции требованиям пожарной безопасности. Общие требования к порядку проведения сертификации. Способы идентификации для выявления фальсификата (контрафакта).</w:t>
      </w:r>
    </w:p>
    <w:p>
      <w:pPr>
        <w:pStyle w:val="Heading2"/>
        <w:spacing w:before="200"/>
        <w:keepNext/>
        <w:keepLines/>
      </w:pPr>
      <w:r>
        <w:t>17.3. Содержание учебной темы "Пожары. Классификация пожаров. Опасные факторы пожаров".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1. "Пожары. Виды, классификация пожаров".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сведения о горении. Возникновение и развитие пожара. Классификация пожаров. Основные причины пожаров. Статистика пожаров. Краткая статистика пожаров в регионе, муниципальном образовании, в организациях различной отраслевой направленности. Пожары и возгорания, которые произошли непосредственно в организации (в цехе, на участке, рабочем месте, в жилых помещениях), анализ причин их возникновения.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2. "Опасные факторы пожара".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 опасных факторов пожара. Воздействие опасных факторов пожара. Предельно допустимые значения опасных факторов пожара.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3. "Категорирование помещений, зданий и наружных установок по взрывопожарной и пожарной опасности".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Методика анализа пожарной опасности технологических процессов. Классификация технологического оборудования и его пожарная опасность.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 помещений, зданий и наружных установок по взрывопожарной и пожарной опасности. Характеристика и принципы категорирования помещений, зданий и наружных установок.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Определение категорий помещений и зданий по взрывопожарной и пожарной опасности.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4. "Требование к электрооборудованию в пожароопасных и взрывоопасных зонах".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 помещений, пожароопасных и взрывоопасных зон. Классификация взрывоопасных смесей.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 электрооборудования по пожаровзрывоопасности и пожарной опасности. Степени защиты оболочек электрооборудования. Виды и уровни взрывозащиты. Маркировка взрывозащищенного электрооборудования. Требования к выбору, монтажу и эксплуатации электрооборудования в взрывоопасных и пожароопасных зонах.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5. "Требования к питанию электроприемников и электрооборудованию систем противопожарной защиты".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Электроснабжение систем автоматической противопожарной защиты. Расчет электроснабжения. Требования к прокладке кабельных трасс и соединительным линиям.</w:t>
      </w:r>
    </w:p>
    <w:p>
      <w:pPr>
        <w:pStyle w:val="Heading2"/>
        <w:spacing w:before="200"/>
        <w:keepNext/>
        <w:keepLines/>
      </w:pPr>
      <w:r>
        <w:t>17.4. Содержание учебной темы "Требования по охране окружающей среды, охране труда и технике безопасности при выполнении работ".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1. "Основные нормативные правовые акты по охране труда".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Основные требования охраны труда при проведении работ по монтажу, ремонту и обслуживанию установок пожаротушения, пожарной сигнализации, систем дымоудаления, оповещения и управления эвакуацией при пожаре. Порядок расследования и учета несчастных случаев на производстве. Влияние на организм человека метеорологических условий (температуры, влажности, скорости движения воздуха), газов и пыли. Требования к освещенности рабочего места, к питьевой воде. Режим труда и отдыха, личная гигиена рабочего. Опасность поражения электрическим током. Основные меры защиты от поражения электрическим током.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2. "Первая помощь".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Понятие первая помощь, мероприятия по оказанию первой помощи. Средства первой помощи. Алгоритм сердечно-легочной реанимации. Первая помощь при различных состояниях.</w:t>
      </w:r>
    </w:p>
    <w:p>
      <w:pPr>
        <w:pStyle w:val="Heading2"/>
        <w:spacing w:before="200"/>
        <w:keepNext/>
        <w:keepLines/>
      </w:pPr>
      <w:r>
        <w:t>18. Содержание профессионального модуля "Монтаж, техническое обслуживание и ремонт систем пожаротушения и их элементов,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Основные сведения об автоматической установке пожаротушения (далее - АУП): краткие сведения из истории развития, назначение, область применения, классификация.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Назначение, область применения, классификация АУП, выбор АУП для защиты объекта.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Область применения, классификация и состав автоматической установки водяного пожаротушения (далее - АУВП).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Конструктивные особенности элементов и узлов (оросители, пеногенераторы, узлы управления, водопитатели, дозаторы, приборы контроля, управление и сигнализация).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Устройство и алгоритм работы водозаполненных спринклерных, воздушных спринклерных АУВП, дренчерных АУВП с электрическим пуском, спринклерно-дренчерных АУП. Способы проверки работоспособности. Гидравлический расчет.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Основные сведения о роботизированных установках и установках тушения тонкораспыленной водой.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 установок водяного и пенного пожаротушения.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Виды газовых огнетушащих веществ и их особенности. Область применения, требования нормативных документов. Состав модульных АУП, структурные схемы, алгоритмы функционирования с учетом обеспечения безопасности человека и эффективности тушения. Конструктивные особенности элементов и узлов. Требования к аппаратуре управления. Расчет массы огнетушащего вещества.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Виды огнетушащих порошков и аэрозолей. Область применения, состав модульных АУП, структурные схемы, алгоритмы функционирования с учетом обеспечения безопасности человека и эффективности тушения (в дежурном режиме, в автоматическом режиме пуска при пожаре, в ручном режиме пуска при пожаре).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нормативных документов. Требования к аппаратуре управления. Классификации модулей и генераторов. Конструктивные особенности элементов и узлов.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 установок газового, порошкового и аэрозольного пожаротушения.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Техническое обслуживание автоматических установок пожаротушения. Виды и периодичность технического обслуживания.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Методика проверки технического состояния и работоспособности установок автоматического пожаротушения.</w:t>
      </w:r>
    </w:p>
    <w:p>
      <w:pPr>
        <w:pStyle w:val="Heading2"/>
        <w:spacing w:before="200"/>
        <w:keepNext/>
        <w:keepLines/>
      </w:pPr>
      <w:r>
        <w:t>19. Содержание профессионального модуля "Монтаж, техническое обслуживание и ремонт систем пожарной и охранно-пожарной сигнализации и их элементов,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Основные нормативно-технические документы, регламентирующие внедрение, монтаж и эксплуатацию систем пожарной сигнализации (далее - СПС).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Назначение СПС. Нормативное обоснование типа установки пожарной автоматики для защиты объекта. Классификация и основные параметры СПС. Основные принципы построения СПС. Пожарные извещатели: назначение, область применения, классификация, устройство, требования к выбору и размещению.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Приемно-контрольные приборы пожарной сигнализации и оборудование, используемые в СПС.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Зоны контроля пожарной сигнализации. Алгоритмы принятия решения о пожаре. Защита от ложных срабатываний. Автоматизация систем противопожарной защиты.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к монтажу СПС: подготовительные работы, входной контроль, материально-технические ресурсы, технология выполнения работ, приемка работ, пусконаладочные работы.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к эксплуатации, техническому обслуживанию и ремонту СПС.</w:t>
      </w:r>
    </w:p>
    <w:p>
      <w:pPr>
        <w:pStyle w:val="Heading2"/>
        <w:spacing w:before="200"/>
        <w:keepNext/>
        <w:keepLines/>
      </w:pPr>
      <w:r>
        <w:t>20. Содержание профессионального модуля "Монтаж, техническое обслуживание и ремонт систем противопожарного водоснабжения и их элементов,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пожарной безопасности к системам наружного и внутреннего противопожарного водопровода.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Обеспечение надежности работы систем противопожарного водоснабжения. Конструктивные решения, обеспечивающие надежную работу водоводов и водопроводной сети. Трассировка сети, устройство водопроводной сети. Размещение пожарных гидрантов на водопроводных сетях. Определение требуемого расстояния между пожарными гидрантами.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Классификация, основные элементы и схемы внутренних водопроводов. Обоснование требуемых величин расходов и напоров воды на внутреннее пожаротушение. Конструктивные решения, обеспечивающие надежную работу внутренних водопроводов. Размещение внутренних пожарных кранов.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техническому обслуживанию и ремонту систем противопожарного водоснабжения.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Водоотдача водопроводных сетей. Практическое определение водоотдачи для целей пожаротушения. Методика испытаний внутреннего и наружного противопожарного водопровода на водоотдачу. Причины снижения водоотдачи и способы улучшения противопожарного водоснабжения.</w:t>
      </w:r>
    </w:p>
    <w:p>
      <w:pPr>
        <w:pStyle w:val="Heading2"/>
        <w:spacing w:before="200"/>
        <w:keepNext/>
        <w:keepLines/>
      </w:pPr>
      <w:r>
        <w:t>21. Содержание профессионального модуля "Монтаж, техническое обслуживание и ремонт автоматических систем (элементов автоматических систем) противодымной вентиляции,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Назначение, область применения, виды, основные элементы и работа установок противодымной защиты объектов. Режимы управления. Рекомендации по выбору установок противодымной защиты.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Техническое обслуживание установок противодымной защиты объектов. Виды и периодичность технического обслуживания. Методика проверки технического состояния и работоспособности.</w:t>
      </w:r>
    </w:p>
    <w:p>
      <w:pPr>
        <w:pStyle w:val="Heading2"/>
        <w:spacing w:before="200"/>
        <w:keepNext/>
        <w:keepLines/>
      </w:pPr>
      <w:r>
        <w:t>22. Содержание профессионального модуля "Монтаж, техническое обслуживание и ремонт систем оповещения и эвакуации при пожаре и их элементов, включая диспетчеризацию и проведение пусконаладочных работ, в том числе фотолюминесцентных эвакуационных систем и их элементов".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нормативных документов к системам оповещения и управления эвакуацией людей при пожаре. Определение типов и характеристик систем оповещения.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нормативных документов к монтажу технических средств систем оповещения. Особенности размещения звуковых, речевых и световых оповещателей. Акустический расчет, расчет электрических параметров: максимальная нагрузка на реле, длина и сечения кабеля, потери напряжения. Измерение уровня звукового давления.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Нормативные требования к кабельным линиям систем оповещения, особенности их выбора и монтажа.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Алгоритмы работы систем оповещения. Аварийное и эвакуационное освещение. Размещение оборудования обратной связи с зонами пожарного оповещения.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 систем оповещения.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Техническое обслуживание систем оповещения. Виды и периодичность технического обслуживания систем оповещения людей о пожаре. Методика проверки технического состояния и работоспособности систем оповещения людей о пожаре. Основные требования к проверке технического состояния систем оповещения людей о пожаре. Правила использования систем оповещения при возникновении пожара на объекте.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пожарной безопасности к путям эвакуации. Классификация элементов фотолюминесцентной эвакуационной системы и знаков безопасности. Требования к элементам фотолюминесцентной эвакуационной системы и к их размещению. Методы контроля за элементами фотолюминесцентной эвакуационной системы. Определение фотометрических характеристик элементов фотолюминесцентной эвакуационной системы на стадии эксплуатации. Правила монтажа фотолюминесцентных эвакуационных систем.</w:t>
      </w:r>
    </w:p>
    <w:p>
      <w:pPr>
        <w:pStyle w:val="Heading2"/>
        <w:spacing w:before="200"/>
        <w:keepNext/>
        <w:keepLines/>
      </w:pPr>
      <w:r>
        <w:t>23. Содержание профессионального модуля "Монтаж, техническое обслуживание и ремонт автоматических систем (элементов автоматических систем) передачи извещений о пожаре,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Назначение, область применения, виды, основные элементы и работа автоматических систем передачи извещений о пожаре. Режимы управления. Рекомендации по выбору автоматических систем передачи извещений о пожаре.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Техническое обслуживание автоматических систем передачи извещений о пожаре. Виды и периодичность технического обслуживания. Методика проверки технического состояния и работоспособности.</w:t>
      </w:r>
    </w:p>
    <w:p>
      <w:pPr>
        <w:pStyle w:val="Heading2"/>
        <w:spacing w:before="200"/>
        <w:keepNext/>
        <w:keepLines/>
      </w:pPr>
      <w:r>
        <w:t>24. Содержание профессионального модуля "Монтаж, техническое обслуживание и ремонт противопожарных занавесов и завес,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Классификация, конструктивное исполнение и обслуживание противопожарных занавесов и завес.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нормативно-технической документации по монтажу противопожарных занавесов и завес.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Принципы построения и аппаратура управления (автоматика) противопожарных занавесов и завес.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 xml:space="preserve">Дистанционное документированное наблюдение работы противопожарного занавеса по видеодемонстрации и технической документации: состав узлов, состояния полотна, аппаратура управления, обратная связь и защитные блокировки. Слушатель фиксирует источник, фрагмент или раздел, наблюдение и границы вывода, затем выполняет письменный анализ учебного технического досье. Учебные данные моделируют производственные условия по пункту 34 приложения № 3 к приказу МЧС России № 1156; очные работы, выезд и физические действия на оборудовании слушателем не выполняются. Содержание темы соотносится с пунктом 24 приложения № 3; описание учебного формата не удостоверяет посещение реального объекта.</w:t>
      </w:r>
    </w:p>
    <w:p>
      <w:pPr>
        <w:pStyle w:val="Heading2"/>
        <w:spacing w:before="200"/>
        <w:keepNext/>
        <w:keepLines/>
      </w:pPr>
      <w:r>
        <w:t>25. Содержание профессионального модуля "Монтаж, техническое обслуживание и ремонт заполнений проемов в противопожарных преградах".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Виды, типы и классификация противопожарных преград. Требования нормативно-технической документации по заполнению проемов в противопожарных преградах.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Классификация, конструктивное исполнение заполнения проемов в противопожарных преградах. Двери, ворота, люки, окна, занавесы, шторы. Требования к монтажу и техническому обслуживанию элементов заполнений проемов в противопожарных преградах. Заделка кабельных проходок в противопожарных преградах. Противопожарные клапаны.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Принципы построения и аппаратура управления (автоматика) элементов заполнений проемов в противопожарных преградах.</w:t>
      </w:r>
    </w:p>
    <w:p>
      <w:pPr>
        <w:pStyle w:val="Heading2"/>
        <w:spacing w:before="200"/>
        <w:keepNext/>
        <w:keepLines/>
      </w:pPr>
      <w:r>
        <w:t>26. Содержание профессионального модуля "Выполнение работ по огнезащите материалов, изделий и конструкций".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Способы и средства повышения огнестойкости строительных конструкций. Виды огнезащитных средств и способов и их классификация. Механизмы действия и выбор огнезащитных средств. Химические и физические (поверхностные) способы огнезащиты строительных конструкций. Сравнительная эффективность различных видов огнезащиты. Методы испытаний на огнезащитную эффективность. Идентификация средств огнезащиты методами термического анализа.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Оборудование и инструменты, применяемые при производстве работ. Подготовка поверхности конструкций. Нанесение огнезащитного покрытия. Нанесение покрывных материалов. Ремонт повреждений покрытия. Требования безопасности при проведении работ. Правила обращения с токсичными веществами. Охрана окружающей среды при проведении работ.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Виды контроля. Входной контроль. Операционный контроль. Контроль качества подготовки поверхности. Контроль климатических условий. Контроль качества подготовки материала. Контроль качества нанесения материала. Контроль готового покрытия.</w:t>
      </w:r>
    </w:p>
    <w:p>
      <w:pPr>
        <w:pStyle w:val="Heading2"/>
        <w:spacing w:before="200"/>
        <w:keepNext/>
        <w:keepLines/>
      </w:pPr>
      <w:r>
        <w:t>27. Содержание профессионального модуля "Монтаж, техническое обслуживание и ремонт первичных средств пожаротушения".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нормативно-технической документации по оснащению зданий и сооружений первичными средствами пожаротушения.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Огнетушители: типы, основные параметры, технические характеристики. Применение огнетушителей в производственных, складских и общественных зданиях и сооружениях. Техническое обслуживание и ремонт огнетушителей.</w:t>
      </w:r>
    </w:p>
    <w:p>
      <w:r>
        <w:br w:type="page"/>
      </w:r>
    </w:p>
    <w:p>
      <w:pPr>
        <w:pStyle w:val="Heading1"/>
        <w:keepNext/>
        <w:keepLines/>
      </w:pPr>
      <w:r>
        <w:t>VII. Планируемые результаты освоения программы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28. Программа совершенствует в рамках имеющейся квалификации следующие профессиональные компетенции слушателя: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AAB3BD"/>
          <w:left w:val="single" w:sz="6" w:color="AAB3BD"/>
          <w:bottom w:val="single" w:sz="6" w:color="AAB3BD"/>
          <w:right w:val="single" w:sz="6" w:color="AAB3BD"/>
          <w:insideH w:val="single" w:sz="6" w:color="AAB3BD"/>
          <w:insideV w:val="single" w:sz="6" w:color="AAB3BD"/>
        </w:tblBorders>
      </w:tblPr>
      <w:tblGrid>
        <w:gridCol w:w="2381"/>
        <w:gridCol w:w="4762"/>
        <w:gridCol w:w="2098"/>
      </w:tblGrid>
      <w:tr>
        <w:trPr>
          <w:tblHeader w:val="true"/>
          <w:cantSplit/>
        </w:trPr>
        <w:tc>
          <w:tcPr>
            <w:tcW w:type="dxa" w:w="2381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Компетенция</w:t>
            </w:r>
          </w:p>
        </w:tc>
        <w:tc>
          <w:tcPr>
            <w:tcW w:type="dxa" w:w="4762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Качественное изменение по результатам обучения</w:t>
            </w:r>
          </w:p>
        </w:tc>
        <w:tc>
          <w:tcPr>
            <w:tcW w:type="dxa" w:w="2098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Связь с модулями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Организация и безопасное выполнение работ</w:t>
            </w:r>
          </w:p>
        </w:tc>
        <w:tc>
          <w:tcPr>
            <w:tcW w:type="dxa" w:w="4762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планировать и выполнять монтаж, пусконаладку, техническое обслуживание и ремонт средств обеспечения пожарной безопасности с учетом обязательных требований, документации изготовителя и требований охраны труда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общепрофессиональный модуль и профессиональные модули 2–11</w:t>
            </w:r>
          </w:p>
        </w:tc>
      </w:tr>
      <w:tr>
        <w:trPr>
          <w:cantSplit/>
        </w:trPr>
        <w:tc>
          <w:tcPr>
            <w:tcW w:type="dxa" w:w="238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Анализ технической и проектной документации</w:t>
            </w:r>
          </w:p>
        </w:tc>
        <w:tc>
          <w:tcPr>
            <w:tcW w:type="dxa" w:w="4762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оценивать проектные решения, схемы, алгоритмы, исходные данные и техническую документацию в части соблюдения требований пожарной безопасности</w:t>
            </w:r>
          </w:p>
        </w:tc>
        <w:tc>
          <w:tcPr>
            <w:tcW w:type="dxa" w:w="2098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общепрофессиональный модуль и профессиональные модули 2–11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Диагностика, испытания и контроль работоспособности</w:t>
            </w:r>
          </w:p>
        </w:tc>
        <w:tc>
          <w:tcPr>
            <w:tcW w:type="dxa" w:w="4762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выявлять неисправности, выбирать контрольные операции, проводить проверки и испытания, оценивать результаты и обосновывать корректирующие действия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профессиональные модули 2–11</w:t>
            </w:r>
          </w:p>
        </w:tc>
      </w:tr>
      <w:tr>
        <w:trPr>
          <w:cantSplit/>
        </w:trPr>
        <w:tc>
          <w:tcPr>
            <w:tcW w:type="dxa" w:w="238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Документирование результатов</w:t>
            </w:r>
          </w:p>
        </w:tc>
        <w:tc>
          <w:tcPr>
            <w:tcW w:type="dxa" w:w="4762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оформлять журналы, акты, протоколы, дефектные ведомости, расчетные листы и иные результаты монтажа, наладки, обслуживания и ремонта</w:t>
            </w:r>
          </w:p>
        </w:tc>
        <w:tc>
          <w:tcPr>
            <w:tcW w:type="dxa" w:w="2098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общепрофессиональный модуль и профессиональные модули 2–11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Применение инженерных и цифровых средств</w:t>
            </w:r>
          </w:p>
        </w:tc>
        <w:tc>
          <w:tcPr>
            <w:tcW w:type="dxa" w:w="4762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применять инженерные расчеты, специальное программное обеспечение, цифровые модели и средства диагностики при решении профессиональных задач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профессиональные модули 2–11</w:t>
            </w:r>
          </w:p>
        </w:tc>
      </w:tr>
    </w:tbl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Обозначения компетенций в таблице являются внутренним описанием результатов настоящей Программы и не подменяют формулировки Типовой программы.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29. В результате освоения Программы слушатель должен знать: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организационные основы обеспечения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законодательные и иные нормативные правовые акты Российской Федерации по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технические регламенты и нормативные документы по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нормы и требования общеотраслевых, отраслевых правил, регламентов и локальных нормативных документов по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принципы построения, конструкции и особенности функционирования систем противопожарной защиты зданий и сооружений и предупреждения пожаровзрывоопасных ситуаций;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нормативные документы по монтажу, ремонту, наладке, эксплуатации и обслуживанию систем противопожарной защиты зданий и сооружений.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30. Слушатель должен уметь: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проводить оценку проектной документации в части соблюдения требований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применять полученные знания при монтаже, ремонте, наладке, эксплуатации и обслуживании систем противопожарной защиты зданий и сооружений;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выявлять неисправности по схемам, измерениям и журналам событий и обосновывать корректирующие действия;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оформлять результаты проверок, испытаний и технического обслуживания.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31. Слушатель должен владеть: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методами инженерных расчетов и решений в области разработки основных технических мероприятий, монтажа, ремонта, наладки, эксплуатации и обслуживания средств обеспечения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приемами безопасного выполнения работ и контроля качества;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навыками применения специального программного обеспечения и цифровых средств диагностики.</w:t>
      </w:r>
    </w:p>
    <w:p>
      <w:pPr>
        <w:pStyle w:val="Heading1"/>
        <w:keepNext/>
        <w:keepLines/>
      </w:pPr>
      <w:r>
        <w:t>VIII. Организационно-педагогические условия реализации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32. Реализация Программы должна обеспечить приобретение знаний и умений, необходимых для выполнения работ по монтажу, техническому обслуживанию и ремонту средств обеспечения пожарной безопасности зданий и сооружений.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33. Выбор методов обучения для каждого занятия определяется преподавателем с учетом состава и уровня подготовленности группы, сложности материала и продолжительности занятия.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34. Теоретические материалы предоставляются через ЭИОС и сопровождаются примерами, схемами и ссылками на актуальные нормативные документы.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35. Практические занятия закрепляют теоретические знания и формируют умения применять требования, схемы и техническую документацию при решении профессиональных ситуационных задач. Ответ слушатель загружает в ЭИОС.</w:t>
      </w:r>
    </w:p>
    <w:p>
      <w:pPr>
        <w:pStyle w:val="Heading2"/>
        <w:keepNext/>
        <w:keepLines/>
      </w:pPr>
      <w:r>
        <w:t>8.1. Электронная информационно-образовательная среда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Для реализации Программы используется образовательная платформа «Синтагма». До подачи заявления и в течение всего периода реализации ЭИОС обеспечивает: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индивидуальную авторизацию и учет периода, объема и результатов учебной активности каждого слушателя;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доступ к Программе, расписанию, учебным материалам, заданиям, оценочным средствам и нормативным источникам;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взаимодействие слушателей с преподавателем и службой поддержки;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проведение текущего контроля, промежуточной и итоговой аттестации с сохранением результатов;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загрузку ответов на практические задания и фиксацию результатов аттестации;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защиту персональных данных и разграничение прав доступа.</w:t>
      </w:r>
    </w:p>
    <w:p>
      <w:pPr>
        <w:pStyle w:val="Heading2"/>
        <w:keepNext/>
        <w:keepLines/>
      </w:pPr>
      <w:r>
        <w:t>8.2. Идентификация слушателей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Идентификация при доступе к ЭИОС выполняется по индивидуальной учетной записи. При необходимости дополнительная проверка личности проводится одним из способов, предусмотренных локальным актом организации и фактически доступных в ЭИОС. Порядок действий при техническом сбое и хранения результатов установлен локальным актом.</w:t>
      </w:r>
    </w:p>
    <w:p>
      <w:pPr>
        <w:pStyle w:val="Heading2"/>
        <w:keepNext/>
        <w:keepLines/>
      </w:pPr>
      <w:r>
        <w:t>8.3. Кадровые условия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К реализации допускаются педагогические работники, квалификация и опыт которых соответствуют преподаваемому модулю и установленным требованиям. До начала обучения организация утверждает распределение модулей, проверяет документы об образовании, квалификации и трудовом/договорном основании. Персональный состав оформляется распорядительными документами организации до начала реализации Программы.</w:t>
      </w:r>
    </w:p>
    <w:p>
      <w:pPr>
        <w:pStyle w:val="Heading2"/>
        <w:keepNext/>
        <w:keepLines/>
      </w:pPr>
      <w:r>
        <w:t>8.4. Материально-технические и цифровые условия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рабочее место слушателя с устойчивым доступом в Интернет и современным браузером;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платформа ЭИОС со средствами контроля и фиксации результатов;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лицензионные или законно используемые базы нормативных документов и учебные материалы;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ситуационные задания, схемы и техническая документация по темам модулей;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канал технической поддержки и резервный порядок продолжения занятия при сбое.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1"/>
      </w:tblGrid>
      <w:tr>
        <w:trPr>
          <w:cantSplit/>
          <w:tblHeader/>
        </w:trPr>
        <w:tc>
          <w:tcPr>
            <w:tcW w:type="dxa" w:w="9241"/>
            <w:shd w:fill="EEF2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  <w:keepNext/>
            </w:pPr>
            <w:r>
              <w:rPr>
                <w:rFonts w:ascii="Times New Roman" w:hAnsi="Times New Roman" w:eastAsia="Times New Roman"/>
                <w:b/>
                <w:sz w:val="21"/>
              </w:rPr>
              <w:t>Контроль готовности</w:t>
            </w:r>
          </w:p>
          <w:p>
            <w:pPr>
              <w:spacing w:after="0"/>
              <w:keepNext/>
            </w:pPr>
            <w:r>
              <w:rPr>
                <w:rFonts w:ascii="Times New Roman" w:hAnsi="Times New Roman" w:eastAsia="Times New Roman"/>
                <w:sz w:val="21"/>
              </w:rPr>
              <w:t>Доступность перечисленных ресурсов проверяется до подачи заявления, перед началом каждой группы и при обновлении курса; результат проверки оформляется внутренним актом.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8.5. Учебно-методическое и информационное обеспечение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актуальные нормативные правовые акты и нормативные документы по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руководства по эксплуатации, схемы, регламенты и образцы технической документации;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методические указания к каждой практической работе, критерии и формы фиксации результата;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банк тестовых и ситуационных заданий, утвержденный в составе оценочных материалов.</w:t>
      </w:r>
    </w:p>
    <w:p>
      <w:pPr>
        <w:pStyle w:val="Heading1"/>
        <w:keepNext/>
        <w:keepLines/>
      </w:pPr>
      <w:r>
        <w:t>IX. Оценка качества освоения программы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>36. Оценка качества освоения включает текущий контроль успеваемости, промежуточную аттестацию по каждому модулю и итоговую аттестацию.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>37. Текущий контроль проводится в ходе изучения теоретического материала посредством контрольных вопросов, мини-тестов и разбора ситуаций. Его результаты используются для обратной связи и допуска к практическому заданию.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 xml:space="preserve">38. Промежуточный тест каждого модуля содержит 5 вопросов с одним правильным ответом: зачет — не менее 4 правильных ответов (не менее 70% с округлением количества правильных ответов вверх). Дистанционная самостоятельная работа каждого модуля оценивается отдельно преподавателем. К итоговой аттестации допускается слушатель, получивший зачет по всем 11 модульным тестам и положительную оценку всех 11 самостоятельных работ.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>39. Итоговая аттестация проводится в форме комплексного экзамена продолжительностью 2 академических часа и включает: (1) тестирование теоретической подготовки; (2) решение практико-ориентированной ситуационной задачи. Идентификация и ход экзамена фиксируются установленным локальным порядком.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 xml:space="preserve">40. Итоговый тест содержит 12 вопросов с одним правильным ответом: необходимо не менее 9 правильных ответов (не менее 70% с округлением вверх). Итоговая оценка «зачтено» требует одновременно успешного теста и положительной оценки письменной комплексной задачи. Общая продолжительность итоговой аттестации — 2 академических часа: 30 минут тестирование и 60 минут письменная задача. Существенная ошибка в обязательном расчете, вывод без опоры на данные либо опасное решение означает «не зачтено» по задаче; правильное установление неполноты данных является допустимым результатом.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 xml:space="preserve">41. К итоговой аттестации допускаются лица, выполнившие условия пункта 38. Состав аттестационной комиссии назначается организацией до аттестации. Вопросы, письменное задание и критерии приведены в утверждаемом одновременно ФОС.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>42. Лицам, успешно освоившим Программу и прошедшим итоговую аттестацию, выдается удостоверение о повышении квалификации. Лицам, не прошедшим итоговую аттестацию, получившим неудовлетворительный результат, освоившим часть Программы или отчисленным, выдается справка об обучении или периоде обучения.</w:t>
      </w:r>
    </w:p>
    <w:p>
      <w:r>
        <w:br w:type="page"/>
      </w:r>
    </w:p>
    <w:p>
      <w:pPr>
        <w:pStyle w:val="Heading1"/>
        <w:keepNext/>
        <w:keepLines/>
      </w:pPr>
      <w:r>
        <w:t>Приложение 1. Матрица практических занятий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1"/>
      </w:tblGrid>
      <w:tr>
        <w:trPr>
          <w:cantSplit/>
          <w:tblHeader/>
        </w:trPr>
        <w:tc>
          <w:tcPr>
            <w:tcW w:type="dxa" w:w="9241"/>
            <w:shd w:fill="EEF2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  <w:keepNext/>
            </w:pPr>
            <w:r>
              <w:rPr>
                <w:rFonts w:ascii="Times New Roman" w:hAnsi="Times New Roman" w:eastAsia="Times New Roman"/>
                <w:b/>
                <w:sz w:val="21"/>
              </w:rPr>
              <w:t>Объем</w:t>
            </w:r>
          </w:p>
          <w:p>
            <w:pPr>
              <w:spacing w:after="0"/>
              <w:keepNext/>
            </w:pPr>
            <w:r>
              <w:rPr>
                <w:rFonts w:ascii="Times New Roman" w:hAnsi="Times New Roman" w:eastAsia="Times New Roman"/>
                <w:sz w:val="21"/>
              </w:rPr>
              <w:t>11 практических занятий × 2 академических часа = 22 академических часа. Каждое занятие представляет документарный ситуационный кейс; слушатель загружает обоснованный ответ в ЭИОС.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1. Общепрофессиональный модуль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Определить применимые требования, риски и безопасную последовательность работ по заданной производственной ситуации.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Требования выбраны верно; риски и меры безопасности обоснованы.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2. Системы пожаротушения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схеме системы определить состав, последовательность монтажа и пусконаладки, выявить дефекты и предложить обслуживание.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Логика системы сохранена; дефекты и действия определены обоснованно.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3. Пожарная и охранно-пожарная сигнализация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схеме и журналу событий определить зоны, алгоритм работы и причину отказа, предложить способ проверки.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Причина отказа и контрольные действия определены верно.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4. Противопожарное водоснабжение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схеме и результатам измерений выбрать точки контроля и сформировать вывод о работоспособности.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Расчет и единицы измерения верны; вывод следует из исходных данных.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5. Противодымная вентиляция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сценарию пожара и таблице состояний проверить алгоритм запуска, локализовать неисправность и предложить пусконаладочные действия.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Алгоритм и взаимоблокировки учтены; действие безопасно.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6. Оповещение, эвакуация и ФЭС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плану объекта определить очередность оповещения, маршруты эвакуации и контрольные точки ФЭС.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Очередность и решения обоснованы и не противоречат исходным данным.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7. Передача извещений о пожаре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схеме каналов и перечню событий проверить адресацию, резервирование и определить причину потери связи.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События и причина отказа определены; восстановление обосновано.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8. Противопожарные занавесы и завесы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 xml:space="preserve">По видеодемонстрации, схеме и техническому описанию зафиксировать наблюдения с указанием источника; определить узлы, аппаратуру управления, защитные блокировки и порядок проверки; отделить наблюдаемое состояние от неподтвержденных предположений.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Обязательные узлы и безопасный порядок проверки определены.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9. Заполнения проемов в противопожарных преградах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описанию, схеме и измерениям проверить маркировку, зазоры, уплотнения и составить дефектную ведомость.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Дефекты распознаны; меры устранения соответствуют нарушениям.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10. Огнезащита материалов, изделий и конструкций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документам и исходным данным рассчитать расход, выбрать контрольные операции и оценить качество покрытия.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Материал идентифицирован; расчет и вывод выполнены верно.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11. Первичные средства пожаротушения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данным объекта и технической документации определить потребность, распознать дефекты и оформить решение об эксплуатации.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Тип и количество обоснованы; дефекты и решение определены безопасно.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keepLines/>
      </w:pPr>
      <w:r>
        <w:t>Приложение 2. Паспорт оценивания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AAB3BD"/>
          <w:left w:val="single" w:sz="6" w:color="AAB3BD"/>
          <w:bottom w:val="single" w:sz="6" w:color="AAB3BD"/>
          <w:right w:val="single" w:sz="6" w:color="AAB3BD"/>
          <w:insideH w:val="single" w:sz="6" w:color="AAB3BD"/>
          <w:insideV w:val="single" w:sz="6" w:color="AAB3BD"/>
        </w:tblBorders>
      </w:tblPr>
      <w:tblGrid>
        <w:gridCol w:w="1701"/>
        <w:gridCol w:w="2381"/>
        <w:gridCol w:w="2891"/>
        <w:gridCol w:w="2268"/>
      </w:tblGrid>
      <w:tr>
        <w:trPr>
          <w:tblHeader w:val="true"/>
          <w:cantSplit/>
        </w:trPr>
        <w:tc>
          <w:tcPr>
            <w:tcW w:type="dxa" w:w="1701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Этап</w:t>
            </w:r>
          </w:p>
        </w:tc>
        <w:tc>
          <w:tcPr>
            <w:tcW w:type="dxa" w:w="2381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Форма</w:t>
            </w:r>
          </w:p>
        </w:tc>
        <w:tc>
          <w:tcPr>
            <w:tcW w:type="dxa" w:w="2891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Что оценивается</w:t>
            </w:r>
          </w:p>
        </w:tc>
        <w:tc>
          <w:tcPr>
            <w:tcW w:type="dxa" w:w="2268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Положительный результат</w:t>
            </w:r>
          </w:p>
        </w:tc>
      </w:tr>
      <w:tr>
        <w:trPr>
          <w:cantSplit/>
        </w:trPr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Текущий контроль</w:t>
            </w:r>
          </w:p>
        </w:tc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Вопросы, мини-тесты, разбор кейсов</w:t>
            </w:r>
          </w:p>
        </w:tc>
        <w:tc>
          <w:tcPr>
            <w:tcW w:type="dxa" w:w="289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Понимание терминов, требований, схем и алгоритмов</w:t>
            </w:r>
          </w:p>
        </w:tc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Результат используется для обратной связи и допуска к практике</w:t>
            </w:r>
          </w:p>
        </w:tc>
      </w:tr>
      <w:tr>
        <w:trPr>
          <w:cantSplit/>
        </w:trPr>
        <w:tc>
          <w:tcPr>
            <w:tcW w:type="dxa" w:w="170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Промежуточная аттестация каждого модуля</w:t>
            </w:r>
          </w:p>
        </w:tc>
        <w:tc>
          <w:tcPr>
            <w:tcW w:type="dxa" w:w="238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Модульный тест</w:t>
            </w:r>
          </w:p>
        </w:tc>
        <w:tc>
          <w:tcPr>
            <w:tcW w:type="dxa" w:w="289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Знания по содержанию модуля</w:t>
            </w:r>
          </w:p>
        </w:tc>
        <w:tc>
          <w:tcPr>
            <w:tcW w:type="dxa" w:w="2268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 менее 70% правильных ответов</w:t>
            </w:r>
          </w:p>
        </w:tc>
      </w:tr>
      <w:tr>
        <w:trPr>
          <w:cantSplit/>
        </w:trPr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Итоговая аттестация, часть 1</w:t>
            </w:r>
          </w:p>
        </w:tc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Контролируемое тестирование</w:t>
            </w:r>
          </w:p>
        </w:tc>
        <w:tc>
          <w:tcPr>
            <w:tcW w:type="dxa" w:w="289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Теоретическая готовность по всем 11 модулям</w:t>
            </w:r>
          </w:p>
        </w:tc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 менее 70% правильных ответов</w:t>
            </w:r>
          </w:p>
        </w:tc>
      </w:tr>
      <w:tr>
        <w:trPr>
          <w:cantSplit/>
        </w:trPr>
        <w:tc>
          <w:tcPr>
            <w:tcW w:type="dxa" w:w="170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Итоговая аттестация, часть 2</w:t>
            </w:r>
          </w:p>
        </w:tc>
        <w:tc>
          <w:tcPr>
            <w:tcW w:type="dxa" w:w="238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Решение практико-ориентированной ситуационной задачи</w:t>
            </w:r>
          </w:p>
        </w:tc>
        <w:tc>
          <w:tcPr>
            <w:tcW w:type="dxa" w:w="289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Диагностика, решение, безопасность, обоснование и документация</w:t>
            </w:r>
          </w:p>
        </w:tc>
        <w:tc>
          <w:tcPr>
            <w:tcW w:type="dxa" w:w="2268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Все обязательные критерии выполнены; критической ошибки нет</w:t>
            </w:r>
          </w:p>
        </w:tc>
      </w:tr>
    </w:tbl>
    <w:p>
      <w:pPr>
        <w:pStyle w:val="Heading2"/>
        <w:keepNext/>
        <w:keepLines/>
      </w:pPr>
      <w:r>
        <w:t>Критическая ошибка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К критической относится действие или решение, которое в заданной ситуации способно создать угрозу жизни и здоровью, вывести из работоспособного состояния систему противопожарной защиты, скрыть неисправность либо нарушить обязательную последовательность безопасного выполнения работ.</w:t>
      </w:r>
    </w:p>
    <w:p>
      <w:pPr>
        <w:pStyle w:val="Heading2"/>
        <w:keepNext/>
        <w:keepLines/>
      </w:pPr>
      <w:r>
        <w:t>Состав фонда оценочных средств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спецификация теоретического банка по всем темам и версия банка;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практико-ориентированные ситуационные задания;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эталоны оформления протоколов, актов, расчетов и дефектных ведомостей;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инструкция по идентификации, фиксации результатов и рассмотрению апелляций;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протоколы промежуточной и итоговой аттестации.</w:t>
      </w:r>
    </w:p>
    <w:p>
      <w:pPr>
        <w:pStyle w:val="Heading2"/>
        <w:spacing w:after="80" w:line="252" w:lineRule="auto"/>
        <w:widowControl/>
        <w:keepNext/>
        <w:pageBreakBefore/>
        <w:keepLines/>
      </w:pPr>
      <w:r>
        <w:rPr>
          <w:sz w:val="24"/>
          <w:b/>
        </w:rPr>
        <w:t xml:space="preserve">Приложение 3. Соответствие тематического комплекта учебному плану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1.1. Государственное регулирование в области пожарной безопасности.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1.2. Субъекты правоотношений в области пожарной безопасности, их полномочия и ответственность.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1.3. Федеральный государственный пожарный надзор.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1.4. Лицензирование в области пожарной безопасности.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1.5. Подтверждение соответствия объектов защиты (продукции) требованиям пожарной безопасности.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2.1. Пожары. Виды, классификация пожаров.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2.2. Опасные факторы пожара.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2.3. Категорирование помещений, зданий и наружных установок по взрывопожарной и пожарной опасности.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2.4. Требование к электрооборудованию в пожароопасных и взрывоопасных зонах.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2.5. Требования к питанию электроприемников и электрооборудованию систем противопожарной защиты.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3.1. Основные нормативные правовые акты по охране труда.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3.2. Первая помощь.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2 · тема 4.1. Монтаж, техническое обслуживание и ремонт систем пожаротушения и их элементов,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3 · тема 4.2. Монтаж, техническое обслуживание и ремонт систем пожарной и охранно- пожарной сигнализации и их элементов,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4 · тема 4.3. Монтаж, техническое обслуживание и ремонт систем противопожарного водоснабжения и их элементов,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5 · тема 4.4. Монтаж, техническое обслуживание и ремонт автоматических систем (элементов автоматических систем) противодымной вентиляции,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6 · тема 4.5. Монтаж, техническое обслуживание и ремонт систем оповещения и эвакуации при пожаре и их элементов, включая диспетчеризацию и проведение пусконаладочных работ, в том числе фотолюминесцентных эвакуационных систем и их элементов.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7 · тема 4.6. Монтаж, техническое обслуживание и ремонт автоматических систем (элементов автоматических систем) передачи извещений о пожаре,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8 · тема 4.7. Монтаж, техническое обслуживание и ремонт противопожарных занавесов и завес,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9 · тема 4.8. Монтаж, техническое обслуживание и ремонт заполнений проемов в противопожарных преградах.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10 · тема 4.9. Выполнение работ по огнезащите материалов, изделий и конструкций.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11 · тема 4.10. Монтаж, техническое обслуживание и ремонт первичных средств пожаротушения.</w:t>
      </w:r>
    </w:p>
    <w:p>
      <w:pPr>
        <w:pStyle w:val="Heading2"/>
        <w:spacing w:after="80" w:line="252" w:lineRule="auto"/>
        <w:widowControl/>
        <w:keepNext/>
        <w:keepLines/>
      </w:pPr>
      <w:r>
        <w:rPr>
          <w:sz w:val="24"/>
          <w:b/>
        </w:rPr>
        <w:t xml:space="preserve">Использование учебных материалов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Темы 1.1–3.2 составляют тематическую основу общего модуля 1; темы 4.1–4.10 распределены последовательно по профессиональным модулям 2–11. Все материалы применяются в актуализированной редакции. Номера тем сохраняются для навигации и не обозначают дополнительные часы. В каждом модуле теория и промежуточный тест занимают 14 часов, самостоятельная практико-ориентированная работа — 2 часа. Подробное распределение содержания и материалов приведено в рабочих программах модулей.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361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color w:val="5E6A78"/>
        <w:sz w:val="17"/>
      </w:rPr>
      <w:t xml:space="preserve">Страница </w:t>
    </w:r>
    <w:r>
      <w:rPr>
        <w:rFonts w:ascii="Times New Roman" w:hAnsi="Times New Roman" w:eastAsia="Times New Roman"/>
        <w:color w:val="5E6A78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4" w:color="B7C0C9"/>
      </w:pBdr>
    </w:pPr>
    <w:r>
      <w:rPr>
        <w:rFonts w:ascii="Times New Roman" w:hAnsi="Times New Roman" w:eastAsia="Times New Roman"/>
        <w:b/>
        <w:color w:val="5E6A78"/>
        <w:sz w:val="17"/>
      </w:rPr>
      <w:t>ООО «Центр средств защиты»</w:t>
    </w:r>
    <w:r>
      <w:rPr>
        <w:rFonts w:ascii="Times New Roman" w:hAnsi="Times New Roman" w:eastAsia="Times New Roman"/>
        <w:color w:val="5E6A78"/>
        <w:sz w:val="17"/>
      </w:rPr>
      <w:t xml:space="preserve">  ·  Дополнительная профессиональная программа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534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534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E6A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25344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xn-----8kcgjebtk6b7abmdihf9c1dzb.xn--p1ai" TargetMode="External"/><Relationship Id="rId12" Type="http://schemas.openxmlformats.org/officeDocument/2006/relationships/hyperlink" Target="https://mchs.gov.ru/dokumenty/7404" TargetMode="External"/><Relationship Id="rId13" Type="http://schemas.openxmlformats.org/officeDocument/2006/relationships/hyperlink" Target="https://publication.pravo.gov.ru/document/0001202607230002" TargetMode="External"/><Relationship Id="rId14" Type="http://schemas.openxmlformats.org/officeDocument/2006/relationships/hyperlink" Target="https://publication.pravo.gov.ru/document/0001202504230011" TargetMode="External"/><Relationship Id="rId15" Type="http://schemas.openxmlformats.org/officeDocument/2006/relationships/hyperlink" Target="https://publication.pravo.gov.ru/document/0001202310120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Дополнительная профессиональная программа повышения квалификации «Деятельность по монтажу, техническому обслуживанию и ремонту средств обеспечения пожарной безопасности зданий и сооружений»</dc:title>
  <dc:subject>178 академических часов; заочная форма; исключительно ЭО и ДОТ</dc:subject>
  <dc:creator>ООО «Центр средств защиты»</dc:creator>
  <cp:keywords>ДПО, повышение квалификации, МЧС, приказ 1156, пожарная безопасность, ЭО, ДОТ</cp:keywords>
  <dc:description>Рабочая редакция от 03.09.2026; утверждается приказом № 4-ОД.</dc:description>
  <cp:lastModifiedBy>ООО «Центр средств защиты»</cp:lastModifiedBy>
  <cp:revision>1</cp:revision>
  <dcterms:created xsi:type="dcterms:W3CDTF">2013-12-23T23:15:00Z</dcterms:created>
  <dcterms:modified xsi:type="dcterms:W3CDTF">2013-12-23T23:15:00Z</dcterms:modified>
  <cp:category/>
</cp:coreProperties>
</file>