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  <w:t>ПРОЕКТ — НА УТВЕРЖДЕНИЕ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КАРТА ОБЯЗАТЕЛЬНЫХ СВЕДЕНИЙ И ДОКУМЕНТОВ ОФИЦИАЛЬНОГО САЙТА</w:t>
      </w:r>
    </w:p>
    <w:p>
      <w:pPr>
        <w:spacing w:after="200"/>
        <w:jc w:val="center"/>
      </w:pPr>
      <w:r>
        <w:rPr>
          <w:rFonts w:ascii="DejaVu Serif" w:hAnsi="DejaVu Serif" w:eastAsia="DejaVu Serif"/>
          <w:i/>
          <w:color w:val="5B6573"/>
          <w:sz w:val="22"/>
        </w:rPr>
        <w:t>Для организации, осуществляющей обучение по дополнительной профессиональной программе</w:t>
      </w:r>
    </w:p>
    <w:p>
      <w:pPr>
        <w:spacing w:before="100" w:after="140"/>
        <w:ind w:left="255" w:right="142"/>
        <w:shd w:fill="FFF8E7"/>
      </w:pPr>
      <w:r>
        <w:rPr>
          <w:rFonts w:ascii="DejaVu Serif" w:hAnsi="DejaVu Serif" w:eastAsia="DejaVu Serif"/>
          <w:b/>
          <w:color w:val="7A5A00"/>
        </w:rPr>
        <w:t xml:space="preserve">Статус: </w:t>
      </w:r>
      <w:r>
        <w:rPr>
          <w:rFonts w:ascii="DejaVu Serif" w:hAnsi="DejaVu Serif" w:eastAsia="DejaVu Serif"/>
        </w:rPr>
        <w:t>Рабочая карта на 21.07.2026. Это не локальный нормативный акт и не подлежит подписанию как ЛНА.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Организация: ООО «ЦЕНТР СРЕДСТВ ЗАЩИТЫ»; ИНН 7728302867; планируемое специализированное подразделение: «Учебный центр». Модель: дополнительная профессиональная программа повышения квалификации, исключительно с применением электронного обучения и дистанционных образовательных технологий.</w:t>
      </w:r>
    </w:p>
    <w:p>
      <w:pPr>
        <w:pStyle w:val="Heading1"/>
      </w:pPr>
      <w:r>
        <w:t>1. Обязательная структура специального раздела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53"/>
        <w:gridCol w:w="2551"/>
        <w:gridCol w:w="1984"/>
        <w:gridCol w:w="4648"/>
      </w:tblGrid>
      <w:tr>
        <w:trPr>
          <w:tblHeader w:val="true"/>
        </w:trPr>
        <w:tc>
          <w:tcPr>
            <w:tcW w:type="dxa" w:w="4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6"/>
              </w:rPr>
              <w:t>№</w:t>
            </w:r>
          </w:p>
        </w:tc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6"/>
              </w:rPr>
              <w:t>Подраздел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6"/>
              </w:rPr>
              <w:t>Форма</w:t>
            </w:r>
          </w:p>
        </w:tc>
        <w:tc>
          <w:tcPr>
            <w:tcW w:type="dxa" w:w="4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b/>
                <w:color w:val="1F4D78"/>
                <w:sz w:val="16"/>
              </w:rPr>
              <w:t>Что раскрыть</w:t>
            </w:r>
          </w:p>
        </w:tc>
      </w:tr>
      <w:tr>
        <w:trPr>
          <w:cantSplit w:val="true"/>
        </w:trPr>
        <w:tc>
          <w:tcPr>
            <w:tcW w:type="dxa" w:w="4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1</w:t>
            </w:r>
          </w:p>
        </w:tc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Основные сведения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HTML + реквизиты лицензии</w:t>
            </w:r>
          </w:p>
        </w:tc>
        <w:tc>
          <w:tcPr>
            <w:tcW w:type="dxa" w:w="4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название, дата создания, учредители, адрес, режим, контакты, места деятельности, лицензия</w:t>
            </w:r>
          </w:p>
        </w:tc>
      </w:tr>
      <w:tr>
        <w:trPr>
          <w:cantSplit w:val="true"/>
        </w:trPr>
        <w:tc>
          <w:tcPr>
            <w:tcW w:type="dxa" w:w="4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2</w:t>
            </w:r>
          </w:p>
        </w:tc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Структура и органы управления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HTML + положение PDF</w:t>
            </w:r>
          </w:p>
        </w:tc>
        <w:tc>
          <w:tcPr>
            <w:tcW w:type="dxa" w:w="4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Учебный центр, руководитель, адрес/сайт/e-mail, положение о подразделении</w:t>
            </w:r>
          </w:p>
        </w:tc>
      </w:tr>
      <w:tr>
        <w:trPr>
          <w:cantSplit w:val="true"/>
        </w:trPr>
        <w:tc>
          <w:tcPr>
            <w:tcW w:type="dxa" w:w="4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3</w:t>
            </w:r>
          </w:p>
        </w:tc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Документы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PDF/электронные документы</w:t>
            </w:r>
          </w:p>
        </w:tc>
        <w:tc>
          <w:tcPr>
            <w:tcW w:type="dxa" w:w="4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устав, правила обучающихся, ПВТР, коллективный договор при наличии, ЛНА, самообследование, предписания</w:t>
            </w:r>
          </w:p>
        </w:tc>
      </w:tr>
      <w:tr>
        <w:trPr>
          <w:cantSplit w:val="true"/>
        </w:trPr>
        <w:tc>
          <w:tcPr>
            <w:tcW w:type="dxa" w:w="4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4</w:t>
            </w:r>
          </w:p>
        </w:tc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Образование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HTML + программа PDF</w:t>
            </w:r>
          </w:p>
        </w:tc>
        <w:tc>
          <w:tcPr>
            <w:tcW w:type="dxa" w:w="4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уровень/вид, форма, срок, язык, численность, программа и её компоненты</w:t>
            </w:r>
          </w:p>
        </w:tc>
      </w:tr>
      <w:tr>
        <w:trPr>
          <w:cantSplit w:val="true"/>
        </w:trPr>
        <w:tc>
          <w:tcPr>
            <w:tcW w:type="dxa" w:w="4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5</w:t>
            </w:r>
          </w:p>
        </w:tc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Руководство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HTML</w:t>
            </w:r>
          </w:p>
        </w:tc>
        <w:tc>
          <w:tcPr>
            <w:tcW w:type="dxa" w:w="4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Ф.И.О., должность, контакты</w:t>
            </w:r>
          </w:p>
        </w:tc>
      </w:tr>
      <w:tr>
        <w:trPr>
          <w:cantSplit w:val="true"/>
        </w:trPr>
        <w:tc>
          <w:tcPr>
            <w:tcW w:type="dxa" w:w="4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6</w:t>
            </w:r>
          </w:p>
        </w:tc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Педагогический состав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HTML/структурированные сведения</w:t>
            </w:r>
          </w:p>
        </w:tc>
        <w:tc>
          <w:tcPr>
            <w:tcW w:type="dxa" w:w="4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персональные карточки педагогов с образованием, квалификацией, стажем, дисциплинами</w:t>
            </w:r>
          </w:p>
        </w:tc>
      </w:tr>
      <w:tr>
        <w:trPr>
          <w:cantSplit w:val="true"/>
        </w:trPr>
        <w:tc>
          <w:tcPr>
            <w:tcW w:type="dxa" w:w="4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7</w:t>
            </w:r>
          </w:p>
        </w:tc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Материально-техническое обеспечение. Доступная среда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HTML + сведения PDF</w:t>
            </w:r>
          </w:p>
        </w:tc>
        <w:tc>
          <w:tcPr>
            <w:tcW w:type="dxa" w:w="4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ЭИОС, ресурсы, условия охраны здоровья и доступности</w:t>
            </w:r>
          </w:p>
        </w:tc>
      </w:tr>
      <w:tr>
        <w:trPr>
          <w:cantSplit w:val="true"/>
        </w:trPr>
        <w:tc>
          <w:tcPr>
            <w:tcW w:type="dxa" w:w="4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8</w:t>
            </w:r>
          </w:p>
        </w:tc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Платные образовательные услуги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PDF</w:t>
            </w:r>
          </w:p>
        </w:tc>
        <w:tc>
          <w:tcPr>
            <w:tcW w:type="dxa" w:w="4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порядок, образец договора, приказ об утверждении стоимости</w:t>
            </w:r>
          </w:p>
        </w:tc>
      </w:tr>
      <w:tr>
        <w:trPr>
          <w:cantSplit w:val="true"/>
        </w:trPr>
        <w:tc>
          <w:tcPr>
            <w:tcW w:type="dxa" w:w="4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9</w:t>
            </w:r>
          </w:p>
        </w:tc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Финансово-хозяйственная деятельность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HTML/электронный документ</w:t>
            </w:r>
          </w:p>
        </w:tc>
        <w:tc>
          <w:tcPr>
            <w:tcW w:type="dxa" w:w="4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объём и источники поступлений, расходование; для новой деятельности — нулевые/фактические данные</w:t>
            </w:r>
          </w:p>
        </w:tc>
      </w:tr>
      <w:tr>
        <w:trPr>
          <w:cantSplit w:val="true"/>
        </w:trPr>
        <w:tc>
          <w:tcPr>
            <w:tcW w:type="dxa" w:w="4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10</w:t>
            </w:r>
          </w:p>
        </w:tc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Вакантные места для приёма (перевода)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HTML/электронный документ</w:t>
            </w:r>
          </w:p>
        </w:tc>
        <w:tc>
          <w:tcPr>
            <w:tcW w:type="dxa" w:w="4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количество мест по программе и источникам финансирования</w:t>
            </w:r>
          </w:p>
        </w:tc>
      </w:tr>
      <w:tr>
        <w:trPr>
          <w:cantSplit w:val="true"/>
        </w:trPr>
        <w:tc>
          <w:tcPr>
            <w:tcW w:type="dxa" w:w="4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11</w:t>
            </w:r>
          </w:p>
        </w:tc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Стипендии и меры поддержки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HTML</w:t>
            </w:r>
          </w:p>
        </w:tc>
        <w:tc>
          <w:tcPr>
            <w:tcW w:type="dxa" w:w="4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стипендии, общежитие, интернат; при отсутствии — прямое указание</w:t>
            </w:r>
          </w:p>
        </w:tc>
      </w:tr>
      <w:tr>
        <w:trPr>
          <w:cantSplit w:val="true"/>
        </w:trPr>
        <w:tc>
          <w:tcPr>
            <w:tcW w:type="dxa" w:w="4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12</w:t>
            </w:r>
          </w:p>
        </w:tc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Международное сотрудничество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HTML</w:t>
            </w:r>
          </w:p>
        </w:tc>
        <w:tc>
          <w:tcPr>
            <w:tcW w:type="dxa" w:w="4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договоры и иностранные партнёры; при отсутствии — прямое указание</w:t>
            </w:r>
          </w:p>
        </w:tc>
      </w:tr>
      <w:tr>
        <w:trPr>
          <w:cantSplit w:val="true"/>
        </w:trPr>
        <w:tc>
          <w:tcPr>
            <w:tcW w:type="dxa" w:w="4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13</w:t>
            </w:r>
          </w:p>
        </w:tc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Организация питания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HTML</w:t>
            </w:r>
          </w:p>
        </w:tc>
        <w:tc>
          <w:tcPr>
            <w:tcW w:type="dxa" w:w="4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условия питания; при исключительно дистанционной реализации — не предоставляется</w:t>
            </w:r>
          </w:p>
        </w:tc>
      </w:tr>
      <w:tr>
        <w:trPr>
          <w:cantSplit w:val="true"/>
        </w:trPr>
        <w:tc>
          <w:tcPr>
            <w:tcW w:type="dxa" w:w="4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ejaVu Serif" w:hAnsi="DejaVu Serif" w:eastAsia="DejaVu Serif"/>
                <w:sz w:val="16"/>
              </w:rPr>
              <w:t>14</w:t>
            </w:r>
          </w:p>
        </w:tc>
        <w:tc>
          <w:tcPr>
            <w:tcW w:type="dxa" w:w="25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Образовательные стандарты и требования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условно</w:t>
            </w:r>
          </w:p>
        </w:tc>
        <w:tc>
          <w:tcPr>
            <w:tcW w:type="dxa" w:w="4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erif" w:hAnsi="DejaVu Serif" w:eastAsia="DejaVu Serif"/>
                <w:sz w:val="16"/>
              </w:rPr>
              <w:t>только при применении ФГОС/ФГТ/самостоятельных стандартов; для данной ДПП указать, что не применяются</w:t>
            </w:r>
          </w:p>
        </w:tc>
      </w:tr>
    </w:tbl>
    <w:p>
      <w:pPr>
        <w:spacing w:after="20"/>
      </w:pPr>
    </w:p>
    <w:p>
      <w:pPr>
        <w:pStyle w:val="Heading1"/>
      </w:pPr>
      <w:r>
        <w:t>2. Документы, которые можно подготовить сейчас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приказ о создании специализированного структурного образовательного подразделения и положение о нём;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приказ об утверждении пакета локальных актов;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положение об организации ДПО и разработке/утверждении программ;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правила приёма, режим занятий, правила внутреннего распорядка обучающихся;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порядки контроля и аттестации, перевода/отчисления/восстановления, возникновения и прекращения образовательных отношений;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положение об электронном обучении и ДОТ;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положения о языке и выдаче документов о квалификации;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положение о платных услугах, образец договора, приказ о стоимости;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проект дополнительной профессиональной программы повышения квалификации объёмом 178 часов;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сведения о материально-техническом обеспечении и ЭИОС;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шаблон сведений для остальных подразделов сайта и чек-лист лицензирования.</w:t>
      </w:r>
    </w:p>
    <w:p>
      <w:pPr>
        <w:pStyle w:val="Heading1"/>
      </w:pPr>
      <w:r>
        <w:t>3. Документы, которые нельзя достоверно сгенерировать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актуальная заверенная копия устава, лист записи/выписка ЕГРЮЛ и решения участников;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копии правоустанавливающих документов, договоров на LMS/хостинг/ЭБС и иные подтверждения фактических ресурсов;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санитарно-эпидемиологическое заключение — если оно потребуется для выбранной модели; при исключительно дистанционной реализации по действующей до 01.09.2026 редакции постановления № 1490 требование не применяется;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реальные сведения о руководителе подразделения и педагогических работниках, их дипломы, стаж, договоры и документы о повышении квалификации;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фактический отчёт о самообследовании, бухгалтерские/финансовые данные, предписания и отчёты об их исполнении;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сведения о лицензии — до её предоставления; после предоставления реквизиты и запись реестра заменят статус «лицензия отсутствует»;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утверждённые сканы/электронные документы: проекты из данного комплекта не публиковать до заполнения, утверждения и подписания.</w:t>
      </w:r>
    </w:p>
    <w:p>
      <w:pPr>
        <w:pStyle w:val="Heading1"/>
      </w:pPr>
      <w:r>
        <w:t>4. Технические требования к публикации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раздел доступен с главной страницы без регистрации;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текст доступен для поиска и копирования; PDF не должен быть только фотографией страниц;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файлы доступны для скачивания и читаемы; сканы после подписания желательно распознавать (OCR);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названия файлов стабильные и понятные, старые версии заменяются без потери актуальной ссылки;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персональные данные публикуются только в объёме, прямо требуемом законом и с соблюдением законодательства о персональных данных.</w:t>
      </w:r>
    </w:p>
    <w:p>
      <w:pPr>
        <w:pStyle w:val="Heading1"/>
      </w:pPr>
      <w:r>
        <w:t>Нормативные и рабочие источники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Приказ Рособрнадзора от 04.08.2023 № 1493 (действующая редакция): https://www.consultant.ru/document/cons_doc_LAW_463082/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Федеральный закон от 29.12.2012 № 273-ФЗ: https://www.consultant.ru/document/cons_doc_LAW_140174/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Приказ Минобрнауки России от 24.03.2025 № 266: https://publication.pravo.gov.ru/document/0001202504230011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Постановление Правительства РФ от 11.10.2023 № 1678: https://publication.pravo.gov.ru/document/0001202310120031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Постановление Правительства РФ от 18.09.2020 № 1490: https://www.consultant.ru/document/cons_doc_LAW_362382/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Правила платных образовательных услуг, постановление № 1441: https://publication.pravo.gov.ru/document/View/0001202009210004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Рособрнадзор: получение лицензии на образовательную деятельность: https://obrnadzor.gov.ru/gosudarstvennye-uslugi-i-funkczii/gosudarstvennye-uslugi/liczenzirovanie-obrazovatelnoj-deyatelnosti/get_license/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ДОНМ: лицензирование образовательной деятельности: https://www.mos.ru/donm/function/obrnadzor/licensing-of-educational-activities/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Электронная услуга на Госуслугах: https://www.gosuslugi.ru/643941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Референс программы (не нормативный источник): https://nousro.ru/program-deyatelnost.php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color w:val="9B1C1C"/>
        <w:sz w:val="16"/>
      </w:rPr>
      <w:t xml:space="preserve">ПРОЕКТ — НЕ ДЕЙСТВУЕТ ДО УТВЕРЖДЕНИЯ  |  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КАРТА-01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Карта обязательных сведений и документов сайта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