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Times New Roman" w:hAnsi="Times New Roman" w:eastAsia="Times New Roman"/>
          <w:b/>
          <w:color w:val="253447"/>
          <w:sz w:val="24"/>
        </w:rPr>
        <w:t>Общество с ограниченной ответственностью «Центр средств защиты»</w:t>
      </w:r>
    </w:p>
    <w:p>
      <w:pPr>
        <w:spacing w:after="240"/>
        <w:jc w:val="center"/>
      </w:pPr>
      <w:r>
        <w:rPr>
          <w:rFonts w:ascii="Times New Roman" w:hAnsi="Times New Roman" w:eastAsia="Times New Roman"/>
          <w:sz w:val="21"/>
        </w:rPr>
        <w:t>Специализированное структурное образовательное подразделение «Учебный центр»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5"/>
        <w:gridCol w:w="4706"/>
      </w:tblGrid>
      <w:tr>
        <w:trPr>
          <w:cantSplit/>
          <w:tblHeader/>
        </w:trPr>
        <w:tc>
          <w:tcPr>
            <w:tcW w:type="dxa" w:w="4535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Bdr>
                <w:bottom w:val="single" w:sz="10" w:space="4" w:color="D9E3EA"/>
              </w:pBdr>
              <w:keepNext/>
            </w:pPr>
            <w:r/>
            <w:r>
              <w:rPr>
                <w:rFonts w:ascii="Times New Roman" w:hAnsi="Times New Roman" w:eastAsia="Times New Roman"/>
                <w:b/>
                <w:color w:val="253447"/>
                <w:sz w:val="20"/>
              </w:rPr>
              <w:t xml:space="preserve">ПРОЕКТ ДЛЯ УТВЕРЖДЕНИЯ</w:t>
            </w:r>
          </w:p>
          <w:p>
            <w:pPr>
              <w:spacing w:before="80" w:after="0"/>
              <w:keepNext/>
            </w:pPr>
            <w:r>
              <w:rPr>
                <w:rFonts w:ascii="Times New Roman" w:hAnsi="Times New Roman" w:eastAsia="Times New Roman"/>
                <w:sz w:val="19"/>
              </w:rPr>
              <w:t xml:space="preserve">Реализация начинается после предоставления образовательной лицензии</w:t>
            </w:r>
          </w:p>
        </w:tc>
        <w:tc>
          <w:tcPr>
            <w:tcW w:type="dxa" w:w="4706"/>
            <w:tcMar>
              <w:top w:w="60" w:type="dxa"/>
              <w:start w:w="180" w:type="dxa"/>
              <w:bottom w:w="60" w:type="dxa"/>
              <w:end w:w="80" w:type="dxa"/>
            </w:tcMar>
          </w:tcPr>
          <w:p>
            <w:pPr>
              <w:spacing w:after="40"/>
              <w:keepNext/>
            </w:pPr>
            <w:r/>
            <w:r>
              <w:rPr>
                <w:rFonts w:ascii="Times New Roman" w:hAnsi="Times New Roman" w:eastAsia="Times New Roman"/>
                <w:b/>
                <w:sz w:val="21"/>
              </w:rPr>
              <w:t>УТВЕРЖДАЮ</w:t>
            </w:r>
          </w:p>
          <w:p>
            <w:pPr>
              <w:spacing w:after="40"/>
              <w:keepNext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Генеральный директор</w:t>
            </w:r>
          </w:p>
          <w:p>
            <w:pPr>
              <w:spacing w:after="40"/>
              <w:keepNext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ООО «Центр средств защиты»</w:t>
            </w:r>
          </w:p>
          <w:p>
            <w:pPr>
              <w:spacing w:after="40"/>
              <w:keepNext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______________ / О. П. Баранов /</w:t>
            </w:r>
          </w:p>
          <w:p>
            <w:pPr>
              <w:spacing w:after="40"/>
              <w:keepNext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«___» __________ 2026 г.</w:t>
            </w:r>
          </w:p>
          <w:p>
            <w:pPr>
              <w:spacing w:after="40"/>
              <w:keepNext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Приказ от «___» __________ 2026 г. № ____</w:t>
            </w:r>
          </w:p>
        </w:tc>
      </w:tr>
    </w:tbl>
    <w:p>
      <w:pPr>
        <w:spacing w:after="300"/>
      </w:pPr>
    </w:p>
    <w:p>
      <w:pPr>
        <w:spacing w:after="140"/>
        <w:jc w:val="center"/>
      </w:pPr>
      <w:r>
        <w:rPr>
          <w:rFonts w:ascii="Times New Roman" w:hAnsi="Times New Roman" w:eastAsia="Times New Roman"/>
          <w:b/>
          <w:color w:val="253447"/>
          <w:sz w:val="26"/>
        </w:rPr>
        <w:t>ДОПОЛНИТЕЛЬНАЯ ПРОФЕССИОНАЛЬНАЯ ПРОГРАММА</w:t>
      </w:r>
    </w:p>
    <w:p>
      <w:pPr>
        <w:spacing w:after="80"/>
        <w:jc w:val="center"/>
      </w:pPr>
      <w:r>
        <w:rPr>
          <w:rFonts w:ascii="Times New Roman" w:hAnsi="Times New Roman" w:eastAsia="Times New Roman"/>
          <w:b/>
          <w:color w:val="253447"/>
          <w:sz w:val="26"/>
        </w:rPr>
        <w:t>ПОВЫШЕНИЯ КВАЛИФИКАЦИИ</w:t>
      </w:r>
    </w:p>
    <w:p>
      <w:pPr>
        <w:pStyle w:val="Title"/>
        <w:spacing w:before="200" w:after="360"/>
        <w:jc w:val="center"/>
      </w:pPr>
      <w:r>
        <w:rPr>
          <w:rFonts w:ascii="Times New Roman" w:hAnsi="Times New Roman" w:eastAsia="Times New Roman"/>
          <w:b/>
          <w:color w:val="253447"/>
          <w:sz w:val="38"/>
        </w:rPr>
        <w:t>«Деятельность по монтажу, техническому обслуживанию и ремонту средств обеспечения пожарной безопасности зданий и сооружений»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E3EA"/>
          <w:left w:val="single" w:sz="4" w:color="D9E3EA"/>
          <w:bottom w:val="single" w:sz="4" w:color="D9E3EA"/>
          <w:right w:val="single" w:sz="4" w:color="D9E3EA"/>
          <w:insideH w:val="single" w:sz="4" w:color="D9E3EA"/>
          <w:insideV w:val="single" w:sz="4" w:color="D9E3EA"/>
        </w:tblBorders>
      </w:tblPr>
      <w:tblGrid>
        <w:gridCol w:w="4705"/>
        <w:gridCol w:w="4705"/>
      </w:tblGrid>
      <w:tr>
        <w:trPr>
          <w:cantSplit/>
          <w:tblHeader/>
        </w:trPr>
        <w:tc>
          <w:tcPr>
            <w:tcW w:type="dxa" w:w="2835"/>
            <w:shd w:fill="EEF2F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keepNext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Объем программы</w:t>
            </w:r>
          </w:p>
        </w:tc>
        <w:tc>
          <w:tcPr>
            <w:tcW w:type="dxa" w:w="5669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keepNext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178 академических часов</w:t>
            </w:r>
          </w:p>
        </w:tc>
      </w:tr>
      <w:tr>
        <w:trPr>
          <w:cantSplit/>
        </w:trPr>
        <w:tc>
          <w:tcPr>
            <w:tcW w:type="dxa" w:w="2835"/>
            <w:shd w:fill="EEF2F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Форма обучения</w:t>
            </w:r>
          </w:p>
        </w:tc>
        <w:tc>
          <w:tcPr>
            <w:tcW w:type="dxa" w:w="5669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заочная</w:t>
            </w:r>
          </w:p>
        </w:tc>
      </w:tr>
      <w:tr>
        <w:trPr>
          <w:cantSplit/>
        </w:trPr>
        <w:tc>
          <w:tcPr>
            <w:tcW w:type="dxa" w:w="2835"/>
            <w:shd w:fill="EEF2F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Технология реализации</w:t>
            </w:r>
          </w:p>
        </w:tc>
        <w:tc>
          <w:tcPr>
            <w:tcW w:type="dxa" w:w="5669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исключительно электронное обучение и дистанционные образовательные технологии</w:t>
            </w:r>
          </w:p>
        </w:tc>
      </w:tr>
      <w:tr>
        <w:trPr>
          <w:cantSplit/>
        </w:trPr>
        <w:tc>
          <w:tcPr>
            <w:tcW w:type="dxa" w:w="2835"/>
            <w:shd w:fill="EEF2F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Вид программы</w:t>
            </w:r>
          </w:p>
        </w:tc>
        <w:tc>
          <w:tcPr>
            <w:tcW w:type="dxa" w:w="5669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повышение квалификации</w:t>
            </w:r>
          </w:p>
        </w:tc>
      </w:tr>
    </w:tbl>
    <w:p>
      <w:pPr>
        <w:spacing w:before="240" w:after="0"/>
        <w:jc w:val="center"/>
      </w:pPr>
      <w:r>
        <w:rPr>
          <w:rFonts w:ascii="Times New Roman" w:hAnsi="Times New Roman" w:eastAsia="Times New Roman"/>
          <w:color w:val="5E6A78"/>
          <w:sz w:val="19"/>
        </w:rPr>
        <w:t>Разработана на основе Типовой дополнительной профессиональной программы, утвержденной приказом МЧС России от 15.11.2022 № 1156</w:t>
      </w:r>
    </w:p>
    <w:p>
      <w:pPr>
        <w:spacing w:before="600"/>
        <w:jc w:val="center"/>
      </w:pPr>
      <w:r>
        <w:rPr>
          <w:rFonts w:ascii="Times New Roman" w:hAnsi="Times New Roman" w:eastAsia="Times New Roman"/>
          <w:b/>
          <w:color w:val="253447"/>
          <w:sz w:val="22"/>
        </w:rPr>
        <w:t>Москва · 2026</w:t>
      </w:r>
    </w:p>
    <w:p>
      <w:r>
        <w:br w:type="page"/>
      </w:r>
    </w:p>
    <w:p>
      <w:pPr>
        <w:pStyle w:val="Heading1"/>
        <w:spacing w:after="160"/>
        <w:keepNext/>
        <w:keepLines/>
      </w:pPr>
      <w:r>
        <w:t>Содержание</w:t>
      </w:r>
    </w:p>
    <w:p>
      <w:pPr>
        <w:spacing w:after="80"/>
        <w:ind w:left="227" w:hanging="227"/>
      </w:pPr>
      <w:r>
        <w:rPr>
          <w:rFonts w:ascii="Times New Roman" w:hAnsi="Times New Roman" w:eastAsia="Times New Roman"/>
          <w:b/>
          <w:color w:val="5E6A78"/>
          <w:sz w:val="20"/>
        </w:rPr>
        <w:t xml:space="preserve">01  </w:t>
      </w:r>
      <w:r>
        <w:rPr>
          <w:rFonts w:ascii="Times New Roman" w:hAnsi="Times New Roman" w:eastAsia="Times New Roman"/>
          <w:sz w:val="22"/>
        </w:rPr>
        <w:t>Паспорт программы</w:t>
      </w:r>
    </w:p>
    <w:p>
      <w:pPr>
        <w:spacing w:after="80"/>
        <w:ind w:left="227" w:hanging="227"/>
      </w:pPr>
      <w:r>
        <w:rPr>
          <w:rFonts w:ascii="Times New Roman" w:hAnsi="Times New Roman" w:eastAsia="Times New Roman"/>
          <w:b/>
          <w:color w:val="5E6A78"/>
          <w:sz w:val="20"/>
        </w:rPr>
        <w:t xml:space="preserve">02  </w:t>
      </w:r>
      <w:r>
        <w:rPr>
          <w:rFonts w:ascii="Times New Roman" w:hAnsi="Times New Roman" w:eastAsia="Times New Roman"/>
          <w:sz w:val="22"/>
        </w:rPr>
        <w:t>I. Общие положения</w:t>
      </w:r>
    </w:p>
    <w:p>
      <w:pPr>
        <w:spacing w:after="80"/>
        <w:ind w:left="227" w:hanging="227"/>
      </w:pPr>
      <w:r>
        <w:rPr>
          <w:rFonts w:ascii="Times New Roman" w:hAnsi="Times New Roman" w:eastAsia="Times New Roman"/>
          <w:b/>
          <w:color w:val="5E6A78"/>
          <w:sz w:val="20"/>
        </w:rPr>
        <w:t xml:space="preserve">03  </w:t>
      </w:r>
      <w:r>
        <w:rPr>
          <w:rFonts w:ascii="Times New Roman" w:hAnsi="Times New Roman" w:eastAsia="Times New Roman"/>
          <w:sz w:val="22"/>
        </w:rPr>
        <w:t>II. Цели и задачи обучения</w:t>
      </w:r>
    </w:p>
    <w:p>
      <w:pPr>
        <w:spacing w:after="80"/>
        <w:ind w:left="227" w:hanging="227"/>
      </w:pPr>
      <w:r>
        <w:rPr>
          <w:rFonts w:ascii="Times New Roman" w:hAnsi="Times New Roman" w:eastAsia="Times New Roman"/>
          <w:b/>
          <w:color w:val="5E6A78"/>
          <w:sz w:val="20"/>
        </w:rPr>
        <w:t xml:space="preserve">04  </w:t>
      </w:r>
      <w:r>
        <w:rPr>
          <w:rFonts w:ascii="Times New Roman" w:hAnsi="Times New Roman" w:eastAsia="Times New Roman"/>
          <w:sz w:val="22"/>
        </w:rPr>
        <w:t>III. Учебный план</w:t>
      </w:r>
    </w:p>
    <w:p>
      <w:pPr>
        <w:spacing w:after="80"/>
        <w:ind w:left="227" w:hanging="227"/>
      </w:pPr>
      <w:r>
        <w:rPr>
          <w:rFonts w:ascii="Times New Roman" w:hAnsi="Times New Roman" w:eastAsia="Times New Roman"/>
          <w:b/>
          <w:color w:val="5E6A78"/>
          <w:sz w:val="20"/>
        </w:rPr>
        <w:t xml:space="preserve">05  </w:t>
      </w:r>
      <w:r>
        <w:rPr>
          <w:rFonts w:ascii="Times New Roman" w:hAnsi="Times New Roman" w:eastAsia="Times New Roman"/>
          <w:sz w:val="22"/>
        </w:rPr>
        <w:t>IV. Календарный учебный график</w:t>
      </w:r>
    </w:p>
    <w:p>
      <w:pPr>
        <w:spacing w:after="80"/>
        <w:ind w:left="227" w:hanging="227"/>
      </w:pPr>
      <w:r>
        <w:rPr>
          <w:rFonts w:ascii="Times New Roman" w:hAnsi="Times New Roman" w:eastAsia="Times New Roman"/>
          <w:b/>
          <w:color w:val="5E6A78"/>
          <w:sz w:val="20"/>
        </w:rPr>
        <w:t xml:space="preserve">06  </w:t>
      </w:r>
      <w:r>
        <w:rPr>
          <w:rFonts w:ascii="Times New Roman" w:hAnsi="Times New Roman" w:eastAsia="Times New Roman"/>
          <w:sz w:val="22"/>
        </w:rPr>
        <w:t>V. Содержание программы</w:t>
      </w:r>
    </w:p>
    <w:p>
      <w:pPr>
        <w:spacing w:after="80"/>
        <w:ind w:left="227" w:hanging="227"/>
      </w:pPr>
      <w:r>
        <w:rPr>
          <w:rFonts w:ascii="Times New Roman" w:hAnsi="Times New Roman" w:eastAsia="Times New Roman"/>
          <w:b/>
          <w:color w:val="5E6A78"/>
          <w:sz w:val="20"/>
        </w:rPr>
        <w:t xml:space="preserve">07  </w:t>
      </w:r>
      <w:r>
        <w:rPr>
          <w:rFonts w:ascii="Times New Roman" w:hAnsi="Times New Roman" w:eastAsia="Times New Roman"/>
          <w:sz w:val="22"/>
        </w:rPr>
        <w:t>VI. Содержание модулей</w:t>
      </w:r>
    </w:p>
    <w:p>
      <w:pPr>
        <w:spacing w:after="80"/>
        <w:ind w:left="227" w:hanging="227"/>
      </w:pPr>
      <w:r>
        <w:rPr>
          <w:rFonts w:ascii="Times New Roman" w:hAnsi="Times New Roman" w:eastAsia="Times New Roman"/>
          <w:b/>
          <w:color w:val="5E6A78"/>
          <w:sz w:val="20"/>
        </w:rPr>
        <w:t xml:space="preserve">08  </w:t>
      </w:r>
      <w:r>
        <w:rPr>
          <w:rFonts w:ascii="Times New Roman" w:hAnsi="Times New Roman" w:eastAsia="Times New Roman"/>
          <w:sz w:val="22"/>
        </w:rPr>
        <w:t>VII. Планируемые результаты освоения программы</w:t>
      </w:r>
    </w:p>
    <w:p>
      <w:pPr>
        <w:spacing w:after="80"/>
        <w:ind w:left="227" w:hanging="227"/>
      </w:pPr>
      <w:r>
        <w:rPr>
          <w:rFonts w:ascii="Times New Roman" w:hAnsi="Times New Roman" w:eastAsia="Times New Roman"/>
          <w:b/>
          <w:color w:val="5E6A78"/>
          <w:sz w:val="20"/>
        </w:rPr>
        <w:t xml:space="preserve">09  </w:t>
      </w:r>
      <w:r>
        <w:rPr>
          <w:rFonts w:ascii="Times New Roman" w:hAnsi="Times New Roman" w:eastAsia="Times New Roman"/>
          <w:sz w:val="22"/>
        </w:rPr>
        <w:t>VIII. Организационно-педагогические условия реализации</w:t>
      </w:r>
    </w:p>
    <w:p>
      <w:pPr>
        <w:spacing w:after="80"/>
        <w:ind w:left="227" w:hanging="227"/>
      </w:pPr>
      <w:r>
        <w:rPr>
          <w:rFonts w:ascii="Times New Roman" w:hAnsi="Times New Roman" w:eastAsia="Times New Roman"/>
          <w:b/>
          <w:color w:val="5E6A78"/>
          <w:sz w:val="20"/>
        </w:rPr>
        <w:t xml:space="preserve">10  </w:t>
      </w:r>
      <w:r>
        <w:rPr>
          <w:rFonts w:ascii="Times New Roman" w:hAnsi="Times New Roman" w:eastAsia="Times New Roman"/>
          <w:sz w:val="22"/>
        </w:rPr>
        <w:t>IX. Оценка качества освоения программы</w:t>
      </w:r>
    </w:p>
    <w:p>
      <w:pPr>
        <w:spacing w:after="80"/>
        <w:ind w:left="227" w:hanging="227"/>
      </w:pPr>
      <w:r>
        <w:rPr>
          <w:rFonts w:ascii="Times New Roman" w:hAnsi="Times New Roman" w:eastAsia="Times New Roman"/>
          <w:b/>
          <w:color w:val="5E6A78"/>
          <w:sz w:val="20"/>
        </w:rPr>
        <w:t xml:space="preserve">11  </w:t>
      </w:r>
      <w:r>
        <w:rPr>
          <w:rFonts w:ascii="Times New Roman" w:hAnsi="Times New Roman" w:eastAsia="Times New Roman"/>
          <w:sz w:val="22"/>
        </w:rPr>
        <w:t>Приложение 1. Матрица практических занятий</w:t>
      </w:r>
    </w:p>
    <w:p>
      <w:pPr>
        <w:spacing w:after="80"/>
        <w:ind w:left="227" w:hanging="227"/>
      </w:pPr>
      <w:r>
        <w:rPr>
          <w:rFonts w:ascii="Times New Roman" w:hAnsi="Times New Roman" w:eastAsia="Times New Roman"/>
          <w:b/>
          <w:color w:val="5E6A78"/>
          <w:sz w:val="20"/>
        </w:rPr>
        <w:t xml:space="preserve">12  </w:t>
      </w:r>
      <w:r>
        <w:rPr>
          <w:rFonts w:ascii="Times New Roman" w:hAnsi="Times New Roman" w:eastAsia="Times New Roman"/>
          <w:sz w:val="22"/>
        </w:rPr>
        <w:t>Приложение 2. Паспорт оценивания</w:t>
      </w:r>
    </w:p>
    <w:p>
      <w:pPr>
        <w:spacing w:after="80"/>
        <w:ind w:left="227" w:hanging="227"/>
      </w:pPr>
      <w:r>
        <w:rPr>
          <w:rFonts w:ascii="Times New Roman" w:hAnsi="Times New Roman" w:eastAsia="Times New Roman"/>
          <w:b/>
          <w:color w:val="5E6A78"/>
          <w:sz w:val="20"/>
        </w:rPr>
        <w:t xml:space="preserve">13  Приложение 3. Соответствие тематического комплекта учебному плану</w:t>
      </w:r>
      <w:r>
        <w:rPr>
          <w:rFonts w:ascii="Times New Roman" w:hAnsi="Times New Roman" w:eastAsia="Times New Roman"/>
          <w:sz w:val="22"/>
        </w:rPr>
        <w:t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241"/>
      </w:tblGrid>
      <w:tr>
        <w:trPr>
          <w:cantSplit/>
          <w:tblHeader/>
        </w:trPr>
        <w:tc>
          <w:tcPr>
            <w:tcW w:type="dxa" w:w="9241"/>
            <w:shd w:fill="F3E9D2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60"/>
              <w:keepNext/>
            </w:pPr>
            <w:r>
              <w:rPr>
                <w:rFonts w:ascii="Times New Roman" w:hAnsi="Times New Roman" w:eastAsia="Times New Roman"/>
                <w:b/>
                <w:sz w:val="21"/>
              </w:rPr>
              <w:t>Утверждение документа</w:t>
            </w:r>
          </w:p>
          <w:p>
            <w:pPr>
              <w:spacing w:after="0"/>
              <w:keepNext/>
            </w:pPr>
            <w:r>
              <w:rPr>
                <w:rFonts w:ascii="Times New Roman" w:hAnsi="Times New Roman" w:eastAsia="Times New Roman"/>
                <w:sz w:val="21"/>
              </w:rPr>
              <w:t xml:space="preserve">Программа подлежит утверждению уполномоченным лицом ООО «Центр средств защиты». Номер и дата приказа заполняются при его принятии. Реализация начинается после предоставления образовательной лицензии и обеспечения условий реализации.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  <w:keepLines/>
      </w:pPr>
      <w:r>
        <w:t>Паспорт программы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AAB3BD"/>
          <w:left w:val="single" w:sz="5" w:color="AAB3BD"/>
          <w:bottom w:val="single" w:sz="5" w:color="AAB3BD"/>
          <w:right w:val="single" w:sz="5" w:color="AAB3BD"/>
          <w:insideH w:val="single" w:sz="5" w:color="AAB3BD"/>
          <w:insideV w:val="single" w:sz="5" w:color="AAB3BD"/>
        </w:tblBorders>
      </w:tblPr>
      <w:tblGrid>
        <w:gridCol w:w="4705"/>
        <w:gridCol w:w="4705"/>
      </w:tblGrid>
      <w:tr>
        <w:trPr>
          <w:cantSplit/>
          <w:tblHeader/>
        </w:trPr>
        <w:tc>
          <w:tcPr>
            <w:tcW w:type="dxa" w:w="2891"/>
            <w:shd w:fill="EEF2F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keepNext/>
            </w:pPr>
            <w:r/>
            <w:r>
              <w:rPr>
                <w:rFonts w:ascii="Times New Roman" w:hAnsi="Times New Roman" w:eastAsia="Times New Roman"/>
                <w:b/>
                <w:sz w:val="19"/>
              </w:rPr>
              <w:t>Организация</w:t>
            </w:r>
          </w:p>
        </w:tc>
        <w:tc>
          <w:tcPr>
            <w:tcW w:type="dxa" w:w="6350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keepNext/>
            </w:pPr>
            <w:r/>
            <w:r>
              <w:rPr>
                <w:rFonts w:ascii="Times New Roman" w:hAnsi="Times New Roman" w:eastAsia="Times New Roman"/>
                <w:b w:val="0"/>
                <w:sz w:val="19"/>
              </w:rPr>
              <w:t>Общество с ограниченной ответственностью «Центр средств защиты»</w:t>
            </w:r>
          </w:p>
        </w:tc>
      </w:tr>
      <w:tr>
        <w:trPr>
          <w:cantSplit/>
        </w:trPr>
        <w:tc>
          <w:tcPr>
            <w:tcW w:type="dxa" w:w="2891"/>
            <w:shd w:fill="EEF2F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/>
                <w:sz w:val="19"/>
              </w:rPr>
              <w:t>Структурное подразделение</w:t>
            </w:r>
          </w:p>
        </w:tc>
        <w:tc>
          <w:tcPr>
            <w:tcW w:type="dxa" w:w="6350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9"/>
              </w:rPr>
              <w:t>Специализированное структурное образовательное подразделение «Учебный центр»</w:t>
            </w:r>
          </w:p>
        </w:tc>
      </w:tr>
      <w:tr>
        <w:trPr>
          <w:cantSplit/>
        </w:trPr>
        <w:tc>
          <w:tcPr>
            <w:tcW w:type="dxa" w:w="2891"/>
            <w:shd w:fill="EEF2F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/>
                <w:sz w:val="19"/>
              </w:rPr>
              <w:t>Вид образования</w:t>
            </w:r>
          </w:p>
        </w:tc>
        <w:tc>
          <w:tcPr>
            <w:tcW w:type="dxa" w:w="6350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9"/>
              </w:rPr>
              <w:t>Дополнительное образование</w:t>
            </w:r>
          </w:p>
        </w:tc>
      </w:tr>
      <w:tr>
        <w:trPr>
          <w:cantSplit/>
        </w:trPr>
        <w:tc>
          <w:tcPr>
            <w:tcW w:type="dxa" w:w="2891"/>
            <w:shd w:fill="EEF2F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/>
                <w:sz w:val="19"/>
              </w:rPr>
              <w:t>Подвид</w:t>
            </w:r>
          </w:p>
        </w:tc>
        <w:tc>
          <w:tcPr>
            <w:tcW w:type="dxa" w:w="6350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9"/>
              </w:rPr>
              <w:t>Дополнительное профессиональное образование</w:t>
            </w:r>
          </w:p>
        </w:tc>
      </w:tr>
      <w:tr>
        <w:trPr>
          <w:cantSplit/>
        </w:trPr>
        <w:tc>
          <w:tcPr>
            <w:tcW w:type="dxa" w:w="2891"/>
            <w:shd w:fill="EEF2F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/>
                <w:sz w:val="19"/>
              </w:rPr>
              <w:t>Вид программы</w:t>
            </w:r>
          </w:p>
        </w:tc>
        <w:tc>
          <w:tcPr>
            <w:tcW w:type="dxa" w:w="6350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9"/>
              </w:rPr>
              <w:t>Дополнительная профессиональная программа повышения квалификации</w:t>
            </w:r>
          </w:p>
        </w:tc>
      </w:tr>
      <w:tr>
        <w:trPr>
          <w:cantSplit/>
        </w:trPr>
        <w:tc>
          <w:tcPr>
            <w:tcW w:type="dxa" w:w="2891"/>
            <w:shd w:fill="EEF2F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/>
                <w:sz w:val="19"/>
              </w:rPr>
              <w:t>Наименование</w:t>
            </w:r>
          </w:p>
        </w:tc>
        <w:tc>
          <w:tcPr>
            <w:tcW w:type="dxa" w:w="6350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9"/>
              </w:rPr>
              <w:t>Деятельность по монтажу, техническому обслуживанию и ремонту средств обеспечения пожарной безопасности зданий и сооружений</w:t>
            </w:r>
          </w:p>
        </w:tc>
      </w:tr>
      <w:tr>
        <w:trPr>
          <w:cantSplit/>
        </w:trPr>
        <w:tc>
          <w:tcPr>
            <w:tcW w:type="dxa" w:w="2891"/>
            <w:shd w:fill="EEF2F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/>
                <w:sz w:val="19"/>
              </w:rPr>
              <w:t>Объем</w:t>
            </w:r>
          </w:p>
        </w:tc>
        <w:tc>
          <w:tcPr>
            <w:tcW w:type="dxa" w:w="6350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9"/>
              </w:rPr>
              <w:t>178 академических часов</w:t>
            </w:r>
          </w:p>
        </w:tc>
      </w:tr>
      <w:tr>
        <w:trPr>
          <w:cantSplit/>
        </w:trPr>
        <w:tc>
          <w:tcPr>
            <w:tcW w:type="dxa" w:w="2891"/>
            <w:shd w:fill="EEF2F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/>
                <w:sz w:val="19"/>
              </w:rPr>
              <w:t>Форма обучения</w:t>
            </w:r>
          </w:p>
        </w:tc>
        <w:tc>
          <w:tcPr>
            <w:tcW w:type="dxa" w:w="6350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9"/>
              </w:rPr>
              <w:t>Заочная</w:t>
            </w:r>
          </w:p>
        </w:tc>
      </w:tr>
      <w:tr>
        <w:trPr>
          <w:cantSplit/>
        </w:trPr>
        <w:tc>
          <w:tcPr>
            <w:tcW w:type="dxa" w:w="2891"/>
            <w:shd w:fill="EEF2F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/>
                <w:sz w:val="19"/>
              </w:rPr>
              <w:t>Образовательные технологии</w:t>
            </w:r>
          </w:p>
        </w:tc>
        <w:tc>
          <w:tcPr>
            <w:tcW w:type="dxa" w:w="6350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9"/>
              </w:rPr>
              <w:t>Исключительно электронное обучение и дистанционные образовательные технологии (ЭО и ДОТ)</w:t>
            </w:r>
          </w:p>
        </w:tc>
      </w:tr>
      <w:tr>
        <w:trPr>
          <w:cantSplit/>
        </w:trPr>
        <w:tc>
          <w:tcPr>
            <w:tcW w:type="dxa" w:w="2891"/>
            <w:shd w:fill="EEF2F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/>
                <w:sz w:val="19"/>
              </w:rPr>
              <w:t>Сетевая форма</w:t>
            </w:r>
          </w:p>
        </w:tc>
        <w:tc>
          <w:tcPr>
            <w:tcW w:type="dxa" w:w="6350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9"/>
              </w:rPr>
              <w:t>Настоящей редакцией не предусмотрена</w:t>
            </w:r>
          </w:p>
        </w:tc>
      </w:tr>
      <w:tr>
        <w:trPr>
          <w:cantSplit/>
        </w:trPr>
        <w:tc>
          <w:tcPr>
            <w:tcW w:type="dxa" w:w="2891"/>
            <w:shd w:fill="EEF2F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/>
                <w:sz w:val="19"/>
              </w:rPr>
              <w:t>Категория слушателей</w:t>
            </w:r>
          </w:p>
        </w:tc>
        <w:tc>
          <w:tcPr>
            <w:tcW w:type="dxa" w:w="6350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9"/>
              </w:rPr>
              <w:t>Работники соискателей лицензии или лицензиатов — специалисты, осуществляющие деятельность по монтажу, техническому обслуживанию и ремонту средств обеспечения пожарной безопасности зданий и сооружений</w:t>
            </w:r>
          </w:p>
        </w:tc>
      </w:tr>
      <w:tr>
        <w:trPr>
          <w:cantSplit/>
        </w:trPr>
        <w:tc>
          <w:tcPr>
            <w:tcW w:type="dxa" w:w="2891"/>
            <w:shd w:fill="EEF2F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/>
                <w:sz w:val="19"/>
              </w:rPr>
              <w:t>Требования к поступающим</w:t>
            </w:r>
          </w:p>
        </w:tc>
        <w:tc>
          <w:tcPr>
            <w:tcW w:type="dxa" w:w="6350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9"/>
              </w:rPr>
              <w:t>Наличие или получение среднего профессионального и (или) высшего образования</w:t>
            </w:r>
          </w:p>
        </w:tc>
      </w:tr>
      <w:tr>
        <w:trPr>
          <w:cantSplit/>
        </w:trPr>
        <w:tc>
          <w:tcPr>
            <w:tcW w:type="dxa" w:w="2891"/>
            <w:shd w:fill="EEF2F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/>
                <w:sz w:val="19"/>
              </w:rPr>
              <w:t>Язык обучения</w:t>
            </w:r>
          </w:p>
        </w:tc>
        <w:tc>
          <w:tcPr>
            <w:tcW w:type="dxa" w:w="6350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9"/>
              </w:rPr>
              <w:t>Русский</w:t>
            </w:r>
          </w:p>
        </w:tc>
      </w:tr>
      <w:tr>
        <w:trPr>
          <w:cantSplit/>
        </w:trPr>
        <w:tc>
          <w:tcPr>
            <w:tcW w:type="dxa" w:w="2891"/>
            <w:shd w:fill="EEF2F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/>
                <w:sz w:val="19"/>
              </w:rPr>
              <w:t>Срок освоения</w:t>
            </w:r>
          </w:p>
        </w:tc>
        <w:tc>
          <w:tcPr>
            <w:tcW w:type="dxa" w:w="6350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9"/>
              </w:rPr>
              <w:t>5 учебных недель по типовому календарному графику; конкретные даты устанавливаются расписанием группы</w:t>
            </w:r>
          </w:p>
        </w:tc>
      </w:tr>
      <w:tr>
        <w:trPr>
          <w:cantSplit/>
        </w:trPr>
        <w:tc>
          <w:tcPr>
            <w:tcW w:type="dxa" w:w="2891"/>
            <w:shd w:fill="EEF2F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/>
                <w:sz w:val="19"/>
              </w:rPr>
              <w:t>Итоговая аттестация</w:t>
            </w:r>
          </w:p>
        </w:tc>
        <w:tc>
          <w:tcPr>
            <w:tcW w:type="dxa" w:w="6350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9"/>
              </w:rPr>
              <w:t>Комплексный экзамен: проверка теоретической и практической подготовленности, 2 академических часа</w:t>
            </w:r>
          </w:p>
        </w:tc>
      </w:tr>
      <w:tr>
        <w:trPr>
          <w:cantSplit/>
        </w:trPr>
        <w:tc>
          <w:tcPr>
            <w:tcW w:type="dxa" w:w="2891"/>
            <w:shd w:fill="EEF2F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/>
                <w:sz w:val="19"/>
              </w:rPr>
              <w:t>Документ о квалификации</w:t>
            </w:r>
          </w:p>
        </w:tc>
        <w:tc>
          <w:tcPr>
            <w:tcW w:type="dxa" w:w="6350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9"/>
              </w:rPr>
              <w:t>Удостоверение о повышении квалификации установленного организацией образца</w:t>
            </w:r>
          </w:p>
        </w:tc>
      </w:tr>
      <w:tr>
        <w:trPr>
          <w:cantSplit/>
        </w:trPr>
        <w:tc>
          <w:tcPr>
            <w:tcW w:type="dxa" w:w="2891"/>
            <w:shd w:fill="EEF2F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/>
                <w:sz w:val="19"/>
              </w:rPr>
              <w:t>Официальный сайт</w:t>
            </w:r>
          </w:p>
        </w:tc>
        <w:tc>
          <w:tcPr>
            <w:tcW w:type="dxa" w:w="6350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hyperlink r:id="rId11">
              <w:r>
                <w:rPr>
                  <w:rFonts w:ascii="Times New Roman" w:hAnsi="Times New Roman" w:eastAsia="Times New Roman"/>
                  <w:color w:val="1F4E79"/>
                  <w:u w:val="single"/>
                </w:rPr>
                <w:t>центр-средств-защиты.рф</w:t>
              </w:r>
            </w:hyperlink>
          </w:p>
        </w:tc>
      </w:tr>
      <w:tr>
        <w:trPr>
          <w:cantSplit/>
        </w:trPr>
        <w:tc>
          <w:tcPr>
            <w:tcW w:type="dxa" w:w="2891"/>
            <w:shd w:fill="EEF2F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keepNext/>
              <w:keepLines/>
            </w:pPr>
            <w:r/>
            <w:r>
              <w:rPr>
                <w:rFonts w:ascii="Times New Roman" w:hAnsi="Times New Roman" w:eastAsia="Times New Roman"/>
                <w:b/>
                <w:sz w:val="19"/>
              </w:rPr>
              <w:t>Статус</w:t>
            </w:r>
          </w:p>
        </w:tc>
        <w:tc>
          <w:tcPr>
            <w:tcW w:type="dxa" w:w="6350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9"/>
              </w:rPr>
              <w:t xml:space="preserve">ПРОЕКТ ДЛЯ УТВЕРЖДЕНИЯ</w:t>
            </w:r>
          </w:p>
        </w:tc>
      </w:tr>
    </w:tbl>
    <w:p>
      <w:pPr>
        <w:pStyle w:val="Heading1"/>
        <w:keepNext/>
        <w:keepLines/>
      </w:pPr>
      <w:r>
        <w:t>I. Общие положения</w:t>
      </w:r>
    </w:p>
    <w:p>
      <w:pPr>
        <w:widowControl/>
        <w:spacing w:after="100" w:line="276" w:lineRule="auto"/>
      </w:pPr>
      <w:r>
        <w:rPr>
          <w:rFonts w:ascii="Times New Roman" w:hAnsi="Times New Roman" w:eastAsia="Times New Roman"/>
        </w:rPr>
        <w:t>1. Настоящая дополнительная профессиональная программа повышения квалификации «Деятельность по монтажу, техническому обслуживанию и ремонту средств обеспечения пожарной безопасности зданий и сооружений» (далее — Программа) разработана на основе Типовой дополнительной профессиональной программы, утвержденной приказом МЧС России от 15 ноября 2022 г. № 1156.</w:t>
      </w:r>
    </w:p>
    <w:p>
      <w:pPr>
        <w:widowControl/>
        <w:spacing w:after="100" w:line="276" w:lineRule="auto"/>
      </w:pPr>
      <w:r>
        <w:rPr>
          <w:rFonts w:ascii="Times New Roman" w:hAnsi="Times New Roman" w:eastAsia="Times New Roman"/>
        </w:rPr>
        <w:t>2. Нормативную основу Программы составляют:</w:t>
      </w:r>
    </w:p>
    <w:p>
      <w:pPr>
        <w:pStyle w:val="ListBullet"/>
        <w:spacing w:after="60" w:line="259" w:lineRule="auto"/>
      </w:pPr>
      <w:r>
        <w:rPr>
          <w:rFonts w:ascii="Times New Roman" w:hAnsi="Times New Roman" w:eastAsia="Times New Roman"/>
        </w:rPr>
        <w:t>Федеральный закон от 29.12.2012 № 273-ФЗ «Об образовании в Российской Федерации»;</w:t>
      </w:r>
    </w:p>
    <w:p>
      <w:pPr>
        <w:pStyle w:val="ListBullet"/>
        <w:spacing w:after="60" w:line="259" w:lineRule="auto"/>
      </w:pPr>
      <w:r>
        <w:rPr>
          <w:rFonts w:ascii="Times New Roman" w:hAnsi="Times New Roman" w:eastAsia="Times New Roman"/>
        </w:rPr>
        <w:t>приказ МЧС России от 15.11.2022 № 1156 «Об утверждении типовых дополнительных профессиональных программ в области пожарной безопасности» (в редакции приказа МЧС России от 24.06.2026 № 468);</w:t>
      </w:r>
    </w:p>
    <w:p>
      <w:pPr>
        <w:pStyle w:val="ListBullet"/>
        <w:spacing w:after="60" w:line="259" w:lineRule="auto"/>
      </w:pPr>
      <w:r>
        <w:rPr>
          <w:rFonts w:ascii="Times New Roman" w:hAnsi="Times New Roman" w:eastAsia="Times New Roman"/>
        </w:rPr>
        <w:t>приказ Министерства науки и высшего образования Российской Федерации от 24.03.2025 № 266 «Об утверждении Порядка организации и осуществления образовательной деятельности по дополнительным профессиональным программам»;</w:t>
      </w:r>
    </w:p>
    <w:p>
      <w:pPr>
        <w:pStyle w:val="ListBullet"/>
        <w:spacing w:after="60" w:line="259" w:lineRule="auto"/>
      </w:pPr>
      <w:r>
        <w:rPr>
          <w:rFonts w:ascii="Times New Roman" w:hAnsi="Times New Roman" w:eastAsia="Times New Roman"/>
        </w:rPr>
        <w:t>постановление Правительства Российской Федерации от 11.10.2023 № 1678 «Об утверждении Правил применения организациями, осуществляющими образовательную деятельность, электронного обучения, дистанционных образовательных технологий при реализации образовательных программ» (в действующей редакции);</w:t>
      </w:r>
    </w:p>
    <w:p>
      <w:pPr>
        <w:pStyle w:val="ListBullet"/>
        <w:spacing w:after="60" w:line="259" w:lineRule="auto"/>
      </w:pPr>
      <w:r>
        <w:rPr>
          <w:rFonts w:ascii="Times New Roman" w:hAnsi="Times New Roman" w:eastAsia="Times New Roman"/>
        </w:rPr>
        <w:t>локальные нормативные акты организации об организации образовательной деятельности, применении ЭО и ДОТ, текущем контроле, промежуточной и итоговой аттестации, обработке персональных данных и выдаче документов о квалификации.</w:t>
      </w:r>
    </w:p>
    <w:p>
      <w:pPr>
        <w:spacing w:before="80" w:after="100"/>
      </w:pPr>
      <w:r>
        <w:rPr>
          <w:rFonts w:ascii="Times New Roman" w:hAnsi="Times New Roman" w:eastAsia="Times New Roman"/>
          <w:b/>
        </w:rPr>
        <w:t xml:space="preserve">Официальные источники: </w:t>
      </w:r>
      <w:hyperlink r:id="rId12">
        <w:r>
          <w:rPr>
            <w:rFonts w:ascii="Times New Roman" w:hAnsi="Times New Roman" w:eastAsia="Times New Roman"/>
            <w:color w:val="1F4E79"/>
            <w:u w:val="single"/>
          </w:rPr>
          <w:t>приказ МЧС России № 1156</w:t>
        </w:r>
      </w:hyperlink>
      <w:r>
        <w:rPr>
          <w:rFonts w:ascii="Times New Roman" w:hAnsi="Times New Roman" w:eastAsia="Times New Roman"/>
        </w:rPr>
        <w:t xml:space="preserve">; </w:t>
      </w:r>
      <w:hyperlink r:id="rId13">
        <w:r>
          <w:rPr>
            <w:rFonts w:ascii="Times New Roman" w:hAnsi="Times New Roman" w:eastAsia="Times New Roman"/>
            <w:color w:val="1F4E79"/>
            <w:u w:val="single"/>
          </w:rPr>
          <w:t>приказ МЧС России № 468</w:t>
        </w:r>
      </w:hyperlink>
      <w:r>
        <w:rPr>
          <w:rFonts w:ascii="Times New Roman" w:hAnsi="Times New Roman" w:eastAsia="Times New Roman"/>
        </w:rPr>
        <w:t xml:space="preserve">; </w:t>
      </w:r>
      <w:hyperlink r:id="rId14">
        <w:r>
          <w:rPr>
            <w:rFonts w:ascii="Times New Roman" w:hAnsi="Times New Roman" w:eastAsia="Times New Roman"/>
            <w:color w:val="1F4E79"/>
            <w:u w:val="single"/>
          </w:rPr>
          <w:t>приказ Минобрнауки России № 266</w:t>
        </w:r>
      </w:hyperlink>
      <w:r>
        <w:rPr>
          <w:rFonts w:ascii="Times New Roman" w:hAnsi="Times New Roman" w:eastAsia="Times New Roman"/>
        </w:rPr>
        <w:t xml:space="preserve">; </w:t>
      </w:r>
      <w:hyperlink r:id="rId15">
        <w:r>
          <w:rPr>
            <w:rFonts w:ascii="Times New Roman" w:hAnsi="Times New Roman" w:eastAsia="Times New Roman"/>
            <w:color w:val="1F4E79"/>
            <w:u w:val="single"/>
          </w:rPr>
          <w:t>постановление Правительства РФ № 1678</w:t>
        </w:r>
      </w:hyperlink>
    </w:p>
    <w:p>
      <w:pPr>
        <w:widowControl/>
        <w:spacing w:after="100" w:line="276" w:lineRule="auto"/>
      </w:pPr>
      <w:r>
        <w:rPr>
          <w:rFonts w:ascii="Times New Roman" w:hAnsi="Times New Roman" w:eastAsia="Times New Roman"/>
        </w:rPr>
        <w:t>3. Программа направлена на совершенствование и (или) получение новой компетенции, необходимой для профессиональной деятельности, и повышение профессионального уровня в рамках имеющейся квалификации.</w:t>
      </w:r>
    </w:p>
    <w:p>
      <w:pPr>
        <w:widowControl/>
        <w:spacing w:after="100" w:line="276" w:lineRule="auto"/>
      </w:pPr>
      <w:r>
        <w:rPr>
          <w:rFonts w:ascii="Times New Roman" w:hAnsi="Times New Roman" w:eastAsia="Times New Roman"/>
        </w:rPr>
        <w:t>4. Структура и минимальный объем модулей соответствуют Типовой программе. В Программу включены обязательный общепрофессиональный модуль и все десять профессиональных модулей вариативной части.</w:t>
      </w:r>
    </w:p>
    <w:p>
      <w:pPr>
        <w:widowControl/>
        <w:spacing w:after="100" w:line="276" w:lineRule="auto"/>
      </w:pPr>
      <w:r>
        <w:rPr>
          <w:rFonts w:ascii="Times New Roman" w:hAnsi="Times New Roman" w:eastAsia="Times New Roman"/>
        </w:rPr>
        <w:t xml:space="preserve">5. Практические занятия имеют общий объем 22 академических часа. В модулях 1–7 и 9–11 выполняются десять дистанционных самостоятельных документарных ситуационных заданий по 2 академических часа. В модуле 8 проводится отдельное синхронное дистанционное практическое занятие продолжительностью 2 академических часа: в реальном времени организуются наблюдение объекта с установленным противопожарным занавесом (занавесами), вопросы преподавателю или представителю объекта и оформление отчета в ЭИОС. Выезд слушателя и физические действия слушателя на оборудовании не предусмотрены. Каждый практический результат сохраняется в ЭИОС и оценивается преподавателем.</w:t>
      </w:r>
    </w:p>
    <w:p>
      <w:pPr>
        <w:widowControl/>
        <w:spacing w:after="100" w:line="276" w:lineRule="auto"/>
      </w:pPr>
      <w:r>
        <w:rPr>
          <w:rFonts w:ascii="Times New Roman" w:hAnsi="Times New Roman" w:eastAsia="Times New Roman"/>
        </w:rPr>
        <w:t>6. К освоению допускаются лица, имеющие или получающие среднее профессиональное и (или) высшее образование. Документ об образовании либо справка об обучении проверяется при зачислении.</w:t>
      </w:r>
    </w:p>
    <w:p>
      <w:pPr>
        <w:widowControl/>
        <w:spacing w:after="100" w:line="276" w:lineRule="auto"/>
      </w:pPr>
      <w:r>
        <w:rPr>
          <w:rFonts w:ascii="Times New Roman" w:hAnsi="Times New Roman" w:eastAsia="Times New Roman"/>
        </w:rPr>
        <w:t>7. Форма обучения — заочная. Программа реализуется исключительно с применением электронного обучения и дистанционных образовательных технологий. Порядок взаимодействия закрепляется расписанием и методическими материалами группы.</w:t>
      </w:r>
    </w:p>
    <w:p>
      <w:pPr>
        <w:widowControl/>
        <w:spacing w:after="100" w:line="276" w:lineRule="auto"/>
      </w:pPr>
      <w:r>
        <w:rPr>
          <w:rFonts w:ascii="Times New Roman" w:hAnsi="Times New Roman" w:eastAsia="Times New Roman"/>
        </w:rPr>
        <w:t>8. Академический час составляет 45 минут. До начала обучения каждому слушателю предоставляются индивидуальные средства доступа в электронную информационно-образовательную среду (ЭИОС), инструкция и канал технической поддержки.</w:t>
      </w:r>
    </w:p>
    <w:p>
      <w:pPr>
        <w:widowControl/>
        <w:spacing w:after="100" w:line="276" w:lineRule="auto"/>
      </w:pPr>
      <w:r>
        <w:rPr>
          <w:rFonts w:ascii="Times New Roman" w:hAnsi="Times New Roman" w:eastAsia="Times New Roman"/>
        </w:rPr>
        <w:t>9. Удостоверение о повышении квалификации подтверждает успешное освоение Программы. Оно не заменяет решение лицензирующего органа и само по себе не является лицензией на соответствующий вид деятельности.</w:t>
      </w:r>
    </w:p>
    <w:p>
      <w:pPr>
        <w:pStyle w:val="Heading1"/>
        <w:keepNext/>
        <w:keepLines/>
      </w:pPr>
      <w:r>
        <w:t>II. Цели и задачи обучения</w:t>
      </w:r>
    </w:p>
    <w:p>
      <w:pPr>
        <w:widowControl/>
        <w:spacing w:after="100" w:line="276" w:lineRule="auto"/>
      </w:pPr>
      <w:r>
        <w:rPr>
          <w:rFonts w:ascii="Times New Roman" w:hAnsi="Times New Roman" w:eastAsia="Times New Roman"/>
        </w:rPr>
        <w:t>10. Цель Программы — повышение квалификации специалистов, осуществляющих деятельность по монтажу, техническому обслуживанию и ремонту, в том числе диспетчеризацию и проведение пусконаладочных работ систем пожаротушения, пожарной сигнализации, оповещения и эвакуации при пожаре, в том числе фотолюминесцентных эвакуационных систем, дымоудаления и противодымной вентиляции, противопожарного водоснабжения, передачи извещений о пожаре, противопожарных занавесов и завес, заполнений проемов в противопожарных преградах и их элементов, в том числе проведения огнезащитной обработки материалов, изделий и конструкций, а также первичных средств пожаротушения.</w:t>
      </w:r>
    </w:p>
    <w:p>
      <w:pPr>
        <w:widowControl/>
        <w:spacing w:after="100" w:line="276" w:lineRule="auto"/>
      </w:pPr>
      <w:r>
        <w:rPr>
          <w:rFonts w:ascii="Times New Roman" w:hAnsi="Times New Roman" w:eastAsia="Times New Roman"/>
        </w:rPr>
        <w:t>11. Задачи Программы:</w:t>
      </w:r>
    </w:p>
    <w:p>
      <w:pPr>
        <w:pStyle w:val="ListBullet"/>
        <w:spacing w:after="60" w:line="259" w:lineRule="auto"/>
      </w:pPr>
      <w:r>
        <w:rPr>
          <w:rFonts w:ascii="Times New Roman" w:hAnsi="Times New Roman" w:eastAsia="Times New Roman"/>
        </w:rPr>
        <w:t>приобретение теоретических знаний по новым образцам пожарно-технической продукции, современным технологиям автоматического обнаружения и защиты объектов от пожаров, ограничения распространения пожара и воздействия опасных факторов пожара на людей;</w:t>
      </w:r>
    </w:p>
    <w:p>
      <w:pPr>
        <w:pStyle w:val="ListBullet"/>
        <w:spacing w:after="60" w:line="259" w:lineRule="auto"/>
      </w:pPr>
      <w:r>
        <w:rPr>
          <w:rFonts w:ascii="Times New Roman" w:hAnsi="Times New Roman" w:eastAsia="Times New Roman"/>
        </w:rPr>
        <w:t>совершенствование теоретических знаний и практических навыков, необходимых для монтажа, технического обслуживания и ремонта средств обеспечения пожарной безопасности зданий и сооружений;</w:t>
      </w:r>
    </w:p>
    <w:p>
      <w:pPr>
        <w:pStyle w:val="ListBullet"/>
        <w:spacing w:after="60" w:line="259" w:lineRule="auto"/>
      </w:pPr>
      <w:r>
        <w:rPr>
          <w:rFonts w:ascii="Times New Roman" w:hAnsi="Times New Roman" w:eastAsia="Times New Roman"/>
        </w:rPr>
        <w:t>совершенствование знаний и практических навыков работы со специальным программным обеспечением;</w:t>
      </w:r>
    </w:p>
    <w:p>
      <w:pPr>
        <w:pStyle w:val="ListBullet"/>
        <w:spacing w:after="60" w:line="259" w:lineRule="auto"/>
      </w:pPr>
      <w:r>
        <w:rPr>
          <w:rFonts w:ascii="Times New Roman" w:hAnsi="Times New Roman" w:eastAsia="Times New Roman"/>
        </w:rPr>
        <w:t>формирование способности документировать результаты монтажа, наладки, испытаний, технического обслуживания и ремонта.</w:t>
      </w:r>
    </w:p>
    <w:p>
      <w:pPr>
        <w:widowControl/>
        <w:spacing w:after="100" w:line="276" w:lineRule="auto"/>
      </w:pPr>
      <w:r>
        <w:rPr>
          <w:rFonts w:ascii="Times New Roman" w:hAnsi="Times New Roman" w:eastAsia="Times New Roman"/>
        </w:rPr>
        <w:t>12. Результат освоения Программы — совершенствование профессиональных компетенций, необходимых для выполнения соответствующих трудовых функций в пределах имеющейся квалификации и допуска работодателя.</w:t>
      </w:r>
    </w:p>
    <w:p>
      <w:pPr>
        <w:pStyle w:val="Heading1"/>
        <w:keepNext/>
        <w:keepLines/>
      </w:pPr>
      <w:r>
        <w:t>III. Учебный план</w:t>
      </w:r>
    </w:p>
    <w:p>
      <w:pPr>
        <w:widowControl/>
        <w:spacing w:after="100" w:line="276" w:lineRule="auto"/>
      </w:pPr>
      <w:r>
        <w:rPr>
          <w:rFonts w:ascii="Times New Roman" w:hAnsi="Times New Roman" w:eastAsia="Times New Roman"/>
        </w:rPr>
        <w:t>13. Учебный план включает обязательный общепрофессиональный модуль, все десять профессиональных модулей вариативной части и итоговую аттестацию.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AAB3BD"/>
          <w:left w:val="single" w:sz="6" w:color="AAB3BD"/>
          <w:bottom w:val="single" w:sz="6" w:color="AAB3BD"/>
          <w:right w:val="single" w:sz="6" w:color="AAB3BD"/>
          <w:insideH w:val="single" w:sz="6" w:color="AAB3BD"/>
          <w:insideV w:val="single" w:sz="6" w:color="AAB3BD"/>
        </w:tblBorders>
      </w:tblPr>
      <w:tblGrid>
        <w:gridCol w:w="510"/>
        <w:gridCol w:w="5896"/>
        <w:gridCol w:w="879"/>
        <w:gridCol w:w="935"/>
        <w:gridCol w:w="1020"/>
      </w:tblGrid>
      <w:tr>
        <w:trPr>
          <w:tblHeader w:val="true"/>
          <w:cantSplit/>
        </w:trPr>
        <w:tc>
          <w:tcPr>
            <w:tcW w:type="dxa" w:w="510"/>
            <w:shd w:fill="2534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jc w:val="center"/>
              <w:keepNext/>
            </w:pPr>
            <w:r>
              <w:rPr>
                <w:color w:val="FFFFFF"/>
              </w:rPr>
            </w:r>
            <w:r>
              <w:rPr>
                <w:rFonts w:ascii="Times New Roman" w:hAnsi="Times New Roman" w:eastAsia="Times New Roman"/>
                <w:b/>
                <w:color w:val="FFFFFF"/>
                <w:sz w:val="17"/>
              </w:rPr>
              <w:t>№</w:t>
            </w:r>
          </w:p>
        </w:tc>
        <w:tc>
          <w:tcPr>
            <w:tcW w:type="dxa" w:w="5896"/>
            <w:shd w:fill="2534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jc w:val="center"/>
              <w:keepNext/>
            </w:pPr>
            <w:r>
              <w:rPr>
                <w:color w:val="FFFFFF"/>
              </w:rPr>
            </w:r>
            <w:r>
              <w:rPr>
                <w:rFonts w:ascii="Times New Roman" w:hAnsi="Times New Roman" w:eastAsia="Times New Roman"/>
                <w:b/>
                <w:color w:val="FFFFFF"/>
                <w:sz w:val="17"/>
              </w:rPr>
              <w:t>Наименование модуля</w:t>
            </w:r>
          </w:p>
        </w:tc>
        <w:tc>
          <w:tcPr>
            <w:tcW w:type="dxa" w:w="879"/>
            <w:shd w:fill="2534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jc w:val="center"/>
              <w:keepNext/>
            </w:pPr>
            <w:r>
              <w:rPr>
                <w:color w:val="FFFFFF"/>
              </w:rPr>
            </w:r>
            <w:r>
              <w:rPr>
                <w:rFonts w:ascii="Times New Roman" w:hAnsi="Times New Roman" w:eastAsia="Times New Roman"/>
                <w:b/>
                <w:color w:val="FFFFFF"/>
                <w:sz w:val="17"/>
              </w:rPr>
              <w:t>Всего</w:t>
            </w:r>
          </w:p>
        </w:tc>
        <w:tc>
          <w:tcPr>
            <w:tcW w:type="dxa" w:w="935"/>
            <w:shd w:fill="2534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jc w:val="center"/>
              <w:keepNext/>
            </w:pPr>
            <w:r>
              <w:rPr>
                <w:color w:val="FFFFFF"/>
              </w:rPr>
            </w:r>
            <w:r>
              <w:rPr>
                <w:rFonts w:ascii="Times New Roman" w:hAnsi="Times New Roman" w:eastAsia="Times New Roman"/>
                <w:b/>
                <w:color w:val="FFFFFF"/>
                <w:sz w:val="17"/>
              </w:rPr>
              <w:t>Теория</w:t>
            </w:r>
          </w:p>
        </w:tc>
        <w:tc>
          <w:tcPr>
            <w:tcW w:type="dxa" w:w="1020"/>
            <w:shd w:fill="2534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jc w:val="center"/>
              <w:keepNext/>
            </w:pPr>
            <w:r>
              <w:rPr>
                <w:color w:val="FFFFFF"/>
              </w:rPr>
            </w:r>
            <w:r>
              <w:rPr>
                <w:rFonts w:ascii="Times New Roman" w:hAnsi="Times New Roman" w:eastAsia="Times New Roman"/>
                <w:b/>
                <w:color w:val="FFFFFF"/>
                <w:sz w:val="17"/>
              </w:rPr>
              <w:t xml:space="preserve">Работы / ИА</w:t>
            </w:r>
          </w:p>
        </w:tc>
      </w:tr>
      <w:tr>
        <w:trPr>
          <w:cantSplit/>
        </w:trPr>
        <w:tc>
          <w:tcPr>
            <w:tcW w:type="dxa" w:w="510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1</w:t>
            </w:r>
          </w:p>
        </w:tc>
        <w:tc>
          <w:tcPr>
            <w:tcW w:type="dxa" w:w="5896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Общепрофессиональный модуль</w:t>
            </w:r>
          </w:p>
        </w:tc>
        <w:tc>
          <w:tcPr>
            <w:tcW w:type="dxa" w:w="879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16</w:t>
            </w:r>
          </w:p>
        </w:tc>
        <w:tc>
          <w:tcPr>
            <w:tcW w:type="dxa" w:w="935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14</w:t>
            </w:r>
          </w:p>
        </w:tc>
        <w:tc>
          <w:tcPr>
            <w:tcW w:type="dxa" w:w="1020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2</w:t>
            </w:r>
          </w:p>
        </w:tc>
      </w:tr>
      <w:tr>
        <w:trPr>
          <w:cantSplit/>
        </w:trPr>
        <w:tc>
          <w:tcPr>
            <w:tcW w:type="dxa" w:w="510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2</w:t>
            </w:r>
          </w:p>
        </w:tc>
        <w:tc>
          <w:tcPr>
            <w:tcW w:type="dxa" w:w="5896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Монтаж, техническое обслуживание и ремонт систем пожаротушения и их элементов, включая диспетчеризацию и проведение пусконаладочных работ</w:t>
            </w:r>
          </w:p>
        </w:tc>
        <w:tc>
          <w:tcPr>
            <w:tcW w:type="dxa" w:w="879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16</w:t>
            </w:r>
          </w:p>
        </w:tc>
        <w:tc>
          <w:tcPr>
            <w:tcW w:type="dxa" w:w="935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14</w:t>
            </w:r>
          </w:p>
        </w:tc>
        <w:tc>
          <w:tcPr>
            <w:tcW w:type="dxa" w:w="1020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2</w:t>
            </w:r>
          </w:p>
        </w:tc>
      </w:tr>
      <w:tr>
        <w:trPr>
          <w:cantSplit/>
        </w:trPr>
        <w:tc>
          <w:tcPr>
            <w:tcW w:type="dxa" w:w="510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3</w:t>
            </w:r>
          </w:p>
        </w:tc>
        <w:tc>
          <w:tcPr>
            <w:tcW w:type="dxa" w:w="5896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Монтаж, техническое обслуживание и ремонт систем пожарной и охранно-пожарной сигнализации и их элементов, включая диспетчеризацию и проведение пусконаладочных работ</w:t>
            </w:r>
          </w:p>
        </w:tc>
        <w:tc>
          <w:tcPr>
            <w:tcW w:type="dxa" w:w="879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16</w:t>
            </w:r>
          </w:p>
        </w:tc>
        <w:tc>
          <w:tcPr>
            <w:tcW w:type="dxa" w:w="935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14</w:t>
            </w:r>
          </w:p>
        </w:tc>
        <w:tc>
          <w:tcPr>
            <w:tcW w:type="dxa" w:w="1020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2</w:t>
            </w:r>
          </w:p>
        </w:tc>
      </w:tr>
      <w:tr>
        <w:trPr>
          <w:cantSplit/>
        </w:trPr>
        <w:tc>
          <w:tcPr>
            <w:tcW w:type="dxa" w:w="510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4</w:t>
            </w:r>
          </w:p>
        </w:tc>
        <w:tc>
          <w:tcPr>
            <w:tcW w:type="dxa" w:w="5896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Монтаж, техническое обслуживание и ремонт систем противопожарного водоснабжения и их элементов, включая диспетчеризацию и проведение пусконаладочных работ</w:t>
            </w:r>
          </w:p>
        </w:tc>
        <w:tc>
          <w:tcPr>
            <w:tcW w:type="dxa" w:w="879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16</w:t>
            </w:r>
          </w:p>
        </w:tc>
        <w:tc>
          <w:tcPr>
            <w:tcW w:type="dxa" w:w="935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14</w:t>
            </w:r>
          </w:p>
        </w:tc>
        <w:tc>
          <w:tcPr>
            <w:tcW w:type="dxa" w:w="1020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2</w:t>
            </w:r>
          </w:p>
        </w:tc>
      </w:tr>
      <w:tr>
        <w:trPr>
          <w:cantSplit/>
        </w:trPr>
        <w:tc>
          <w:tcPr>
            <w:tcW w:type="dxa" w:w="510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5</w:t>
            </w:r>
          </w:p>
        </w:tc>
        <w:tc>
          <w:tcPr>
            <w:tcW w:type="dxa" w:w="5896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Монтаж, техническое обслуживание и ремонт автоматических систем (элементов автоматических систем) противодымной вентиляции, включая диспетчеризацию и проведение пусконаладочных работ</w:t>
            </w:r>
          </w:p>
        </w:tc>
        <w:tc>
          <w:tcPr>
            <w:tcW w:type="dxa" w:w="879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16</w:t>
            </w:r>
          </w:p>
        </w:tc>
        <w:tc>
          <w:tcPr>
            <w:tcW w:type="dxa" w:w="935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14</w:t>
            </w:r>
          </w:p>
        </w:tc>
        <w:tc>
          <w:tcPr>
            <w:tcW w:type="dxa" w:w="1020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2</w:t>
            </w:r>
          </w:p>
        </w:tc>
      </w:tr>
      <w:tr>
        <w:trPr>
          <w:cantSplit/>
        </w:trPr>
        <w:tc>
          <w:tcPr>
            <w:tcW w:type="dxa" w:w="510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6</w:t>
            </w:r>
          </w:p>
        </w:tc>
        <w:tc>
          <w:tcPr>
            <w:tcW w:type="dxa" w:w="5896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Монтаж, техническое обслуживание и ремонт систем оповещения и эвакуации при пожаре и их элементов, включая диспетчеризацию и проведение пусконаладочных работ, в том числе фотолюминесцентных эвакуационных систем и их элементов</w:t>
            </w:r>
          </w:p>
        </w:tc>
        <w:tc>
          <w:tcPr>
            <w:tcW w:type="dxa" w:w="879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16</w:t>
            </w:r>
          </w:p>
        </w:tc>
        <w:tc>
          <w:tcPr>
            <w:tcW w:type="dxa" w:w="935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14</w:t>
            </w:r>
          </w:p>
        </w:tc>
        <w:tc>
          <w:tcPr>
            <w:tcW w:type="dxa" w:w="1020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2</w:t>
            </w:r>
          </w:p>
        </w:tc>
      </w:tr>
      <w:tr>
        <w:trPr>
          <w:cantSplit/>
        </w:trPr>
        <w:tc>
          <w:tcPr>
            <w:tcW w:type="dxa" w:w="510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7</w:t>
            </w:r>
          </w:p>
        </w:tc>
        <w:tc>
          <w:tcPr>
            <w:tcW w:type="dxa" w:w="5896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Монтаж, техническое обслуживание и ремонт автоматических систем (элементов автоматических систем) передачи извещений о пожаре, включая диспетчеризацию и проведение пусконаладочных работ</w:t>
            </w:r>
          </w:p>
        </w:tc>
        <w:tc>
          <w:tcPr>
            <w:tcW w:type="dxa" w:w="879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16</w:t>
            </w:r>
          </w:p>
        </w:tc>
        <w:tc>
          <w:tcPr>
            <w:tcW w:type="dxa" w:w="935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14</w:t>
            </w:r>
          </w:p>
        </w:tc>
        <w:tc>
          <w:tcPr>
            <w:tcW w:type="dxa" w:w="1020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2</w:t>
            </w:r>
          </w:p>
        </w:tc>
      </w:tr>
      <w:tr>
        <w:trPr>
          <w:cantSplit/>
        </w:trPr>
        <w:tc>
          <w:tcPr>
            <w:tcW w:type="dxa" w:w="510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8</w:t>
            </w:r>
          </w:p>
        </w:tc>
        <w:tc>
          <w:tcPr>
            <w:tcW w:type="dxa" w:w="5896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Монтаж, техническое обслуживание и ремонт противопожарных занавесов и завес, включая диспетчеризацию и проведение пусконаладочных работ</w:t>
            </w:r>
          </w:p>
        </w:tc>
        <w:tc>
          <w:tcPr>
            <w:tcW w:type="dxa" w:w="879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16</w:t>
            </w:r>
          </w:p>
        </w:tc>
        <w:tc>
          <w:tcPr>
            <w:tcW w:type="dxa" w:w="935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14</w:t>
            </w:r>
          </w:p>
        </w:tc>
        <w:tc>
          <w:tcPr>
            <w:tcW w:type="dxa" w:w="1020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2</w:t>
            </w:r>
          </w:p>
        </w:tc>
      </w:tr>
      <w:tr>
        <w:trPr>
          <w:cantSplit/>
        </w:trPr>
        <w:tc>
          <w:tcPr>
            <w:tcW w:type="dxa" w:w="510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9</w:t>
            </w:r>
          </w:p>
        </w:tc>
        <w:tc>
          <w:tcPr>
            <w:tcW w:type="dxa" w:w="5896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Монтаж, техническое обслуживание и ремонт заполнений проемов в противопожарных преградах</w:t>
            </w:r>
          </w:p>
        </w:tc>
        <w:tc>
          <w:tcPr>
            <w:tcW w:type="dxa" w:w="879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16</w:t>
            </w:r>
          </w:p>
        </w:tc>
        <w:tc>
          <w:tcPr>
            <w:tcW w:type="dxa" w:w="935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14</w:t>
            </w:r>
          </w:p>
        </w:tc>
        <w:tc>
          <w:tcPr>
            <w:tcW w:type="dxa" w:w="1020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2</w:t>
            </w:r>
          </w:p>
        </w:tc>
      </w:tr>
      <w:tr>
        <w:trPr>
          <w:cantSplit/>
        </w:trPr>
        <w:tc>
          <w:tcPr>
            <w:tcW w:type="dxa" w:w="510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10</w:t>
            </w:r>
          </w:p>
        </w:tc>
        <w:tc>
          <w:tcPr>
            <w:tcW w:type="dxa" w:w="5896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Выполнение работ по огнезащите материалов, изделий и конструкций</w:t>
            </w:r>
          </w:p>
        </w:tc>
        <w:tc>
          <w:tcPr>
            <w:tcW w:type="dxa" w:w="879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16</w:t>
            </w:r>
          </w:p>
        </w:tc>
        <w:tc>
          <w:tcPr>
            <w:tcW w:type="dxa" w:w="935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14</w:t>
            </w:r>
          </w:p>
        </w:tc>
        <w:tc>
          <w:tcPr>
            <w:tcW w:type="dxa" w:w="1020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2</w:t>
            </w:r>
          </w:p>
        </w:tc>
      </w:tr>
      <w:tr>
        <w:trPr>
          <w:cantSplit/>
        </w:trPr>
        <w:tc>
          <w:tcPr>
            <w:tcW w:type="dxa" w:w="510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11</w:t>
            </w:r>
          </w:p>
        </w:tc>
        <w:tc>
          <w:tcPr>
            <w:tcW w:type="dxa" w:w="5896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Монтаж, техническое обслуживание и ремонт первичных средств пожаротушения</w:t>
            </w:r>
          </w:p>
        </w:tc>
        <w:tc>
          <w:tcPr>
            <w:tcW w:type="dxa" w:w="879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16</w:t>
            </w:r>
          </w:p>
        </w:tc>
        <w:tc>
          <w:tcPr>
            <w:tcW w:type="dxa" w:w="935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14</w:t>
            </w:r>
          </w:p>
        </w:tc>
        <w:tc>
          <w:tcPr>
            <w:tcW w:type="dxa" w:w="1020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2</w:t>
            </w:r>
          </w:p>
        </w:tc>
      </w:tr>
      <w:tr>
        <w:trPr>
          <w:cantSplit/>
        </w:trPr>
        <w:tc>
          <w:tcPr>
            <w:tcW w:type="dxa" w:w="510"/>
            <w:shd w:fill="EEF2F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7"/>
              </w:rPr>
              <w:t>12</w:t>
            </w:r>
          </w:p>
        </w:tc>
        <w:tc>
          <w:tcPr>
            <w:tcW w:type="dxa" w:w="5896"/>
            <w:shd w:fill="EEF2F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17"/>
              </w:rPr>
              <w:t>Итоговая аттестация</w:t>
            </w:r>
          </w:p>
        </w:tc>
        <w:tc>
          <w:tcPr>
            <w:tcW w:type="dxa" w:w="879"/>
            <w:shd w:fill="EEF2F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7"/>
              </w:rPr>
              <w:t>2</w:t>
            </w:r>
          </w:p>
        </w:tc>
        <w:tc>
          <w:tcPr>
            <w:tcW w:type="dxa" w:w="935"/>
            <w:shd w:fill="EEF2F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7"/>
              </w:rPr>
              <w:t>—</w:t>
            </w:r>
          </w:p>
        </w:tc>
        <w:tc>
          <w:tcPr>
            <w:tcW w:type="dxa" w:w="1020"/>
            <w:shd w:fill="EEF2F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7"/>
              </w:rPr>
              <w:t>2</w:t>
            </w:r>
          </w:p>
        </w:tc>
      </w:tr>
      <w:tr>
        <w:trPr>
          <w:cantSplit/>
        </w:trPr>
        <w:tc>
          <w:tcPr>
            <w:tcW w:type="dxa" w:w="510"/>
            <w:shd w:fill="D9E3E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</w:r>
          </w:p>
        </w:tc>
        <w:tc>
          <w:tcPr>
            <w:tcW w:type="dxa" w:w="5896"/>
            <w:shd w:fill="D9E3E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Итого по Программе</w:t>
            </w:r>
          </w:p>
        </w:tc>
        <w:tc>
          <w:tcPr>
            <w:tcW w:type="dxa" w:w="879"/>
            <w:shd w:fill="D9E3E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178</w:t>
            </w:r>
          </w:p>
        </w:tc>
        <w:tc>
          <w:tcPr>
            <w:tcW w:type="dxa" w:w="935"/>
            <w:shd w:fill="D9E3E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154</w:t>
            </w:r>
          </w:p>
        </w:tc>
        <w:tc>
          <w:tcPr>
            <w:tcW w:type="dxa" w:w="1020"/>
            <w:shd w:fill="D9E3E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24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241"/>
      </w:tblGrid>
      <w:tr>
        <w:trPr>
          <w:cantSplit/>
          <w:tblHeader/>
        </w:trPr>
        <w:tc>
          <w:tcPr>
            <w:tcW w:type="dxa" w:w="9241"/>
            <w:shd w:fill="EEF2F5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60"/>
              <w:keepNext/>
            </w:pPr>
            <w:r>
              <w:rPr>
                <w:rFonts w:ascii="Times New Roman" w:hAnsi="Times New Roman" w:eastAsia="Times New Roman"/>
                <w:b/>
                <w:sz w:val="21"/>
              </w:rPr>
              <w:t xml:space="preserve">Распределение учебного времени</w:t>
            </w:r>
          </w:p>
          <w:p>
            <w:pPr>
              <w:spacing w:after="0"/>
              <w:keepNext/>
            </w:pPr>
            <w:r>
              <w:rPr>
                <w:rFonts w:ascii="Times New Roman" w:hAnsi="Times New Roman" w:eastAsia="Times New Roman"/>
                <w:sz w:val="21"/>
              </w:rPr>
              <w:t>154 часа теоретических занятий + 22 часа практических занятий (11 модулей × 2 часа) + 2 часа итоговой аттестации = 178 часов. В последней колонке учебного плана 24 часа объединяют практику и итоговую аттестацию.</w:t>
            </w:r>
          </w:p>
        </w:tc>
      </w:tr>
    </w:tbl>
    <w:p>
      <w:pPr>
        <w:spacing w:after="0"/>
      </w:pPr>
    </w:p>
    <w:p>
      <w:pPr>
        <w:pStyle w:val="Heading1"/>
        <w:keepNext/>
        <w:keepLines/>
      </w:pPr>
      <w:r>
        <w:t>IV. Календарный учебный график</w:t>
      </w:r>
    </w:p>
    <w:p>
      <w:pPr>
        <w:widowControl/>
        <w:spacing w:after="100" w:line="276" w:lineRule="auto"/>
      </w:pPr>
      <w:r>
        <w:rPr>
          <w:rFonts w:ascii="Times New Roman" w:hAnsi="Times New Roman" w:eastAsia="Times New Roman"/>
        </w:rPr>
        <w:t>14. Типовой календарный график рассчитан на освоение всех модулей. Конкретные даты, время синхронных занятий и сроки выполнения асинхронных заданий устанавливаются расписанием группы. Учебная нагрузка по данному графику не превышает 8 академических часов в день.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AAB3BD"/>
          <w:left w:val="single" w:sz="6" w:color="AAB3BD"/>
          <w:bottom w:val="single" w:sz="6" w:color="AAB3BD"/>
          <w:right w:val="single" w:sz="6" w:color="AAB3BD"/>
          <w:insideH w:val="single" w:sz="6" w:color="AAB3BD"/>
          <w:insideV w:val="single" w:sz="6" w:color="AAB3BD"/>
        </w:tblBorders>
      </w:tblPr>
      <w:tblGrid>
        <w:gridCol w:w="1304"/>
        <w:gridCol w:w="879"/>
        <w:gridCol w:w="879"/>
        <w:gridCol w:w="879"/>
        <w:gridCol w:w="879"/>
        <w:gridCol w:w="879"/>
        <w:gridCol w:w="737"/>
        <w:gridCol w:w="737"/>
        <w:gridCol w:w="879"/>
      </w:tblGrid>
      <w:tr>
        <w:trPr>
          <w:tblHeader w:val="true"/>
          <w:cantSplit/>
        </w:trPr>
        <w:tc>
          <w:tcPr>
            <w:tcW w:type="dxa" w:w="1304"/>
            <w:shd w:fill="2534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jc w:val="center"/>
              <w:keepNext/>
            </w:pPr>
            <w:r>
              <w:rPr>
                <w:color w:val="FFFFFF"/>
              </w:rPr>
            </w:r>
            <w:r>
              <w:rPr>
                <w:rFonts w:ascii="Times New Roman" w:hAnsi="Times New Roman" w:eastAsia="Times New Roman"/>
                <w:b/>
                <w:color w:val="FFFFFF"/>
                <w:sz w:val="17"/>
              </w:rPr>
              <w:t>Неделя</w:t>
            </w:r>
          </w:p>
        </w:tc>
        <w:tc>
          <w:tcPr>
            <w:tcW w:type="dxa" w:w="879"/>
            <w:shd w:fill="2534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jc w:val="center"/>
              <w:keepNext/>
            </w:pPr>
            <w:r>
              <w:rPr>
                <w:color w:val="FFFFFF"/>
              </w:rPr>
            </w:r>
            <w:r>
              <w:rPr>
                <w:rFonts w:ascii="Times New Roman" w:hAnsi="Times New Roman" w:eastAsia="Times New Roman"/>
                <w:b/>
                <w:color w:val="FFFFFF"/>
                <w:sz w:val="17"/>
              </w:rPr>
              <w:t>Пн</w:t>
            </w:r>
          </w:p>
        </w:tc>
        <w:tc>
          <w:tcPr>
            <w:tcW w:type="dxa" w:w="879"/>
            <w:shd w:fill="2534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jc w:val="center"/>
              <w:keepNext/>
            </w:pPr>
            <w:r>
              <w:rPr>
                <w:color w:val="FFFFFF"/>
              </w:rPr>
            </w:r>
            <w:r>
              <w:rPr>
                <w:rFonts w:ascii="Times New Roman" w:hAnsi="Times New Roman" w:eastAsia="Times New Roman"/>
                <w:b/>
                <w:color w:val="FFFFFF"/>
                <w:sz w:val="17"/>
              </w:rPr>
              <w:t>Вт</w:t>
            </w:r>
          </w:p>
        </w:tc>
        <w:tc>
          <w:tcPr>
            <w:tcW w:type="dxa" w:w="879"/>
            <w:shd w:fill="2534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jc w:val="center"/>
              <w:keepNext/>
            </w:pPr>
            <w:r>
              <w:rPr>
                <w:color w:val="FFFFFF"/>
              </w:rPr>
            </w:r>
            <w:r>
              <w:rPr>
                <w:rFonts w:ascii="Times New Roman" w:hAnsi="Times New Roman" w:eastAsia="Times New Roman"/>
                <w:b/>
                <w:color w:val="FFFFFF"/>
                <w:sz w:val="17"/>
              </w:rPr>
              <w:t>Ср</w:t>
            </w:r>
          </w:p>
        </w:tc>
        <w:tc>
          <w:tcPr>
            <w:tcW w:type="dxa" w:w="879"/>
            <w:shd w:fill="2534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jc w:val="center"/>
              <w:keepNext/>
            </w:pPr>
            <w:r>
              <w:rPr>
                <w:color w:val="FFFFFF"/>
              </w:rPr>
            </w:r>
            <w:r>
              <w:rPr>
                <w:rFonts w:ascii="Times New Roman" w:hAnsi="Times New Roman" w:eastAsia="Times New Roman"/>
                <w:b/>
                <w:color w:val="FFFFFF"/>
                <w:sz w:val="17"/>
              </w:rPr>
              <w:t>Чт</w:t>
            </w:r>
          </w:p>
        </w:tc>
        <w:tc>
          <w:tcPr>
            <w:tcW w:type="dxa" w:w="879"/>
            <w:shd w:fill="2534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jc w:val="center"/>
              <w:keepNext/>
            </w:pPr>
            <w:r>
              <w:rPr>
                <w:color w:val="FFFFFF"/>
              </w:rPr>
            </w:r>
            <w:r>
              <w:rPr>
                <w:rFonts w:ascii="Times New Roman" w:hAnsi="Times New Roman" w:eastAsia="Times New Roman"/>
                <w:b/>
                <w:color w:val="FFFFFF"/>
                <w:sz w:val="17"/>
              </w:rPr>
              <w:t>Пт</w:t>
            </w:r>
          </w:p>
        </w:tc>
        <w:tc>
          <w:tcPr>
            <w:tcW w:type="dxa" w:w="737"/>
            <w:shd w:fill="2534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jc w:val="center"/>
              <w:keepNext/>
            </w:pPr>
            <w:r>
              <w:rPr>
                <w:color w:val="FFFFFF"/>
              </w:rPr>
            </w:r>
            <w:r>
              <w:rPr>
                <w:rFonts w:ascii="Times New Roman" w:hAnsi="Times New Roman" w:eastAsia="Times New Roman"/>
                <w:b/>
                <w:color w:val="FFFFFF"/>
                <w:sz w:val="17"/>
              </w:rPr>
              <w:t>Сб</w:t>
            </w:r>
          </w:p>
        </w:tc>
        <w:tc>
          <w:tcPr>
            <w:tcW w:type="dxa" w:w="737"/>
            <w:shd w:fill="2534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jc w:val="center"/>
              <w:keepNext/>
            </w:pPr>
            <w:r>
              <w:rPr>
                <w:color w:val="FFFFFF"/>
              </w:rPr>
            </w:r>
            <w:r>
              <w:rPr>
                <w:rFonts w:ascii="Times New Roman" w:hAnsi="Times New Roman" w:eastAsia="Times New Roman"/>
                <w:b/>
                <w:color w:val="FFFFFF"/>
                <w:sz w:val="17"/>
              </w:rPr>
              <w:t>Вс</w:t>
            </w:r>
          </w:p>
        </w:tc>
        <w:tc>
          <w:tcPr>
            <w:tcW w:type="dxa" w:w="879"/>
            <w:shd w:fill="2534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jc w:val="center"/>
              <w:keepNext/>
            </w:pPr>
            <w:r>
              <w:rPr>
                <w:color w:val="FFFFFF"/>
              </w:rPr>
            </w:r>
            <w:r>
              <w:rPr>
                <w:rFonts w:ascii="Times New Roman" w:hAnsi="Times New Roman" w:eastAsia="Times New Roman"/>
                <w:b/>
                <w:color w:val="FFFFFF"/>
                <w:sz w:val="17"/>
              </w:rPr>
              <w:t>Итого</w:t>
            </w:r>
          </w:p>
        </w:tc>
      </w:tr>
      <w:tr>
        <w:trPr>
          <w:cantSplit/>
        </w:trPr>
        <w:tc>
          <w:tcPr>
            <w:tcW w:type="dxa" w:w="1304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1 неделя</w:t>
            </w:r>
          </w:p>
        </w:tc>
        <w:tc>
          <w:tcPr>
            <w:tcW w:type="dxa" w:w="879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8</w:t>
            </w:r>
          </w:p>
        </w:tc>
        <w:tc>
          <w:tcPr>
            <w:tcW w:type="dxa" w:w="879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8</w:t>
            </w:r>
          </w:p>
        </w:tc>
        <w:tc>
          <w:tcPr>
            <w:tcW w:type="dxa" w:w="879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8</w:t>
            </w:r>
          </w:p>
        </w:tc>
        <w:tc>
          <w:tcPr>
            <w:tcW w:type="dxa" w:w="879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8</w:t>
            </w:r>
          </w:p>
        </w:tc>
        <w:tc>
          <w:tcPr>
            <w:tcW w:type="dxa" w:w="879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8</w:t>
            </w:r>
          </w:p>
        </w:tc>
        <w:tc>
          <w:tcPr>
            <w:tcW w:type="dxa" w:w="737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—</w:t>
            </w:r>
          </w:p>
        </w:tc>
        <w:tc>
          <w:tcPr>
            <w:tcW w:type="dxa" w:w="737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—</w:t>
            </w:r>
          </w:p>
        </w:tc>
        <w:tc>
          <w:tcPr>
            <w:tcW w:type="dxa" w:w="879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40</w:t>
            </w:r>
          </w:p>
        </w:tc>
      </w:tr>
      <w:tr>
        <w:trPr>
          <w:cantSplit/>
        </w:trPr>
        <w:tc>
          <w:tcPr>
            <w:tcW w:type="dxa" w:w="1304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2 неделя</w:t>
            </w:r>
          </w:p>
        </w:tc>
        <w:tc>
          <w:tcPr>
            <w:tcW w:type="dxa" w:w="879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8</w:t>
            </w:r>
          </w:p>
        </w:tc>
        <w:tc>
          <w:tcPr>
            <w:tcW w:type="dxa" w:w="879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8</w:t>
            </w:r>
          </w:p>
        </w:tc>
        <w:tc>
          <w:tcPr>
            <w:tcW w:type="dxa" w:w="879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8</w:t>
            </w:r>
          </w:p>
        </w:tc>
        <w:tc>
          <w:tcPr>
            <w:tcW w:type="dxa" w:w="879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8</w:t>
            </w:r>
          </w:p>
        </w:tc>
        <w:tc>
          <w:tcPr>
            <w:tcW w:type="dxa" w:w="879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8</w:t>
            </w:r>
          </w:p>
        </w:tc>
        <w:tc>
          <w:tcPr>
            <w:tcW w:type="dxa" w:w="737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—</w:t>
            </w:r>
          </w:p>
        </w:tc>
        <w:tc>
          <w:tcPr>
            <w:tcW w:type="dxa" w:w="737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—</w:t>
            </w:r>
          </w:p>
        </w:tc>
        <w:tc>
          <w:tcPr>
            <w:tcW w:type="dxa" w:w="879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40</w:t>
            </w:r>
          </w:p>
        </w:tc>
      </w:tr>
      <w:tr>
        <w:trPr>
          <w:cantSplit/>
        </w:trPr>
        <w:tc>
          <w:tcPr>
            <w:tcW w:type="dxa" w:w="1304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3 неделя</w:t>
            </w:r>
          </w:p>
        </w:tc>
        <w:tc>
          <w:tcPr>
            <w:tcW w:type="dxa" w:w="879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8</w:t>
            </w:r>
          </w:p>
        </w:tc>
        <w:tc>
          <w:tcPr>
            <w:tcW w:type="dxa" w:w="879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8</w:t>
            </w:r>
          </w:p>
        </w:tc>
        <w:tc>
          <w:tcPr>
            <w:tcW w:type="dxa" w:w="879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8</w:t>
            </w:r>
          </w:p>
        </w:tc>
        <w:tc>
          <w:tcPr>
            <w:tcW w:type="dxa" w:w="879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8</w:t>
            </w:r>
          </w:p>
        </w:tc>
        <w:tc>
          <w:tcPr>
            <w:tcW w:type="dxa" w:w="879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8</w:t>
            </w:r>
          </w:p>
        </w:tc>
        <w:tc>
          <w:tcPr>
            <w:tcW w:type="dxa" w:w="737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—</w:t>
            </w:r>
          </w:p>
        </w:tc>
        <w:tc>
          <w:tcPr>
            <w:tcW w:type="dxa" w:w="737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—</w:t>
            </w:r>
          </w:p>
        </w:tc>
        <w:tc>
          <w:tcPr>
            <w:tcW w:type="dxa" w:w="879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40</w:t>
            </w:r>
          </w:p>
        </w:tc>
      </w:tr>
      <w:tr>
        <w:trPr>
          <w:cantSplit/>
        </w:trPr>
        <w:tc>
          <w:tcPr>
            <w:tcW w:type="dxa" w:w="1304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4 неделя</w:t>
            </w:r>
          </w:p>
        </w:tc>
        <w:tc>
          <w:tcPr>
            <w:tcW w:type="dxa" w:w="879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8</w:t>
            </w:r>
          </w:p>
        </w:tc>
        <w:tc>
          <w:tcPr>
            <w:tcW w:type="dxa" w:w="879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8</w:t>
            </w:r>
          </w:p>
        </w:tc>
        <w:tc>
          <w:tcPr>
            <w:tcW w:type="dxa" w:w="879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8</w:t>
            </w:r>
          </w:p>
        </w:tc>
        <w:tc>
          <w:tcPr>
            <w:tcW w:type="dxa" w:w="879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8</w:t>
            </w:r>
          </w:p>
        </w:tc>
        <w:tc>
          <w:tcPr>
            <w:tcW w:type="dxa" w:w="879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8</w:t>
            </w:r>
          </w:p>
        </w:tc>
        <w:tc>
          <w:tcPr>
            <w:tcW w:type="dxa" w:w="737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—</w:t>
            </w:r>
          </w:p>
        </w:tc>
        <w:tc>
          <w:tcPr>
            <w:tcW w:type="dxa" w:w="737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—</w:t>
            </w:r>
          </w:p>
        </w:tc>
        <w:tc>
          <w:tcPr>
            <w:tcW w:type="dxa" w:w="879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40</w:t>
            </w:r>
          </w:p>
        </w:tc>
      </w:tr>
      <w:tr>
        <w:trPr>
          <w:cantSplit/>
        </w:trPr>
        <w:tc>
          <w:tcPr>
            <w:tcW w:type="dxa" w:w="1304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5 неделя</w:t>
            </w:r>
          </w:p>
        </w:tc>
        <w:tc>
          <w:tcPr>
            <w:tcW w:type="dxa" w:w="879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8</w:t>
            </w:r>
          </w:p>
        </w:tc>
        <w:tc>
          <w:tcPr>
            <w:tcW w:type="dxa" w:w="879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8</w:t>
            </w:r>
          </w:p>
        </w:tc>
        <w:tc>
          <w:tcPr>
            <w:tcW w:type="dxa" w:w="879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ИА · 2</w:t>
            </w:r>
          </w:p>
        </w:tc>
        <w:tc>
          <w:tcPr>
            <w:tcW w:type="dxa" w:w="879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—</w:t>
            </w:r>
          </w:p>
        </w:tc>
        <w:tc>
          <w:tcPr>
            <w:tcW w:type="dxa" w:w="879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—</w:t>
            </w:r>
          </w:p>
        </w:tc>
        <w:tc>
          <w:tcPr>
            <w:tcW w:type="dxa" w:w="737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—</w:t>
            </w:r>
          </w:p>
        </w:tc>
        <w:tc>
          <w:tcPr>
            <w:tcW w:type="dxa" w:w="737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—</w:t>
            </w:r>
          </w:p>
        </w:tc>
        <w:tc>
          <w:tcPr>
            <w:tcW w:type="dxa" w:w="879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18</w:t>
            </w:r>
          </w:p>
        </w:tc>
      </w:tr>
      <w:tr>
        <w:trPr>
          <w:cantSplit/>
        </w:trPr>
        <w:tc>
          <w:tcPr>
            <w:tcW w:type="dxa" w:w="1304"/>
            <w:shd w:fill="D9E3E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Итого</w:t>
            </w:r>
          </w:p>
        </w:tc>
        <w:tc>
          <w:tcPr>
            <w:tcW w:type="dxa" w:w="879"/>
            <w:shd w:fill="D9E3E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</w:r>
          </w:p>
        </w:tc>
        <w:tc>
          <w:tcPr>
            <w:tcW w:type="dxa" w:w="879"/>
            <w:shd w:fill="D9E3E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</w:r>
          </w:p>
        </w:tc>
        <w:tc>
          <w:tcPr>
            <w:tcW w:type="dxa" w:w="879"/>
            <w:shd w:fill="D9E3E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</w:r>
          </w:p>
        </w:tc>
        <w:tc>
          <w:tcPr>
            <w:tcW w:type="dxa" w:w="879"/>
            <w:shd w:fill="D9E3E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</w:r>
          </w:p>
        </w:tc>
        <w:tc>
          <w:tcPr>
            <w:tcW w:type="dxa" w:w="879"/>
            <w:shd w:fill="D9E3E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</w:r>
          </w:p>
        </w:tc>
        <w:tc>
          <w:tcPr>
            <w:tcW w:type="dxa" w:w="737"/>
            <w:shd w:fill="D9E3E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</w:r>
          </w:p>
        </w:tc>
        <w:tc>
          <w:tcPr>
            <w:tcW w:type="dxa" w:w="737"/>
            <w:shd w:fill="D9E3E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</w:r>
          </w:p>
        </w:tc>
        <w:tc>
          <w:tcPr>
            <w:tcW w:type="dxa" w:w="879"/>
            <w:shd w:fill="D9E3E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178</w:t>
            </w:r>
          </w:p>
        </w:tc>
      </w:tr>
    </w:tbl>
    <w:p>
      <w:pPr>
        <w:widowControl/>
        <w:spacing w:after="100" w:line="276" w:lineRule="auto"/>
      </w:pPr>
      <w:r>
        <w:rPr>
          <w:rFonts w:ascii="Times New Roman" w:hAnsi="Times New Roman" w:eastAsia="Times New Roman"/>
        </w:rPr>
        <w:t>Обозначение «ИА · 2» — итоговая аттестация продолжительностью 2 академических часа. Перерывы и продолжительность синхронных сессий указываются в расписании и не входят в объем академических часов.</w:t>
      </w:r>
    </w:p>
    <w:p>
      <w:pPr>
        <w:pStyle w:val="Heading1"/>
        <w:keepNext/>
        <w:keepLines/>
      </w:pPr>
      <w:r>
        <w:t>V. Содержание программы</w:t>
      </w:r>
    </w:p>
    <w:p>
      <w:pPr>
        <w:widowControl/>
        <w:spacing w:after="100" w:line="276" w:lineRule="auto"/>
      </w:pPr>
      <w:r>
        <w:rPr>
          <w:rFonts w:ascii="Times New Roman" w:hAnsi="Times New Roman" w:eastAsia="Times New Roman"/>
        </w:rPr>
        <w:t>15. Программа основана на модульном принципе и включает обязательный общепрофессиональный модуль, формирующий базовые знания в области пожарной безопасности.</w:t>
      </w:r>
    </w:p>
    <w:p>
      <w:pPr>
        <w:widowControl/>
        <w:spacing w:after="100" w:line="276" w:lineRule="auto"/>
      </w:pPr>
      <w:r>
        <w:rPr>
          <w:rFonts w:ascii="Times New Roman" w:hAnsi="Times New Roman" w:eastAsia="Times New Roman"/>
        </w:rPr>
        <w:t>16. Профессиональные модули направлены на приобретение знаний и умений, необходимых для выполнения трудовых функций по монтажу, техническому обслуживанию и ремонту средств обеспечения пожарной безопасности зданий и сооружений.</w:t>
      </w:r>
    </w:p>
    <w:p>
      <w:pPr>
        <w:widowControl/>
        <w:spacing w:after="100" w:line="276" w:lineRule="auto"/>
      </w:pPr>
      <w:r>
        <w:rPr>
          <w:rFonts w:ascii="Times New Roman" w:hAnsi="Times New Roman" w:eastAsia="Times New Roman"/>
        </w:rPr>
        <w:t>17. Срок освоения каждого модуля составляет 16 академических часов: 14 часов теоретических занятий и 2 часа практического занятия. Текущий контроль проводится в ходе занятий; промежуточная аттестация проводится в форме теста по каждому модулю в пределах 14 часов теоретических занятий и не увеличивает объем модуля и общий объем Программы.</w:t>
      </w:r>
    </w:p>
    <w:p>
      <w:pPr>
        <w:widowControl/>
        <w:spacing w:after="100" w:line="276" w:lineRule="auto"/>
      </w:pPr>
      <w:r>
        <w:rPr>
          <w:rFonts w:ascii="Times New Roman" w:hAnsi="Times New Roman" w:eastAsia="Times New Roman"/>
        </w:rPr>
        <w:t xml:space="preserve">18. Учебные материалы, задания, контрольные мероприятия и взаимодействие с преподавателем доступны через ЭИОС. В модулях 1–7 и 9–11 практические занятия проводятся в форме самостоятельных документарных ситуационных заданий; в модуле 8 — в форме синхронного дистанционного наблюдения реального объекта с установленным противопожарным занавесом (занавесами). Письменные результаты загружаются в ЭИОС.</w:t>
      </w:r>
    </w:p>
    <w:p>
      <w:pPr>
        <w:widowControl/>
        <w:spacing w:after="100" w:line="276" w:lineRule="auto"/>
      </w:pPr>
      <w:r>
        <w:rPr>
          <w:rFonts w:ascii="Times New Roman" w:hAnsi="Times New Roman" w:eastAsia="Times New Roman"/>
        </w:rPr>
        <w:t>19. Изучение темы об охране окружающей среды, охране труда и технике безопасности осуществляется применительно ко всем профессиональным модулям.</w:t>
      </w:r>
    </w:p>
    <w:p>
      <w:r>
        <w:br w:type="page"/>
      </w:r>
    </w:p>
    <w:p>
      <w:pPr>
        <w:pStyle w:val="Heading1"/>
        <w:keepNext/>
        <w:keepLines/>
      </w:pPr>
      <w:r>
        <w:t>VI. Содержание модулей</w:t>
      </w:r>
    </w:p>
    <w:p>
      <w:pPr>
        <w:widowControl/>
        <w:spacing w:after="100" w:line="276" w:lineRule="auto"/>
      </w:pPr>
      <w:r>
        <w:rPr>
          <w:rFonts w:ascii="Times New Roman" w:hAnsi="Times New Roman" w:eastAsia="Times New Roman"/>
        </w:rPr>
        <w:t>Содержание ниже воспроизводит структуру и предметный охват приложения № 3 к приказу МЧС России от 15.11.2022 № 1156. Нумерация пунктов 17.1–27 сохранена для прямого сопоставления с Типовой программой.</w:t>
      </w:r>
    </w:p>
    <w:p>
      <w:pPr>
        <w:pStyle w:val="Heading2"/>
        <w:spacing w:before="200"/>
        <w:keepNext/>
        <w:keepLines/>
      </w:pPr>
      <w:r>
        <w:t>17.1. Содержание учебной темы "Общие вопросы организации обучения".</w:t>
      </w:r>
    </w:p>
    <w:p>
      <w:pPr>
        <w:widowControl/>
        <w:spacing w:after="80" w:line="276" w:lineRule="auto"/>
      </w:pPr>
      <w:r>
        <w:rPr>
          <w:rFonts w:ascii="Times New Roman" w:hAnsi="Times New Roman" w:eastAsia="Times New Roman"/>
        </w:rPr>
        <w:t>Организация учебного процесса. Расписание занятий. Противопожарный инструктаж. Цель, задачи и программа курса обучения. Актуальность курса. Требования к знаниям, умениям и навыкам специалиста по пожарной безопасности.</w:t>
      </w:r>
    </w:p>
    <w:p>
      <w:pPr>
        <w:pStyle w:val="Heading2"/>
        <w:spacing w:before="200"/>
        <w:keepNext/>
        <w:keepLines/>
      </w:pPr>
      <w:r>
        <w:t>17.2. Содержание учебной темы "Организационные основы обеспечения пожарной безопасности в Российской Федерации".</w:t>
      </w:r>
    </w:p>
    <w:p>
      <w:pPr>
        <w:keepNext/>
        <w:spacing w:before="100" w:after="60"/>
      </w:pPr>
      <w:r>
        <w:rPr>
          <w:rFonts w:ascii="Times New Roman" w:hAnsi="Times New Roman" w:eastAsia="Times New Roman"/>
          <w:b/>
          <w:color w:val="253447"/>
          <w:sz w:val="22"/>
        </w:rPr>
        <w:t>Тема 1. "Государственное регулирование в области пожарной безопасности".</w:t>
      </w:r>
    </w:p>
    <w:p>
      <w:pPr>
        <w:widowControl/>
        <w:spacing w:after="80" w:line="276" w:lineRule="auto"/>
      </w:pPr>
      <w:r>
        <w:rPr>
          <w:rFonts w:ascii="Times New Roman" w:hAnsi="Times New Roman" w:eastAsia="Times New Roman"/>
        </w:rPr>
        <w:t>Система обеспечения пожарной безопасности в Российской Федерации. Цель создания и основные функции системы обеспечения пожарной безопасности в Российской Федерации. Основные элементы системы обеспечения пожарной безопасности в Российской Федерации.</w:t>
      </w:r>
    </w:p>
    <w:p>
      <w:pPr>
        <w:widowControl/>
        <w:spacing w:after="80" w:line="276" w:lineRule="auto"/>
      </w:pPr>
      <w:r>
        <w:rPr>
          <w:rFonts w:ascii="Times New Roman" w:hAnsi="Times New Roman" w:eastAsia="Times New Roman"/>
        </w:rPr>
        <w:t>Нормативное правовое регулирование в области пожарной безопасности. Механизм правового регулирования общественных отношений в области пожарной безопасности. Система нормативных правовых актов в области пожарной безопасности. Техническое регулирование в области пожарной безопасности. Требования пожарной безопасности. Система нормативных документов по пожарной безопасности.</w:t>
      </w:r>
    </w:p>
    <w:p>
      <w:pPr>
        <w:widowControl/>
        <w:spacing w:after="80" w:line="276" w:lineRule="auto"/>
      </w:pPr>
      <w:r>
        <w:rPr>
          <w:rFonts w:ascii="Times New Roman" w:hAnsi="Times New Roman" w:eastAsia="Times New Roman"/>
        </w:rPr>
        <w:t>Правоприменительная практика в области пожарной безопасности. Акты судебной власти.</w:t>
      </w:r>
    </w:p>
    <w:p>
      <w:pPr>
        <w:keepNext/>
        <w:spacing w:before="100" w:after="60"/>
      </w:pPr>
      <w:r>
        <w:rPr>
          <w:rFonts w:ascii="Times New Roman" w:hAnsi="Times New Roman" w:eastAsia="Times New Roman"/>
          <w:b/>
          <w:color w:val="253447"/>
          <w:sz w:val="22"/>
        </w:rPr>
        <w:t>Тема 2. "Субъекты правоотношений в области пожарной безопасности, их полномочия и ответственность".</w:t>
      </w:r>
    </w:p>
    <w:p>
      <w:pPr>
        <w:widowControl/>
        <w:spacing w:after="80" w:line="276" w:lineRule="auto"/>
      </w:pPr>
      <w:r>
        <w:rPr>
          <w:rFonts w:ascii="Times New Roman" w:hAnsi="Times New Roman" w:eastAsia="Times New Roman"/>
        </w:rPr>
        <w:t>Полномочия органов государственной власти, органов местного самоуправления и организаций в области обеспечения пожарной безопасности.</w:t>
      </w:r>
    </w:p>
    <w:p>
      <w:pPr>
        <w:widowControl/>
        <w:spacing w:after="80" w:line="276" w:lineRule="auto"/>
      </w:pPr>
      <w:r>
        <w:rPr>
          <w:rFonts w:ascii="Times New Roman" w:hAnsi="Times New Roman" w:eastAsia="Times New Roman"/>
        </w:rPr>
        <w:t>Права, обязанности и ответственность должностных лиц в области обеспечения пожарной безопасности.</w:t>
      </w:r>
    </w:p>
    <w:p>
      <w:pPr>
        <w:widowControl/>
        <w:spacing w:after="80" w:line="276" w:lineRule="auto"/>
      </w:pPr>
      <w:r>
        <w:rPr>
          <w:rFonts w:ascii="Times New Roman" w:hAnsi="Times New Roman" w:eastAsia="Times New Roman"/>
        </w:rPr>
        <w:t>Права, обязанности и ответственность лиц, осуществляющих трудовую или служебную деятельность в организациях, в области обеспечения пожарной безопасности.</w:t>
      </w:r>
    </w:p>
    <w:p>
      <w:pPr>
        <w:widowControl/>
        <w:spacing w:after="80" w:line="276" w:lineRule="auto"/>
      </w:pPr>
      <w:r>
        <w:rPr>
          <w:rFonts w:ascii="Times New Roman" w:hAnsi="Times New Roman" w:eastAsia="Times New Roman"/>
        </w:rPr>
        <w:t>Права и ответственность граждан в области обеспечения пожарной безопасности.</w:t>
      </w:r>
    </w:p>
    <w:p>
      <w:pPr>
        <w:keepNext/>
        <w:spacing w:before="100" w:after="60"/>
      </w:pPr>
      <w:r>
        <w:rPr>
          <w:rFonts w:ascii="Times New Roman" w:hAnsi="Times New Roman" w:eastAsia="Times New Roman"/>
          <w:b/>
          <w:color w:val="253447"/>
          <w:sz w:val="22"/>
        </w:rPr>
        <w:t>Тема 3. "Федеральный государственный пожарный надзор".</w:t>
      </w:r>
    </w:p>
    <w:p>
      <w:pPr>
        <w:widowControl/>
        <w:spacing w:after="80" w:line="276" w:lineRule="auto"/>
      </w:pPr>
      <w:r>
        <w:rPr>
          <w:rFonts w:ascii="Times New Roman" w:hAnsi="Times New Roman" w:eastAsia="Times New Roman"/>
        </w:rPr>
        <w:t>Нормативные правовые акты, регулирующие исполнение государственной функции по надзору за выполнением обязательных требований пожарной безопасности. Организационная структура, полномочия и функции органов государственного пожарного надзора. Права и обязанности должностных лиц органов государственного пожарного надзора. Права и обязанности лиц, в отношении которых осуществляются мероприятия по надзору. Порядок осуществления федерального государственного пожарного надзора.</w:t>
      </w:r>
    </w:p>
    <w:p>
      <w:pPr>
        <w:widowControl/>
        <w:spacing w:after="80" w:line="276" w:lineRule="auto"/>
      </w:pPr>
      <w:r>
        <w:rPr>
          <w:rFonts w:ascii="Times New Roman" w:hAnsi="Times New Roman" w:eastAsia="Times New Roman"/>
        </w:rPr>
        <w:t>Риск-ориентированный подход. Отнесение объектов защиты к категории риска. Планирование мероприятий по контролю в зависимости от присвоенной объекту защиты категории риска. Профилактика нарушения обязательных требований пожарной безопасности.</w:t>
      </w:r>
    </w:p>
    <w:p>
      <w:pPr>
        <w:keepNext/>
        <w:spacing w:before="100" w:after="60"/>
      </w:pPr>
      <w:r>
        <w:rPr>
          <w:rFonts w:ascii="Times New Roman" w:hAnsi="Times New Roman" w:eastAsia="Times New Roman"/>
          <w:b/>
          <w:color w:val="253447"/>
          <w:sz w:val="22"/>
        </w:rPr>
        <w:t>Тема 4. "Лицензирование в области пожарной безопасности".</w:t>
      </w:r>
    </w:p>
    <w:p>
      <w:pPr>
        <w:widowControl/>
        <w:spacing w:after="80" w:line="276" w:lineRule="auto"/>
      </w:pPr>
      <w:r>
        <w:rPr>
          <w:rFonts w:ascii="Times New Roman" w:hAnsi="Times New Roman" w:eastAsia="Times New Roman"/>
        </w:rPr>
        <w:t>Цели лицензирования в области пожарной безопасности. Лицензируемые виды деятельности в области пожарной безопасности. Порядок проведения лицензирования в области пожарной безопасности. Лицензионные требования изучаются по действующей редакции Положения, утвержденного постановлением Правительства Российской Федерации от 28.07.2020 № 1128. Осуществление контроля за соблюдением лицензиатом лицензионных требований.</w:t>
      </w:r>
    </w:p>
    <w:p>
      <w:pPr>
        <w:keepNext/>
        <w:spacing w:before="100" w:after="60"/>
      </w:pPr>
      <w:r>
        <w:rPr>
          <w:rFonts w:ascii="Times New Roman" w:hAnsi="Times New Roman" w:eastAsia="Times New Roman"/>
          <w:b/>
          <w:color w:val="253447"/>
          <w:sz w:val="22"/>
        </w:rPr>
        <w:t>Тема 5. "Подтверждение соответствия объектов защиты (продукции) требованиям пожарной безопасности".</w:t>
      </w:r>
    </w:p>
    <w:p>
      <w:pPr>
        <w:widowControl/>
        <w:spacing w:after="80" w:line="276" w:lineRule="auto"/>
      </w:pPr>
      <w:r>
        <w:rPr>
          <w:rFonts w:ascii="Times New Roman" w:hAnsi="Times New Roman" w:eastAsia="Times New Roman"/>
        </w:rPr>
        <w:t>Цели осуществления подтверждения соответствия. Принципы осуществления оценки соответствия. Общие положения о подтверждении соответствия объектов защиты (продукции) требованиям пожарной безопасности. Перечни продукции и схемы подтверждения соответствия продукции требованиям пожарной безопасности. Общие требования к порядку проведения сертификации. Способы идентификации для выявления фальсификата (контрафакта).</w:t>
      </w:r>
    </w:p>
    <w:p>
      <w:pPr>
        <w:pStyle w:val="Heading2"/>
        <w:spacing w:before="200"/>
        <w:keepNext/>
        <w:keepLines/>
      </w:pPr>
      <w:r>
        <w:t>17.3. Содержание учебной темы "Пожары. Классификация пожаров. Опасные факторы пожаров".</w:t>
      </w:r>
    </w:p>
    <w:p>
      <w:pPr>
        <w:keepNext/>
        <w:spacing w:before="100" w:after="60"/>
      </w:pPr>
      <w:r>
        <w:rPr>
          <w:rFonts w:ascii="Times New Roman" w:hAnsi="Times New Roman" w:eastAsia="Times New Roman"/>
          <w:b/>
          <w:color w:val="253447"/>
          <w:sz w:val="22"/>
        </w:rPr>
        <w:t>Тема 1. "Пожары. Виды, классификация пожаров".</w:t>
      </w:r>
    </w:p>
    <w:p>
      <w:pPr>
        <w:widowControl/>
        <w:spacing w:after="80" w:line="276" w:lineRule="auto"/>
      </w:pPr>
      <w:r>
        <w:rPr>
          <w:rFonts w:ascii="Times New Roman" w:hAnsi="Times New Roman" w:eastAsia="Times New Roman"/>
        </w:rPr>
        <w:t>Общие сведения о горении. Возникновение и развитие пожара. Классификация пожаров. Основные причины пожаров. Статистика пожаров. Краткая статистика пожаров в регионе, муниципальном образовании, в организациях различной отраслевой направленности. Пожары и возгорания, которые произошли непосредственно в организации (в цехе, на участке, рабочем месте, в жилых помещениях), анализ причин их возникновения.</w:t>
      </w:r>
    </w:p>
    <w:p>
      <w:pPr>
        <w:keepNext/>
        <w:spacing w:before="100" w:after="60"/>
      </w:pPr>
      <w:r>
        <w:rPr>
          <w:rFonts w:ascii="Times New Roman" w:hAnsi="Times New Roman" w:eastAsia="Times New Roman"/>
          <w:b/>
          <w:color w:val="253447"/>
          <w:sz w:val="22"/>
        </w:rPr>
        <w:t>Тема 2. "Опасные факторы пожара".</w:t>
      </w:r>
    </w:p>
    <w:p>
      <w:pPr>
        <w:widowControl/>
        <w:spacing w:after="80" w:line="276" w:lineRule="auto"/>
      </w:pPr>
      <w:r>
        <w:rPr>
          <w:rFonts w:ascii="Times New Roman" w:hAnsi="Times New Roman" w:eastAsia="Times New Roman"/>
        </w:rPr>
        <w:t>Классификация опасных факторов пожара. Воздействие опасных факторов пожара. Предельно допустимые значения опасных факторов пожара.</w:t>
      </w:r>
    </w:p>
    <w:p>
      <w:pPr>
        <w:keepNext/>
        <w:spacing w:before="100" w:after="60"/>
      </w:pPr>
      <w:r>
        <w:rPr>
          <w:rFonts w:ascii="Times New Roman" w:hAnsi="Times New Roman" w:eastAsia="Times New Roman"/>
          <w:b/>
          <w:color w:val="253447"/>
          <w:sz w:val="22"/>
        </w:rPr>
        <w:t>Тема 3. "Категорирование помещений, зданий и наружных установок по взрывопожарной и пожарной опасности".</w:t>
      </w:r>
    </w:p>
    <w:p>
      <w:pPr>
        <w:widowControl/>
        <w:spacing w:after="80" w:line="276" w:lineRule="auto"/>
      </w:pPr>
      <w:r>
        <w:rPr>
          <w:rFonts w:ascii="Times New Roman" w:hAnsi="Times New Roman" w:eastAsia="Times New Roman"/>
        </w:rPr>
        <w:t>Методика анализа пожарной опасности технологических процессов. Классификация технологического оборудования и его пожарная опасность.</w:t>
      </w:r>
    </w:p>
    <w:p>
      <w:pPr>
        <w:widowControl/>
        <w:spacing w:after="80" w:line="276" w:lineRule="auto"/>
      </w:pPr>
      <w:r>
        <w:rPr>
          <w:rFonts w:ascii="Times New Roman" w:hAnsi="Times New Roman" w:eastAsia="Times New Roman"/>
        </w:rPr>
        <w:t>Классификация помещений, зданий и наружных установок по взрывопожарной и пожарной опасности. Характеристика и принципы категорирования помещений, зданий и наружных установок.</w:t>
      </w:r>
    </w:p>
    <w:p>
      <w:pPr>
        <w:widowControl/>
        <w:spacing w:after="80" w:line="276" w:lineRule="auto"/>
      </w:pPr>
      <w:r>
        <w:rPr>
          <w:rFonts w:ascii="Times New Roman" w:hAnsi="Times New Roman" w:eastAsia="Times New Roman"/>
        </w:rPr>
        <w:t>Определение категорий помещений и зданий по взрывопожарной и пожарной опасности.</w:t>
      </w:r>
    </w:p>
    <w:p>
      <w:pPr>
        <w:keepNext/>
        <w:spacing w:before="100" w:after="60"/>
      </w:pPr>
      <w:r>
        <w:rPr>
          <w:rFonts w:ascii="Times New Roman" w:hAnsi="Times New Roman" w:eastAsia="Times New Roman"/>
          <w:b/>
          <w:color w:val="253447"/>
          <w:sz w:val="22"/>
        </w:rPr>
        <w:t>Тема 4. "Требование к электрооборудованию в пожароопасных и взрывоопасных зонах".</w:t>
      </w:r>
    </w:p>
    <w:p>
      <w:pPr>
        <w:widowControl/>
        <w:spacing w:after="80" w:line="276" w:lineRule="auto"/>
      </w:pPr>
      <w:r>
        <w:rPr>
          <w:rFonts w:ascii="Times New Roman" w:hAnsi="Times New Roman" w:eastAsia="Times New Roman"/>
        </w:rPr>
        <w:t>Классификация помещений, пожароопасных и взрывоопасных зон. Классификация взрывоопасных смесей.</w:t>
      </w:r>
    </w:p>
    <w:p>
      <w:pPr>
        <w:widowControl/>
        <w:spacing w:after="80" w:line="276" w:lineRule="auto"/>
      </w:pPr>
      <w:r>
        <w:rPr>
          <w:rFonts w:ascii="Times New Roman" w:hAnsi="Times New Roman" w:eastAsia="Times New Roman"/>
        </w:rPr>
        <w:t>Классификация электрооборудования по пожаровзрывоопасности и пожарной опасности. Степени защиты оболочек электрооборудования. Виды и уровни взрывозащиты. Маркировка взрывозащищенного электрооборудования. Требования к выбору, монтажу и эксплуатации электрооборудования в взрывоопасных и пожароопасных зонах.</w:t>
      </w:r>
    </w:p>
    <w:p>
      <w:pPr>
        <w:keepNext/>
        <w:spacing w:before="100" w:after="60"/>
      </w:pPr>
      <w:r>
        <w:rPr>
          <w:rFonts w:ascii="Times New Roman" w:hAnsi="Times New Roman" w:eastAsia="Times New Roman"/>
          <w:b/>
          <w:color w:val="253447"/>
          <w:sz w:val="22"/>
        </w:rPr>
        <w:t>Тема 5. "Требования к питанию электроприемников и электрооборудованию систем противопожарной защиты".</w:t>
      </w:r>
    </w:p>
    <w:p>
      <w:pPr>
        <w:widowControl/>
        <w:spacing w:after="80" w:line="276" w:lineRule="auto"/>
      </w:pPr>
      <w:r>
        <w:rPr>
          <w:rFonts w:ascii="Times New Roman" w:hAnsi="Times New Roman" w:eastAsia="Times New Roman"/>
        </w:rPr>
        <w:t>Электроснабжение систем автоматической противопожарной защиты. Расчет электроснабжения. Требования к прокладке кабельных трасс и соединительным линиям.</w:t>
      </w:r>
    </w:p>
    <w:p>
      <w:pPr>
        <w:pStyle w:val="Heading2"/>
        <w:spacing w:before="200"/>
        <w:keepNext/>
        <w:keepLines/>
      </w:pPr>
      <w:r>
        <w:t>17.4. Содержание учебной темы "Требования по охране окружающей среды, охране труда и технике безопасности при выполнении работ".</w:t>
      </w:r>
    </w:p>
    <w:p>
      <w:pPr>
        <w:keepNext/>
        <w:spacing w:before="100" w:after="60"/>
      </w:pPr>
      <w:r>
        <w:rPr>
          <w:rFonts w:ascii="Times New Roman" w:hAnsi="Times New Roman" w:eastAsia="Times New Roman"/>
          <w:b/>
          <w:color w:val="253447"/>
          <w:sz w:val="22"/>
        </w:rPr>
        <w:t>Тема 1. "Основные нормативные правовые акты по охране труда".</w:t>
      </w:r>
    </w:p>
    <w:p>
      <w:pPr>
        <w:widowControl/>
        <w:spacing w:after="80" w:line="276" w:lineRule="auto"/>
      </w:pPr>
      <w:r>
        <w:rPr>
          <w:rFonts w:ascii="Times New Roman" w:hAnsi="Times New Roman" w:eastAsia="Times New Roman"/>
        </w:rPr>
        <w:t>Основные требования охраны труда при проведении работ по монтажу, ремонту и обслуживанию установок пожаротушения, пожарной сигнализации, систем дымоудаления, оповещения и управления эвакуацией при пожаре. Порядок расследования и учета несчастных случаев на производстве. Влияние на организм человека метеорологических условий (температуры, влажности, скорости движения воздуха), газов и пыли. Требования к освещенности рабочего места, к питьевой воде. Режим труда и отдыха, личная гигиена рабочего. Опасность поражения электрическим током. Основные меры защиты от поражения электрическим током.</w:t>
      </w:r>
    </w:p>
    <w:p>
      <w:pPr>
        <w:keepNext/>
        <w:spacing w:before="100" w:after="60"/>
      </w:pPr>
      <w:r>
        <w:rPr>
          <w:rFonts w:ascii="Times New Roman" w:hAnsi="Times New Roman" w:eastAsia="Times New Roman"/>
          <w:b/>
          <w:color w:val="253447"/>
          <w:sz w:val="22"/>
        </w:rPr>
        <w:t>Тема 2. "Первая помощь".</w:t>
      </w:r>
    </w:p>
    <w:p>
      <w:pPr>
        <w:widowControl/>
        <w:spacing w:after="80" w:line="276" w:lineRule="auto"/>
      </w:pPr>
      <w:r>
        <w:rPr>
          <w:rFonts w:ascii="Times New Roman" w:hAnsi="Times New Roman" w:eastAsia="Times New Roman"/>
        </w:rPr>
        <w:t>Понятие первая помощь, мероприятия по оказанию первой помощи. Средства первой помощи. Алгоритм сердечно-легочной реанимации. Первая помощь при различных состояниях.</w:t>
      </w:r>
    </w:p>
    <w:p>
      <w:pPr>
        <w:pStyle w:val="Heading2"/>
        <w:spacing w:before="200"/>
        <w:keepNext/>
        <w:keepLines/>
      </w:pPr>
      <w:r>
        <w:t>18. Содержание профессионального модуля "Монтаж, техническое обслуживание и ремонт систем пожаротушения и их элементов, включая диспетчеризацию и проведение пусконаладочных работ".</w:t>
      </w:r>
    </w:p>
    <w:p>
      <w:pPr>
        <w:widowControl/>
        <w:spacing w:after="80" w:line="276" w:lineRule="auto"/>
      </w:pPr>
      <w:r>
        <w:rPr>
          <w:rFonts w:ascii="Times New Roman" w:hAnsi="Times New Roman" w:eastAsia="Times New Roman"/>
        </w:rPr>
        <w:t>Основные сведения об автоматической установке пожаротушения (далее - АУП): краткие сведения из истории развития, назначение, область применения, классификация.</w:t>
      </w:r>
    </w:p>
    <w:p>
      <w:pPr>
        <w:widowControl/>
        <w:spacing w:after="80" w:line="276" w:lineRule="auto"/>
      </w:pPr>
      <w:r>
        <w:rPr>
          <w:rFonts w:ascii="Times New Roman" w:hAnsi="Times New Roman" w:eastAsia="Times New Roman"/>
        </w:rPr>
        <w:t>Назначение, область применения, классификация АУП, выбор АУП для защиты объекта.</w:t>
      </w:r>
    </w:p>
    <w:p>
      <w:pPr>
        <w:widowControl/>
        <w:spacing w:after="80" w:line="276" w:lineRule="auto"/>
      </w:pPr>
      <w:r>
        <w:rPr>
          <w:rFonts w:ascii="Times New Roman" w:hAnsi="Times New Roman" w:eastAsia="Times New Roman"/>
        </w:rPr>
        <w:t>Область применения, классификация и состав автоматической установки водяного пожаротушения (далее - АУВП).</w:t>
      </w:r>
    </w:p>
    <w:p>
      <w:pPr>
        <w:widowControl/>
        <w:spacing w:after="80" w:line="276" w:lineRule="auto"/>
      </w:pPr>
      <w:r>
        <w:rPr>
          <w:rFonts w:ascii="Times New Roman" w:hAnsi="Times New Roman" w:eastAsia="Times New Roman"/>
        </w:rPr>
        <w:t>Конструктивные особенности элементов и узлов (оросители, пеногенераторы, узлы управления, водопитатели, дозаторы, приборы контроля, управление и сигнализация).</w:t>
      </w:r>
    </w:p>
    <w:p>
      <w:pPr>
        <w:widowControl/>
        <w:spacing w:after="80" w:line="276" w:lineRule="auto"/>
      </w:pPr>
      <w:r>
        <w:rPr>
          <w:rFonts w:ascii="Times New Roman" w:hAnsi="Times New Roman" w:eastAsia="Times New Roman"/>
        </w:rPr>
        <w:t>Устройство и алгоритм работы водозаполненных спринклерных, воздушных спринклерных АУВП, дренчерных АУВП с электрическим пуском, спринклерно-дренчерных АУП. Способы проверки работоспособности. Гидравлический расчет.</w:t>
      </w:r>
    </w:p>
    <w:p>
      <w:pPr>
        <w:widowControl/>
        <w:spacing w:after="80" w:line="276" w:lineRule="auto"/>
      </w:pPr>
      <w:r>
        <w:rPr>
          <w:rFonts w:ascii="Times New Roman" w:hAnsi="Times New Roman" w:eastAsia="Times New Roman"/>
        </w:rPr>
        <w:t>Основные сведения о роботизированных установках и установках тушения тонкораспыленной водой.</w:t>
      </w:r>
    </w:p>
    <w:p>
      <w:pPr>
        <w:widowControl/>
        <w:spacing w:after="80" w:line="276" w:lineRule="auto"/>
      </w:pPr>
      <w:r>
        <w:rPr>
          <w:rFonts w:ascii="Times New Roman" w:hAnsi="Times New Roman" w:eastAsia="Times New Roman"/>
        </w:rPr>
        <w:t>Общие положения по монтажу, наладке, испытаниям и сдаче в эксплуатацию установок водяного и пенного пожаротушения.</w:t>
      </w:r>
    </w:p>
    <w:p>
      <w:pPr>
        <w:widowControl/>
        <w:spacing w:after="80" w:line="276" w:lineRule="auto"/>
      </w:pPr>
      <w:r>
        <w:rPr>
          <w:rFonts w:ascii="Times New Roman" w:hAnsi="Times New Roman" w:eastAsia="Times New Roman"/>
        </w:rPr>
        <w:t>Виды газовых огнетушащих веществ и их особенности. Область применения, требования нормативных документов. Состав модульных АУП, структурные схемы, алгоритмы функционирования с учетом обеспечения безопасности человека и эффективности тушения. Конструктивные особенности элементов и узлов. Требования к аппаратуре управления. Расчет массы огнетушащего вещества.</w:t>
      </w:r>
    </w:p>
    <w:p>
      <w:pPr>
        <w:widowControl/>
        <w:spacing w:after="80" w:line="276" w:lineRule="auto"/>
      </w:pPr>
      <w:r>
        <w:rPr>
          <w:rFonts w:ascii="Times New Roman" w:hAnsi="Times New Roman" w:eastAsia="Times New Roman"/>
        </w:rPr>
        <w:t>Виды огнетушащих порошков и аэрозолей. Область применения, состав модульных АУП, структурные схемы, алгоритмы функционирования с учетом обеспечения безопасности человека и эффективности тушения (в дежурном режиме, в автоматическом режиме пуска при пожаре, в ручном режиме пуска при пожаре).</w:t>
      </w:r>
    </w:p>
    <w:p>
      <w:pPr>
        <w:widowControl/>
        <w:spacing w:after="80" w:line="276" w:lineRule="auto"/>
      </w:pPr>
      <w:r>
        <w:rPr>
          <w:rFonts w:ascii="Times New Roman" w:hAnsi="Times New Roman" w:eastAsia="Times New Roman"/>
        </w:rPr>
        <w:t>Требования нормативных документов. Требования к аппаратуре управления. Классификации модулей и генераторов. Конструктивные особенности элементов и узлов.</w:t>
      </w:r>
    </w:p>
    <w:p>
      <w:pPr>
        <w:widowControl/>
        <w:spacing w:after="80" w:line="276" w:lineRule="auto"/>
      </w:pPr>
      <w:r>
        <w:rPr>
          <w:rFonts w:ascii="Times New Roman" w:hAnsi="Times New Roman" w:eastAsia="Times New Roman"/>
        </w:rPr>
        <w:t>Общие положения по монтажу, наладке, испытаниям и сдаче в эксплуатацию установок газового, порошкового и аэрозольного пожаротушения.</w:t>
      </w:r>
    </w:p>
    <w:p>
      <w:pPr>
        <w:widowControl/>
        <w:spacing w:after="80" w:line="276" w:lineRule="auto"/>
      </w:pPr>
      <w:r>
        <w:rPr>
          <w:rFonts w:ascii="Times New Roman" w:hAnsi="Times New Roman" w:eastAsia="Times New Roman"/>
        </w:rPr>
        <w:t>Техническое обслуживание автоматических установок пожаротушения. Виды и периодичность технического обслуживания.</w:t>
      </w:r>
    </w:p>
    <w:p>
      <w:pPr>
        <w:widowControl/>
        <w:spacing w:after="80" w:line="276" w:lineRule="auto"/>
      </w:pPr>
      <w:r>
        <w:rPr>
          <w:rFonts w:ascii="Times New Roman" w:hAnsi="Times New Roman" w:eastAsia="Times New Roman"/>
        </w:rPr>
        <w:t>Методика проверки технического состояния и работоспособности установок автоматического пожаротушения.</w:t>
      </w:r>
    </w:p>
    <w:p>
      <w:pPr>
        <w:pStyle w:val="Heading2"/>
        <w:spacing w:before="200"/>
        <w:keepNext/>
        <w:keepLines/>
      </w:pPr>
      <w:r>
        <w:t>19. Содержание профессионального модуля "Монтаж, техническое обслуживание и ремонт систем пожарной и охранно-пожарной сигнализации и их элементов, включая диспетчеризацию и проведение пусконаладочных работ".</w:t>
      </w:r>
    </w:p>
    <w:p>
      <w:pPr>
        <w:widowControl/>
        <w:spacing w:after="80" w:line="276" w:lineRule="auto"/>
      </w:pPr>
      <w:r>
        <w:rPr>
          <w:rFonts w:ascii="Times New Roman" w:hAnsi="Times New Roman" w:eastAsia="Times New Roman"/>
        </w:rPr>
        <w:t>Основные нормативно-технические документы, регламентирующие внедрение, монтаж и эксплуатацию систем пожарной сигнализации (далее - СПС).</w:t>
      </w:r>
    </w:p>
    <w:p>
      <w:pPr>
        <w:widowControl/>
        <w:spacing w:after="80" w:line="276" w:lineRule="auto"/>
      </w:pPr>
      <w:r>
        <w:rPr>
          <w:rFonts w:ascii="Times New Roman" w:hAnsi="Times New Roman" w:eastAsia="Times New Roman"/>
        </w:rPr>
        <w:t>Назначение СПС. Нормативное обоснование типа установки пожарной автоматики для защиты объекта. Классификация и основные параметры СПС. Основные принципы построения СПС. Пожарные извещатели: назначение, область применения, классификация, устройство, требования к выбору и размещению.</w:t>
      </w:r>
    </w:p>
    <w:p>
      <w:pPr>
        <w:widowControl/>
        <w:spacing w:after="80" w:line="276" w:lineRule="auto"/>
      </w:pPr>
      <w:r>
        <w:rPr>
          <w:rFonts w:ascii="Times New Roman" w:hAnsi="Times New Roman" w:eastAsia="Times New Roman"/>
        </w:rPr>
        <w:t>Приемно-контрольные приборы пожарной сигнализации и оборудование, используемые в СПС.</w:t>
      </w:r>
    </w:p>
    <w:p>
      <w:pPr>
        <w:widowControl/>
        <w:spacing w:after="80" w:line="276" w:lineRule="auto"/>
      </w:pPr>
      <w:r>
        <w:rPr>
          <w:rFonts w:ascii="Times New Roman" w:hAnsi="Times New Roman" w:eastAsia="Times New Roman"/>
        </w:rPr>
        <w:t>Зоны контроля пожарной сигнализации. Алгоритмы принятия решения о пожаре. Защита от ложных срабатываний. Автоматизация систем противопожарной защиты.</w:t>
      </w:r>
    </w:p>
    <w:p>
      <w:pPr>
        <w:widowControl/>
        <w:spacing w:after="80" w:line="276" w:lineRule="auto"/>
      </w:pPr>
      <w:r>
        <w:rPr>
          <w:rFonts w:ascii="Times New Roman" w:hAnsi="Times New Roman" w:eastAsia="Times New Roman"/>
        </w:rPr>
        <w:t>Требования к монтажу СПС: подготовительные работы, входной контроль, материально-технические ресурсы, технология выполнения работ, приемка работ, пусконаладочные работы.</w:t>
      </w:r>
    </w:p>
    <w:p>
      <w:pPr>
        <w:widowControl/>
        <w:spacing w:after="80" w:line="276" w:lineRule="auto"/>
      </w:pPr>
      <w:r>
        <w:rPr>
          <w:rFonts w:ascii="Times New Roman" w:hAnsi="Times New Roman" w:eastAsia="Times New Roman"/>
        </w:rPr>
        <w:t>Требования к эксплуатации, техническому обслуживанию и ремонту СПС.</w:t>
      </w:r>
    </w:p>
    <w:p>
      <w:pPr>
        <w:pStyle w:val="Heading2"/>
        <w:spacing w:before="200"/>
        <w:keepNext/>
        <w:keepLines/>
      </w:pPr>
      <w:r>
        <w:t>20. Содержание профессионального модуля "Монтаж, техническое обслуживание и ремонт систем противопожарного водоснабжения и их элементов, включая диспетчеризацию и проведение пусконаладочных работ".</w:t>
      </w:r>
    </w:p>
    <w:p>
      <w:pPr>
        <w:widowControl/>
        <w:spacing w:after="80" w:line="276" w:lineRule="auto"/>
      </w:pPr>
      <w:r>
        <w:rPr>
          <w:rFonts w:ascii="Times New Roman" w:hAnsi="Times New Roman" w:eastAsia="Times New Roman"/>
        </w:rPr>
        <w:t>Требования пожарной безопасности к системам наружного и внутреннего противопожарного водопровода.</w:t>
      </w:r>
    </w:p>
    <w:p>
      <w:pPr>
        <w:widowControl/>
        <w:spacing w:after="80" w:line="276" w:lineRule="auto"/>
      </w:pPr>
      <w:r>
        <w:rPr>
          <w:rFonts w:ascii="Times New Roman" w:hAnsi="Times New Roman" w:eastAsia="Times New Roman"/>
        </w:rPr>
        <w:t>Обеспечение надежности работы систем противопожарного водоснабжения. Конструктивные решения, обеспечивающие надежную работу водоводов и водопроводной сети. Трассировка сети, устройство водопроводной сети. Размещение пожарных гидрантов на водопроводных сетях. Определение требуемого расстояния между пожарными гидрантами.</w:t>
      </w:r>
    </w:p>
    <w:p>
      <w:pPr>
        <w:widowControl/>
        <w:spacing w:after="80" w:line="276" w:lineRule="auto"/>
      </w:pPr>
      <w:r>
        <w:rPr>
          <w:rFonts w:ascii="Times New Roman" w:hAnsi="Times New Roman" w:eastAsia="Times New Roman"/>
        </w:rPr>
        <w:t>Классификация, основные элементы и схемы внутренних водопроводов. Обоснование требуемых величин расходов и напоров воды на внутреннее пожаротушение. Конструктивные решения, обеспечивающие надежную работу внутренних водопроводов. Размещение внутренних пожарных кранов.</w:t>
      </w:r>
    </w:p>
    <w:p>
      <w:pPr>
        <w:widowControl/>
        <w:spacing w:after="80" w:line="276" w:lineRule="auto"/>
      </w:pPr>
      <w:r>
        <w:rPr>
          <w:rFonts w:ascii="Times New Roman" w:hAnsi="Times New Roman" w:eastAsia="Times New Roman"/>
        </w:rPr>
        <w:t>Общие положения по монтажу, наладке, техническому обслуживанию и ремонту систем противопожарного водоснабжения.</w:t>
      </w:r>
    </w:p>
    <w:p>
      <w:pPr>
        <w:widowControl/>
        <w:spacing w:after="80" w:line="276" w:lineRule="auto"/>
      </w:pPr>
      <w:r>
        <w:rPr>
          <w:rFonts w:ascii="Times New Roman" w:hAnsi="Times New Roman" w:eastAsia="Times New Roman"/>
        </w:rPr>
        <w:t>Водоотдача водопроводных сетей. Практическое определение водоотдачи для целей пожаротушения. Методика испытаний внутреннего и наружного противопожарного водопровода на водоотдачу. Причины снижения водоотдачи и способы улучшения противопожарного водоснабжения.</w:t>
      </w:r>
    </w:p>
    <w:p>
      <w:pPr>
        <w:pStyle w:val="Heading2"/>
        <w:spacing w:before="200"/>
        <w:keepNext/>
        <w:keepLines/>
      </w:pPr>
      <w:r>
        <w:t>21. Содержание профессионального модуля "Монтаж, техническое обслуживание и ремонт автоматических систем (элементов автоматических систем) противодымной вентиляции, включая диспетчеризацию и проведение пусконаладочных работ".</w:t>
      </w:r>
    </w:p>
    <w:p>
      <w:pPr>
        <w:widowControl/>
        <w:spacing w:after="80" w:line="276" w:lineRule="auto"/>
      </w:pPr>
      <w:r>
        <w:rPr>
          <w:rFonts w:ascii="Times New Roman" w:hAnsi="Times New Roman" w:eastAsia="Times New Roman"/>
        </w:rPr>
        <w:t>Назначение, область применения, виды, основные элементы и работа установок противодымной защиты объектов. Режимы управления. Рекомендации по выбору установок противодымной защиты.</w:t>
      </w:r>
    </w:p>
    <w:p>
      <w:pPr>
        <w:widowControl/>
        <w:spacing w:after="80" w:line="276" w:lineRule="auto"/>
      </w:pPr>
      <w:r>
        <w:rPr>
          <w:rFonts w:ascii="Times New Roman" w:hAnsi="Times New Roman" w:eastAsia="Times New Roman"/>
        </w:rPr>
        <w:t>Общие положения по монтажу, наладке, испытаниям и сдаче в эксплуатацию.</w:t>
      </w:r>
    </w:p>
    <w:p>
      <w:pPr>
        <w:widowControl/>
        <w:spacing w:after="80" w:line="276" w:lineRule="auto"/>
      </w:pPr>
      <w:r>
        <w:rPr>
          <w:rFonts w:ascii="Times New Roman" w:hAnsi="Times New Roman" w:eastAsia="Times New Roman"/>
        </w:rPr>
        <w:t>Техническое обслуживание установок противодымной защиты объектов. Виды и периодичность технического обслуживания. Методика проверки технического состояния и работоспособности.</w:t>
      </w:r>
    </w:p>
    <w:p>
      <w:pPr>
        <w:pStyle w:val="Heading2"/>
        <w:spacing w:before="200"/>
        <w:keepNext/>
        <w:keepLines/>
      </w:pPr>
      <w:r>
        <w:t>22. Содержание профессионального модуля "Монтаж, техническое обслуживание и ремонт систем оповещения и эвакуации при пожаре и их элементов, включая диспетчеризацию и проведение пусконаладочных работ, в том числе фотолюминесцентных эвакуационных систем и их элементов".</w:t>
      </w:r>
    </w:p>
    <w:p>
      <w:pPr>
        <w:widowControl/>
        <w:spacing w:after="80" w:line="276" w:lineRule="auto"/>
      </w:pPr>
      <w:r>
        <w:rPr>
          <w:rFonts w:ascii="Times New Roman" w:hAnsi="Times New Roman" w:eastAsia="Times New Roman"/>
        </w:rPr>
        <w:t>Требования нормативных документов к системам оповещения и управления эвакуацией людей при пожаре. Определение типов и характеристик систем оповещения.</w:t>
      </w:r>
    </w:p>
    <w:p>
      <w:pPr>
        <w:widowControl/>
        <w:spacing w:after="80" w:line="276" w:lineRule="auto"/>
      </w:pPr>
      <w:r>
        <w:rPr>
          <w:rFonts w:ascii="Times New Roman" w:hAnsi="Times New Roman" w:eastAsia="Times New Roman"/>
        </w:rPr>
        <w:t>Требования нормативных документов к монтажу технических средств систем оповещения. Особенности размещения звуковых, речевых и световых оповещателей. Акустический расчет, расчет электрических параметров: максимальная нагрузка на реле, длина и сечения кабеля, потери напряжения. Измерение уровня звукового давления.</w:t>
      </w:r>
    </w:p>
    <w:p>
      <w:pPr>
        <w:widowControl/>
        <w:spacing w:after="80" w:line="276" w:lineRule="auto"/>
      </w:pPr>
      <w:r>
        <w:rPr>
          <w:rFonts w:ascii="Times New Roman" w:hAnsi="Times New Roman" w:eastAsia="Times New Roman"/>
        </w:rPr>
        <w:t>Нормативные требования к кабельным линиям систем оповещения, особенности их выбора и монтажа.</w:t>
      </w:r>
    </w:p>
    <w:p>
      <w:pPr>
        <w:widowControl/>
        <w:spacing w:after="80" w:line="276" w:lineRule="auto"/>
      </w:pPr>
      <w:r>
        <w:rPr>
          <w:rFonts w:ascii="Times New Roman" w:hAnsi="Times New Roman" w:eastAsia="Times New Roman"/>
        </w:rPr>
        <w:t>Алгоритмы работы систем оповещения. Аварийное и эвакуационное освещение. Размещение оборудования обратной связи с зонами пожарного оповещения.</w:t>
      </w:r>
    </w:p>
    <w:p>
      <w:pPr>
        <w:widowControl/>
        <w:spacing w:after="80" w:line="276" w:lineRule="auto"/>
      </w:pPr>
      <w:r>
        <w:rPr>
          <w:rFonts w:ascii="Times New Roman" w:hAnsi="Times New Roman" w:eastAsia="Times New Roman"/>
        </w:rPr>
        <w:t>Общие положения по монтажу, наладке, испытаниям и сдаче в эксплуатацию систем оповещения.</w:t>
      </w:r>
    </w:p>
    <w:p>
      <w:pPr>
        <w:widowControl/>
        <w:spacing w:after="80" w:line="276" w:lineRule="auto"/>
      </w:pPr>
      <w:r>
        <w:rPr>
          <w:rFonts w:ascii="Times New Roman" w:hAnsi="Times New Roman" w:eastAsia="Times New Roman"/>
        </w:rPr>
        <w:t>Техническое обслуживание систем оповещения. Виды и периодичность технического обслуживания систем оповещения людей о пожаре. Методика проверки технического состояния и работоспособности систем оповещения людей о пожаре. Основные требования к проверке технического состояния систем оповещения людей о пожаре. Правила использования систем оповещения при возникновении пожара на объекте.</w:t>
      </w:r>
    </w:p>
    <w:p>
      <w:pPr>
        <w:widowControl/>
        <w:spacing w:after="80" w:line="276" w:lineRule="auto"/>
      </w:pPr>
      <w:r>
        <w:rPr>
          <w:rFonts w:ascii="Times New Roman" w:hAnsi="Times New Roman" w:eastAsia="Times New Roman"/>
        </w:rPr>
        <w:t>Требования пожарной безопасности к путям эвакуации. Классификация элементов фотолюминесцентной эвакуационной системы и знаков безопасности. Требования к элементам фотолюминесцентной эвакуационной системы и к их размещению. Методы контроля за элементами фотолюминесцентной эвакуационной системы. Определение фотометрических характеристик элементов фотолюминесцентной эвакуационной системы на стадии эксплуатации. Правила монтажа фотолюминесцентных эвакуационных систем.</w:t>
      </w:r>
    </w:p>
    <w:p>
      <w:pPr>
        <w:pStyle w:val="Heading2"/>
        <w:spacing w:before="200"/>
        <w:keepNext/>
        <w:keepLines/>
      </w:pPr>
      <w:r>
        <w:t>23. Содержание профессионального модуля "Монтаж, техническое обслуживание и ремонт автоматических систем (элементов автоматических систем) передачи извещений о пожаре, включая диспетчеризацию и проведение пусконаладочных работ".</w:t>
      </w:r>
    </w:p>
    <w:p>
      <w:pPr>
        <w:widowControl/>
        <w:spacing w:after="80" w:line="276" w:lineRule="auto"/>
      </w:pPr>
      <w:r>
        <w:rPr>
          <w:rFonts w:ascii="Times New Roman" w:hAnsi="Times New Roman" w:eastAsia="Times New Roman"/>
        </w:rPr>
        <w:t>Назначение, область применения, виды, основные элементы и работа автоматических систем передачи извещений о пожаре. Режимы управления. Рекомендации по выбору автоматических систем передачи извещений о пожаре.</w:t>
      </w:r>
    </w:p>
    <w:p>
      <w:pPr>
        <w:widowControl/>
        <w:spacing w:after="80" w:line="276" w:lineRule="auto"/>
      </w:pPr>
      <w:r>
        <w:rPr>
          <w:rFonts w:ascii="Times New Roman" w:hAnsi="Times New Roman" w:eastAsia="Times New Roman"/>
        </w:rPr>
        <w:t>Общие положения по монтажу, наладке, испытаниям и сдаче в эксплуатацию.</w:t>
      </w:r>
    </w:p>
    <w:p>
      <w:pPr>
        <w:widowControl/>
        <w:spacing w:after="80" w:line="276" w:lineRule="auto"/>
      </w:pPr>
      <w:r>
        <w:rPr>
          <w:rFonts w:ascii="Times New Roman" w:hAnsi="Times New Roman" w:eastAsia="Times New Roman"/>
        </w:rPr>
        <w:t>Техническое обслуживание автоматических систем передачи извещений о пожаре. Виды и периодичность технического обслуживания. Методика проверки технического состояния и работоспособности.</w:t>
      </w:r>
    </w:p>
    <w:p>
      <w:pPr>
        <w:pStyle w:val="Heading2"/>
        <w:spacing w:before="200"/>
        <w:keepNext/>
        <w:keepLines/>
      </w:pPr>
      <w:r>
        <w:t>24. Содержание профессионального модуля "Монтаж, техническое обслуживание и ремонт противопожарных занавесов и завес, включая диспетчеризацию и проведение пусконаладочных работ".</w:t>
      </w:r>
    </w:p>
    <w:p>
      <w:pPr>
        <w:widowControl/>
        <w:spacing w:after="80" w:line="276" w:lineRule="auto"/>
      </w:pPr>
      <w:r>
        <w:rPr>
          <w:rFonts w:ascii="Times New Roman" w:hAnsi="Times New Roman" w:eastAsia="Times New Roman"/>
        </w:rPr>
        <w:t>Классификация, конструктивное исполнение и обслуживание противопожарных занавесов и завес.</w:t>
      </w:r>
    </w:p>
    <w:p>
      <w:pPr>
        <w:widowControl/>
        <w:spacing w:after="80" w:line="276" w:lineRule="auto"/>
      </w:pPr>
      <w:r>
        <w:rPr>
          <w:rFonts w:ascii="Times New Roman" w:hAnsi="Times New Roman" w:eastAsia="Times New Roman"/>
        </w:rPr>
        <w:t>Требования нормативно-технической документации по монтажу противопожарных занавесов и завес.</w:t>
      </w:r>
    </w:p>
    <w:p>
      <w:pPr>
        <w:widowControl/>
        <w:spacing w:after="80" w:line="276" w:lineRule="auto"/>
      </w:pPr>
      <w:r>
        <w:rPr>
          <w:rFonts w:ascii="Times New Roman" w:hAnsi="Times New Roman" w:eastAsia="Times New Roman"/>
        </w:rPr>
        <w:t>Принципы построения и аппаратура управления (автоматика) противопожарных занавесов и завес.</w:t>
      </w:r>
    </w:p>
    <w:p>
      <w:pPr>
        <w:widowControl/>
        <w:spacing w:after="80" w:line="276" w:lineRule="auto"/>
      </w:pPr>
      <w:r>
        <w:rPr>
          <w:rFonts w:ascii="Times New Roman" w:hAnsi="Times New Roman" w:eastAsia="Times New Roman"/>
        </w:rPr>
        <w:t xml:space="preserve">Посещение объекта с установленным противопожарным занавесом (занавесами) проводится дистанционно в синхронном формате по расписанию. Преподаватель или представитель объекта в реальном времени показывает состав узлов, состояние полотна, аппаратуру управления, обратную связь и защитные блокировки; слушатель фиксирует наблюдения, задает вопросы и оформляет отчет. До занятия фиксируются наименование и адрес объекта, основание его показа, ответственное лицо, дата, время и ссылка доступа; после занятия — участие слушателя и результат оценивания. Выезд слушателя и физические действия слушателя на оборудовании не предусмотрены.</w:t>
      </w:r>
    </w:p>
    <w:p>
      <w:pPr>
        <w:pStyle w:val="Heading2"/>
        <w:spacing w:before="200"/>
        <w:keepNext/>
        <w:keepLines/>
      </w:pPr>
      <w:r>
        <w:t>25. Содержание профессионального модуля "Монтаж, техническое обслуживание и ремонт заполнений проемов в противопожарных преградах".</w:t>
      </w:r>
    </w:p>
    <w:p>
      <w:pPr>
        <w:widowControl/>
        <w:spacing w:after="80" w:line="276" w:lineRule="auto"/>
      </w:pPr>
      <w:r>
        <w:rPr>
          <w:rFonts w:ascii="Times New Roman" w:hAnsi="Times New Roman" w:eastAsia="Times New Roman"/>
        </w:rPr>
        <w:t>Виды, типы и классификация противопожарных преград. Требования нормативно-технической документации по заполнению проемов в противопожарных преградах.</w:t>
      </w:r>
    </w:p>
    <w:p>
      <w:pPr>
        <w:widowControl/>
        <w:spacing w:after="80" w:line="276" w:lineRule="auto"/>
      </w:pPr>
      <w:r>
        <w:rPr>
          <w:rFonts w:ascii="Times New Roman" w:hAnsi="Times New Roman" w:eastAsia="Times New Roman"/>
        </w:rPr>
        <w:t>Классификация, конструктивное исполнение заполнения проемов в противопожарных преградах. Двери, ворота, люки, окна, занавесы, шторы. Требования к монтажу и техническому обслуживанию элементов заполнений проемов в противопожарных преградах. Заделка кабельных проходок в противопожарных преградах. Противопожарные клапаны.</w:t>
      </w:r>
    </w:p>
    <w:p>
      <w:pPr>
        <w:widowControl/>
        <w:spacing w:after="80" w:line="276" w:lineRule="auto"/>
      </w:pPr>
      <w:r>
        <w:rPr>
          <w:rFonts w:ascii="Times New Roman" w:hAnsi="Times New Roman" w:eastAsia="Times New Roman"/>
        </w:rPr>
        <w:t>Принципы построения и аппаратура управления (автоматика) элементов заполнений проемов в противопожарных преградах.</w:t>
      </w:r>
    </w:p>
    <w:p>
      <w:pPr>
        <w:pStyle w:val="Heading2"/>
        <w:spacing w:before="200"/>
        <w:keepNext/>
        <w:keepLines/>
      </w:pPr>
      <w:r>
        <w:t>26. Содержание профессионального модуля "Выполнение работ по огнезащите материалов, изделий и конструкций".</w:t>
      </w:r>
    </w:p>
    <w:p>
      <w:pPr>
        <w:widowControl/>
        <w:spacing w:after="80" w:line="276" w:lineRule="auto"/>
      </w:pPr>
      <w:r>
        <w:rPr>
          <w:rFonts w:ascii="Times New Roman" w:hAnsi="Times New Roman" w:eastAsia="Times New Roman"/>
        </w:rPr>
        <w:t>Способы и средства повышения огнестойкости строительных конструкций. Виды огнезащитных средств и способов и их классификация. Механизмы действия и выбор огнезащитных средств. Химические и физические (поверхностные) способы огнезащиты строительных конструкций. Сравнительная эффективность различных видов огнезащиты. Методы испытаний на огнезащитную эффективность. Идентификация средств огнезащиты методами термического анализа.</w:t>
      </w:r>
    </w:p>
    <w:p>
      <w:pPr>
        <w:widowControl/>
        <w:spacing w:after="80" w:line="276" w:lineRule="auto"/>
      </w:pPr>
      <w:r>
        <w:rPr>
          <w:rFonts w:ascii="Times New Roman" w:hAnsi="Times New Roman" w:eastAsia="Times New Roman"/>
        </w:rPr>
        <w:t>Оборудование и инструменты, применяемые при производстве работ. Подготовка поверхности конструкций. Нанесение огнезащитного покрытия. Нанесение покрывных материалов. Ремонт повреждений покрытия. Требования безопасности при проведении работ. Правила обращения с токсичными веществами. Охрана окружающей среды при проведении работ.</w:t>
      </w:r>
    </w:p>
    <w:p>
      <w:pPr>
        <w:widowControl/>
        <w:spacing w:after="80" w:line="276" w:lineRule="auto"/>
      </w:pPr>
      <w:r>
        <w:rPr>
          <w:rFonts w:ascii="Times New Roman" w:hAnsi="Times New Roman" w:eastAsia="Times New Roman"/>
        </w:rPr>
        <w:t>Виды контроля. Входной контроль. Операционный контроль. Контроль качества подготовки поверхности. Контроль климатических условий. Контроль качества подготовки материала. Контроль качества нанесения материала. Контроль готового покрытия.</w:t>
      </w:r>
    </w:p>
    <w:p>
      <w:pPr>
        <w:pStyle w:val="Heading2"/>
        <w:spacing w:before="200"/>
        <w:keepNext/>
        <w:keepLines/>
      </w:pPr>
      <w:r>
        <w:t>27. Содержание профессионального модуля "Монтаж, техническое обслуживание и ремонт первичных средств пожаротушения".</w:t>
      </w:r>
    </w:p>
    <w:p>
      <w:pPr>
        <w:widowControl/>
        <w:spacing w:after="80" w:line="276" w:lineRule="auto"/>
      </w:pPr>
      <w:r>
        <w:rPr>
          <w:rFonts w:ascii="Times New Roman" w:hAnsi="Times New Roman" w:eastAsia="Times New Roman"/>
        </w:rPr>
        <w:t>Требования нормативно-технической документации по оснащению зданий и сооружений первичными средствами пожаротушения.</w:t>
      </w:r>
    </w:p>
    <w:p>
      <w:pPr>
        <w:widowControl/>
        <w:spacing w:after="80" w:line="276" w:lineRule="auto"/>
      </w:pPr>
      <w:r>
        <w:rPr>
          <w:rFonts w:ascii="Times New Roman" w:hAnsi="Times New Roman" w:eastAsia="Times New Roman"/>
        </w:rPr>
        <w:t>Огнетушители: типы, основные параметры, технические характеристики. Применение огнетушителей в производственных, складских и общественных зданиях и сооружениях. Техническое обслуживание и ремонт огнетушителей.</w:t>
      </w:r>
    </w:p>
    <w:p>
      <w:r>
        <w:br w:type="page"/>
      </w:r>
    </w:p>
    <w:p>
      <w:pPr>
        <w:pStyle w:val="Heading1"/>
        <w:keepNext/>
        <w:keepLines/>
      </w:pPr>
      <w:r>
        <w:t>VII. Планируемые результаты освоения программы</w:t>
      </w:r>
    </w:p>
    <w:p>
      <w:pPr>
        <w:widowControl/>
        <w:spacing w:after="100" w:line="276" w:lineRule="auto"/>
      </w:pPr>
      <w:r>
        <w:rPr>
          <w:rFonts w:ascii="Times New Roman" w:hAnsi="Times New Roman" w:eastAsia="Times New Roman"/>
        </w:rPr>
        <w:t>28. Программа совершенствует в рамках имеющейся квалификации следующие профессиональные компетенции слушателя: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AAB3BD"/>
          <w:left w:val="single" w:sz="6" w:color="AAB3BD"/>
          <w:bottom w:val="single" w:sz="6" w:color="AAB3BD"/>
          <w:right w:val="single" w:sz="6" w:color="AAB3BD"/>
          <w:insideH w:val="single" w:sz="6" w:color="AAB3BD"/>
          <w:insideV w:val="single" w:sz="6" w:color="AAB3BD"/>
        </w:tblBorders>
      </w:tblPr>
      <w:tblGrid>
        <w:gridCol w:w="2381"/>
        <w:gridCol w:w="4762"/>
        <w:gridCol w:w="2098"/>
      </w:tblGrid>
      <w:tr>
        <w:trPr>
          <w:tblHeader w:val="true"/>
          <w:cantSplit/>
        </w:trPr>
        <w:tc>
          <w:tcPr>
            <w:tcW w:type="dxa" w:w="2381"/>
            <w:shd w:fill="2534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jc w:val="center"/>
              <w:keepNext/>
            </w:pPr>
            <w:r>
              <w:rPr>
                <w:color w:val="FFFFFF"/>
              </w:rPr>
            </w:r>
            <w:r>
              <w:rPr>
                <w:rFonts w:ascii="Times New Roman" w:hAnsi="Times New Roman" w:eastAsia="Times New Roman"/>
                <w:b/>
                <w:color w:val="FFFFFF"/>
                <w:sz w:val="17"/>
              </w:rPr>
              <w:t>Компетенция</w:t>
            </w:r>
          </w:p>
        </w:tc>
        <w:tc>
          <w:tcPr>
            <w:tcW w:type="dxa" w:w="4762"/>
            <w:shd w:fill="2534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jc w:val="center"/>
              <w:keepNext/>
            </w:pPr>
            <w:r>
              <w:rPr>
                <w:color w:val="FFFFFF"/>
              </w:rPr>
            </w:r>
            <w:r>
              <w:rPr>
                <w:rFonts w:ascii="Times New Roman" w:hAnsi="Times New Roman" w:eastAsia="Times New Roman"/>
                <w:b/>
                <w:color w:val="FFFFFF"/>
                <w:sz w:val="17"/>
              </w:rPr>
              <w:t>Качественное изменение по результатам обучения</w:t>
            </w:r>
          </w:p>
        </w:tc>
        <w:tc>
          <w:tcPr>
            <w:tcW w:type="dxa" w:w="2098"/>
            <w:shd w:fill="2534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jc w:val="center"/>
              <w:keepNext/>
            </w:pPr>
            <w:r>
              <w:rPr>
                <w:color w:val="FFFFFF"/>
              </w:rPr>
            </w:r>
            <w:r>
              <w:rPr>
                <w:rFonts w:ascii="Times New Roman" w:hAnsi="Times New Roman" w:eastAsia="Times New Roman"/>
                <w:b/>
                <w:color w:val="FFFFFF"/>
                <w:sz w:val="17"/>
              </w:rPr>
              <w:t>Связь с модулями</w:t>
            </w:r>
          </w:p>
        </w:tc>
      </w:tr>
      <w:tr>
        <w:trPr>
          <w:cantSplit/>
        </w:trPr>
        <w:tc>
          <w:tcPr>
            <w:tcW w:type="dxa" w:w="2381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Организация и безопасное выполнение работ</w:t>
            </w:r>
          </w:p>
        </w:tc>
        <w:tc>
          <w:tcPr>
            <w:tcW w:type="dxa" w:w="4762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способность планировать и выполнять монтаж, пусконаладку, техническое обслуживание и ремонт средств обеспечения пожарной безопасности с учетом обязательных требований, документации изготовителя и требований охраны труда</w:t>
            </w:r>
          </w:p>
        </w:tc>
        <w:tc>
          <w:tcPr>
            <w:tcW w:type="dxa" w:w="2098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общепрофессиональный модуль и профессиональные модули 2–11</w:t>
            </w:r>
          </w:p>
        </w:tc>
      </w:tr>
      <w:tr>
        <w:trPr>
          <w:cantSplit/>
        </w:trPr>
        <w:tc>
          <w:tcPr>
            <w:tcW w:type="dxa" w:w="2381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Анализ технической и проектной документации</w:t>
            </w:r>
          </w:p>
        </w:tc>
        <w:tc>
          <w:tcPr>
            <w:tcW w:type="dxa" w:w="4762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способность оценивать проектные решения, схемы, алгоритмы, исходные данные и техническую документацию в части соблюдения требований пожарной безопасности</w:t>
            </w:r>
          </w:p>
        </w:tc>
        <w:tc>
          <w:tcPr>
            <w:tcW w:type="dxa" w:w="2098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общепрофессиональный модуль и профессиональные модули 2–11</w:t>
            </w:r>
          </w:p>
        </w:tc>
      </w:tr>
      <w:tr>
        <w:trPr>
          <w:cantSplit/>
        </w:trPr>
        <w:tc>
          <w:tcPr>
            <w:tcW w:type="dxa" w:w="2381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Диагностика, испытания и контроль работоспособности</w:t>
            </w:r>
          </w:p>
        </w:tc>
        <w:tc>
          <w:tcPr>
            <w:tcW w:type="dxa" w:w="4762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способность выявлять неисправности, выбирать контрольные операции, проводить проверки и испытания, оценивать результаты и обосновывать корректирующие действия</w:t>
            </w:r>
          </w:p>
        </w:tc>
        <w:tc>
          <w:tcPr>
            <w:tcW w:type="dxa" w:w="2098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профессиональные модули 2–11</w:t>
            </w:r>
          </w:p>
        </w:tc>
      </w:tr>
      <w:tr>
        <w:trPr>
          <w:cantSplit/>
        </w:trPr>
        <w:tc>
          <w:tcPr>
            <w:tcW w:type="dxa" w:w="2381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Документирование результатов</w:t>
            </w:r>
          </w:p>
        </w:tc>
        <w:tc>
          <w:tcPr>
            <w:tcW w:type="dxa" w:w="4762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способность оформлять журналы, акты, протоколы, дефектные ведомости, расчетные листы и иные результаты монтажа, наладки, обслуживания и ремонта</w:t>
            </w:r>
          </w:p>
        </w:tc>
        <w:tc>
          <w:tcPr>
            <w:tcW w:type="dxa" w:w="2098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общепрофессиональный модуль и профессиональные модули 2–11</w:t>
            </w:r>
          </w:p>
        </w:tc>
      </w:tr>
      <w:tr>
        <w:trPr>
          <w:cantSplit/>
        </w:trPr>
        <w:tc>
          <w:tcPr>
            <w:tcW w:type="dxa" w:w="2381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Применение инженерных и цифровых средств</w:t>
            </w:r>
          </w:p>
        </w:tc>
        <w:tc>
          <w:tcPr>
            <w:tcW w:type="dxa" w:w="4762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способность применять инженерные расчеты, специальное программное обеспечение, цифровые модели и средства диагностики при решении профессиональных задач</w:t>
            </w:r>
          </w:p>
        </w:tc>
        <w:tc>
          <w:tcPr>
            <w:tcW w:type="dxa" w:w="2098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профессиональные модули 2–11</w:t>
            </w:r>
          </w:p>
        </w:tc>
      </w:tr>
    </w:tbl>
    <w:p>
      <w:pPr>
        <w:widowControl/>
        <w:spacing w:after="100" w:line="276" w:lineRule="auto"/>
      </w:pPr>
      <w:r>
        <w:rPr>
          <w:rFonts w:ascii="Times New Roman" w:hAnsi="Times New Roman" w:eastAsia="Times New Roman"/>
        </w:rPr>
        <w:t>Обозначения компетенций в таблице являются внутренним описанием результатов настоящей Программы и не подменяют формулировки Типовой программы.</w:t>
      </w:r>
    </w:p>
    <w:p>
      <w:pPr>
        <w:widowControl/>
        <w:spacing w:after="100" w:line="276" w:lineRule="auto"/>
      </w:pPr>
      <w:r>
        <w:rPr>
          <w:rFonts w:ascii="Times New Roman" w:hAnsi="Times New Roman" w:eastAsia="Times New Roman"/>
        </w:rPr>
        <w:t>29. В результате освоения Программы слушатель должен знать:</w:t>
      </w:r>
    </w:p>
    <w:p>
      <w:pPr>
        <w:pStyle w:val="ListBullet"/>
        <w:spacing w:after="60" w:line="259" w:lineRule="auto"/>
      </w:pPr>
      <w:r>
        <w:rPr>
          <w:rFonts w:ascii="Times New Roman" w:hAnsi="Times New Roman" w:eastAsia="Times New Roman"/>
        </w:rPr>
        <w:t>организационные основы обеспечения пожарной безопасности;</w:t>
      </w:r>
    </w:p>
    <w:p>
      <w:pPr>
        <w:pStyle w:val="ListBullet"/>
        <w:spacing w:after="60" w:line="259" w:lineRule="auto"/>
      </w:pPr>
      <w:r>
        <w:rPr>
          <w:rFonts w:ascii="Times New Roman" w:hAnsi="Times New Roman" w:eastAsia="Times New Roman"/>
        </w:rPr>
        <w:t>законодательные и иные нормативные правовые акты Российской Федерации по пожарной безопасности;</w:t>
      </w:r>
    </w:p>
    <w:p>
      <w:pPr>
        <w:pStyle w:val="ListBullet"/>
        <w:spacing w:after="60" w:line="259" w:lineRule="auto"/>
      </w:pPr>
      <w:r>
        <w:rPr>
          <w:rFonts w:ascii="Times New Roman" w:hAnsi="Times New Roman" w:eastAsia="Times New Roman"/>
        </w:rPr>
        <w:t>технические регламенты и нормативные документы по пожарной безопасности;</w:t>
      </w:r>
    </w:p>
    <w:p>
      <w:pPr>
        <w:pStyle w:val="ListBullet"/>
        <w:spacing w:after="60" w:line="259" w:lineRule="auto"/>
      </w:pPr>
      <w:r>
        <w:rPr>
          <w:rFonts w:ascii="Times New Roman" w:hAnsi="Times New Roman" w:eastAsia="Times New Roman"/>
        </w:rPr>
        <w:t>нормы и требования общеотраслевых, отраслевых правил, регламентов и локальных нормативных документов по пожарной безопасности;</w:t>
      </w:r>
    </w:p>
    <w:p>
      <w:pPr>
        <w:pStyle w:val="ListBullet"/>
        <w:spacing w:after="60" w:line="259" w:lineRule="auto"/>
      </w:pPr>
      <w:r>
        <w:rPr>
          <w:rFonts w:ascii="Times New Roman" w:hAnsi="Times New Roman" w:eastAsia="Times New Roman"/>
        </w:rPr>
        <w:t>принципы построения, конструкции и особенности функционирования систем противопожарной защиты зданий и сооружений и предупреждения пожаровзрывоопасных ситуаций;</w:t>
      </w:r>
    </w:p>
    <w:p>
      <w:pPr>
        <w:pStyle w:val="ListBullet"/>
        <w:spacing w:after="60" w:line="259" w:lineRule="auto"/>
      </w:pPr>
      <w:r>
        <w:rPr>
          <w:rFonts w:ascii="Times New Roman" w:hAnsi="Times New Roman" w:eastAsia="Times New Roman"/>
        </w:rPr>
        <w:t>нормативные документы по монтажу, ремонту, наладке, эксплуатации и обслуживанию систем противопожарной защиты зданий и сооружений.</w:t>
      </w:r>
    </w:p>
    <w:p>
      <w:pPr>
        <w:widowControl/>
        <w:spacing w:after="100" w:line="276" w:lineRule="auto"/>
      </w:pPr>
      <w:r>
        <w:rPr>
          <w:rFonts w:ascii="Times New Roman" w:hAnsi="Times New Roman" w:eastAsia="Times New Roman"/>
        </w:rPr>
        <w:t>30. Слушатель должен уметь:</w:t>
      </w:r>
    </w:p>
    <w:p>
      <w:pPr>
        <w:pStyle w:val="ListBullet"/>
        <w:spacing w:after="60" w:line="259" w:lineRule="auto"/>
      </w:pPr>
      <w:r>
        <w:rPr>
          <w:rFonts w:ascii="Times New Roman" w:hAnsi="Times New Roman" w:eastAsia="Times New Roman"/>
        </w:rPr>
        <w:t>проводить оценку проектной документации в части соблюдения требований пожарной безопасности;</w:t>
      </w:r>
    </w:p>
    <w:p>
      <w:pPr>
        <w:pStyle w:val="ListBullet"/>
        <w:spacing w:after="60" w:line="259" w:lineRule="auto"/>
      </w:pPr>
      <w:r>
        <w:rPr>
          <w:rFonts w:ascii="Times New Roman" w:hAnsi="Times New Roman" w:eastAsia="Times New Roman"/>
        </w:rPr>
        <w:t>применять полученные знания при монтаже, ремонте, наладке, эксплуатации и обслуживании систем противопожарной защиты зданий и сооружений;</w:t>
      </w:r>
    </w:p>
    <w:p>
      <w:pPr>
        <w:pStyle w:val="ListBullet"/>
        <w:spacing w:after="60" w:line="259" w:lineRule="auto"/>
      </w:pPr>
      <w:r>
        <w:rPr>
          <w:rFonts w:ascii="Times New Roman" w:hAnsi="Times New Roman" w:eastAsia="Times New Roman"/>
        </w:rPr>
        <w:t>выявлять неисправности по схемам, измерениям и журналам событий и обосновывать корректирующие действия;</w:t>
      </w:r>
    </w:p>
    <w:p>
      <w:pPr>
        <w:pStyle w:val="ListBullet"/>
        <w:spacing w:after="60" w:line="259" w:lineRule="auto"/>
      </w:pPr>
      <w:r>
        <w:rPr>
          <w:rFonts w:ascii="Times New Roman" w:hAnsi="Times New Roman" w:eastAsia="Times New Roman"/>
        </w:rPr>
        <w:t>оформлять результаты проверок, испытаний и технического обслуживания.</w:t>
      </w:r>
    </w:p>
    <w:p>
      <w:pPr>
        <w:widowControl/>
        <w:spacing w:after="100" w:line="276" w:lineRule="auto"/>
      </w:pPr>
      <w:r>
        <w:rPr>
          <w:rFonts w:ascii="Times New Roman" w:hAnsi="Times New Roman" w:eastAsia="Times New Roman"/>
        </w:rPr>
        <w:t>31. Слушатель должен владеть:</w:t>
      </w:r>
    </w:p>
    <w:p>
      <w:pPr>
        <w:pStyle w:val="ListBullet"/>
        <w:spacing w:after="60" w:line="259" w:lineRule="auto"/>
      </w:pPr>
      <w:r>
        <w:rPr>
          <w:rFonts w:ascii="Times New Roman" w:hAnsi="Times New Roman" w:eastAsia="Times New Roman"/>
        </w:rPr>
        <w:t>методами инженерных расчетов и решений в области разработки основных технических мероприятий, монтажа, ремонта, наладки, эксплуатации и обслуживания средств обеспечения пожарной безопасности;</w:t>
      </w:r>
    </w:p>
    <w:p>
      <w:pPr>
        <w:pStyle w:val="ListBullet"/>
        <w:spacing w:after="60" w:line="259" w:lineRule="auto"/>
      </w:pPr>
      <w:r>
        <w:rPr>
          <w:rFonts w:ascii="Times New Roman" w:hAnsi="Times New Roman" w:eastAsia="Times New Roman"/>
        </w:rPr>
        <w:t>приемами безопасного выполнения работ и контроля качества;</w:t>
      </w:r>
    </w:p>
    <w:p>
      <w:pPr>
        <w:pStyle w:val="ListBullet"/>
        <w:spacing w:after="60" w:line="259" w:lineRule="auto"/>
      </w:pPr>
      <w:r>
        <w:rPr>
          <w:rFonts w:ascii="Times New Roman" w:hAnsi="Times New Roman" w:eastAsia="Times New Roman"/>
        </w:rPr>
        <w:t>навыками применения специального программного обеспечения и цифровых средств диагностики.</w:t>
      </w:r>
    </w:p>
    <w:p>
      <w:pPr>
        <w:pStyle w:val="Heading1"/>
        <w:keepNext/>
        <w:keepLines/>
      </w:pPr>
      <w:r>
        <w:t>VIII. Организационно-педагогические условия реализации</w:t>
      </w:r>
    </w:p>
    <w:p>
      <w:pPr>
        <w:widowControl/>
        <w:spacing w:after="100" w:line="276" w:lineRule="auto"/>
      </w:pPr>
      <w:r>
        <w:rPr>
          <w:rFonts w:ascii="Times New Roman" w:hAnsi="Times New Roman" w:eastAsia="Times New Roman"/>
        </w:rPr>
        <w:t>32. Реализация Программы должна обеспечить приобретение знаний и умений, необходимых для выполнения работ по монтажу, техническому обслуживанию и ремонту средств обеспечения пожарной безопасности зданий и сооружений.</w:t>
      </w:r>
    </w:p>
    <w:p>
      <w:pPr>
        <w:widowControl/>
        <w:spacing w:after="100" w:line="276" w:lineRule="auto"/>
      </w:pPr>
      <w:r>
        <w:rPr>
          <w:rFonts w:ascii="Times New Roman" w:hAnsi="Times New Roman" w:eastAsia="Times New Roman"/>
        </w:rPr>
        <w:t>33. Выбор методов обучения для каждого занятия определяется преподавателем с учетом состава и уровня подготовленности группы, сложности материала и продолжительности занятия.</w:t>
      </w:r>
    </w:p>
    <w:p>
      <w:pPr>
        <w:widowControl/>
        <w:spacing w:after="100" w:line="276" w:lineRule="auto"/>
      </w:pPr>
      <w:r>
        <w:rPr>
          <w:rFonts w:ascii="Times New Roman" w:hAnsi="Times New Roman" w:eastAsia="Times New Roman"/>
        </w:rPr>
        <w:t>34. Теоретические материалы предоставляются через ЭИОС и сопровождаются примерами, схемами и ссылками на актуальные нормативные документы.</w:t>
      </w:r>
    </w:p>
    <w:p>
      <w:pPr>
        <w:widowControl/>
        <w:spacing w:after="100" w:line="276" w:lineRule="auto"/>
      </w:pPr>
      <w:r>
        <w:rPr>
          <w:rFonts w:ascii="Times New Roman" w:hAnsi="Times New Roman" w:eastAsia="Times New Roman"/>
        </w:rPr>
        <w:t>35. Практические занятия закрепляют теоретические знания и формируют умения применять требования, схемы и техническую документацию при решении профессиональных ситуационных задач. Ответ слушатель загружает в ЭИОС.</w:t>
      </w:r>
    </w:p>
    <w:p>
      <w:pPr>
        <w:pStyle w:val="Heading2"/>
        <w:keepNext/>
        <w:keepLines/>
      </w:pPr>
      <w:r>
        <w:t>8.1. Электронная информационно-образовательная среда</w:t>
      </w:r>
    </w:p>
    <w:p>
      <w:pPr>
        <w:widowControl/>
        <w:spacing w:after="100" w:line="276" w:lineRule="auto"/>
      </w:pPr>
      <w:r>
        <w:rPr>
          <w:rFonts w:ascii="Times New Roman" w:hAnsi="Times New Roman" w:eastAsia="Times New Roman"/>
        </w:rPr>
        <w:t>Для реализации Программы используется образовательная платформа «Синтагма». До подачи заявления и в течение всего периода реализации ЭИОС обеспечивает:</w:t>
      </w:r>
    </w:p>
    <w:p>
      <w:pPr>
        <w:pStyle w:val="ListBullet"/>
        <w:spacing w:after="60" w:line="259" w:lineRule="auto"/>
      </w:pPr>
      <w:r>
        <w:rPr>
          <w:rFonts w:ascii="Times New Roman" w:hAnsi="Times New Roman" w:eastAsia="Times New Roman"/>
        </w:rPr>
        <w:t>индивидуальную авторизацию и учет периода, объема и результатов учебной активности каждого слушателя;</w:t>
      </w:r>
    </w:p>
    <w:p>
      <w:pPr>
        <w:pStyle w:val="ListBullet"/>
        <w:spacing w:after="60" w:line="259" w:lineRule="auto"/>
      </w:pPr>
      <w:r>
        <w:rPr>
          <w:rFonts w:ascii="Times New Roman" w:hAnsi="Times New Roman" w:eastAsia="Times New Roman"/>
        </w:rPr>
        <w:t>доступ к Программе, расписанию, учебным материалам, заданиям, оценочным средствам и нормативным источникам;</w:t>
      </w:r>
    </w:p>
    <w:p>
      <w:pPr>
        <w:pStyle w:val="ListBullet"/>
        <w:spacing w:after="60" w:line="259" w:lineRule="auto"/>
      </w:pPr>
      <w:r>
        <w:rPr>
          <w:rFonts w:ascii="Times New Roman" w:hAnsi="Times New Roman" w:eastAsia="Times New Roman"/>
        </w:rPr>
        <w:t>взаимодействие слушателей с преподавателем и службой поддержки;</w:t>
      </w:r>
    </w:p>
    <w:p>
      <w:pPr>
        <w:pStyle w:val="ListBullet"/>
        <w:spacing w:after="60" w:line="259" w:lineRule="auto"/>
      </w:pPr>
      <w:r>
        <w:rPr>
          <w:rFonts w:ascii="Times New Roman" w:hAnsi="Times New Roman" w:eastAsia="Times New Roman"/>
        </w:rPr>
        <w:t>проведение текущего контроля, промежуточной и итоговой аттестации с сохранением результатов;</w:t>
      </w:r>
    </w:p>
    <w:p>
      <w:pPr>
        <w:pStyle w:val="ListBullet"/>
        <w:spacing w:after="60" w:line="259" w:lineRule="auto"/>
      </w:pPr>
      <w:r>
        <w:rPr>
          <w:rFonts w:ascii="Times New Roman" w:hAnsi="Times New Roman" w:eastAsia="Times New Roman"/>
        </w:rPr>
        <w:t>загрузку ответов на практические задания и фиксацию результатов аттестации;</w:t>
      </w:r>
    </w:p>
    <w:p>
      <w:pPr>
        <w:pStyle w:val="ListBullet"/>
        <w:spacing w:after="60" w:line="259" w:lineRule="auto"/>
      </w:pPr>
      <w:r>
        <w:rPr>
          <w:rFonts w:ascii="Times New Roman" w:hAnsi="Times New Roman" w:eastAsia="Times New Roman"/>
        </w:rPr>
        <w:t>защиту персональных данных и разграничение прав доступа.</w:t>
      </w:r>
    </w:p>
    <w:p>
      <w:pPr>
        <w:pStyle w:val="Heading2"/>
        <w:keepNext/>
        <w:keepLines/>
      </w:pPr>
      <w:r>
        <w:t>8.2. Идентификация слушателей</w:t>
      </w:r>
    </w:p>
    <w:p>
      <w:pPr>
        <w:widowControl/>
        <w:spacing w:after="100" w:line="276" w:lineRule="auto"/>
      </w:pPr>
      <w:r>
        <w:rPr>
          <w:rFonts w:ascii="Times New Roman" w:hAnsi="Times New Roman" w:eastAsia="Times New Roman"/>
        </w:rPr>
        <w:t>Идентификация при доступе к ЭИОС выполняется по индивидуальной учетной записи. При необходимости дополнительная проверка личности проводится одним из способов, предусмотренных локальным актом организации и фактически доступных в ЭИОС. Порядок действий при техническом сбое и хранения результатов установлен локальным актом.</w:t>
      </w:r>
    </w:p>
    <w:p>
      <w:pPr>
        <w:pStyle w:val="Heading2"/>
        <w:keepNext/>
        <w:keepLines/>
      </w:pPr>
      <w:r>
        <w:t>8.3. Кадровые условия</w:t>
      </w:r>
    </w:p>
    <w:p>
      <w:pPr>
        <w:widowControl/>
        <w:spacing w:after="100" w:line="276" w:lineRule="auto"/>
      </w:pPr>
      <w:r>
        <w:rPr>
          <w:rFonts w:ascii="Times New Roman" w:hAnsi="Times New Roman" w:eastAsia="Times New Roman"/>
        </w:rPr>
        <w:t>К реализации допускаются педагогические работники, квалификация и опыт которых соответствуют преподаваемому модулю и установленным требованиям. До начала обучения организация утверждает распределение модулей, проверяет документы об образовании, квалификации и трудовом/договорном основании. Персональный состав оформляется распорядительными документами организации до начала реализации Программы.</w:t>
      </w:r>
    </w:p>
    <w:p>
      <w:pPr>
        <w:pStyle w:val="Heading2"/>
        <w:keepNext/>
        <w:keepLines/>
      </w:pPr>
      <w:r>
        <w:t>8.4. Материально-технические и цифровые условия</w:t>
      </w:r>
    </w:p>
    <w:p>
      <w:pPr>
        <w:pStyle w:val="ListBullet"/>
        <w:spacing w:after="60" w:line="259" w:lineRule="auto"/>
      </w:pPr>
      <w:r>
        <w:rPr>
          <w:rFonts w:ascii="Times New Roman" w:hAnsi="Times New Roman" w:eastAsia="Times New Roman"/>
        </w:rPr>
        <w:t>рабочее место слушателя с устойчивым доступом в Интернет и современным браузером;</w:t>
      </w:r>
    </w:p>
    <w:p>
      <w:pPr>
        <w:pStyle w:val="ListBullet"/>
        <w:spacing w:after="60" w:line="259" w:lineRule="auto"/>
      </w:pPr>
      <w:r>
        <w:rPr>
          <w:rFonts w:ascii="Times New Roman" w:hAnsi="Times New Roman" w:eastAsia="Times New Roman"/>
        </w:rPr>
        <w:t>платформа ЭИОС со средствами контроля и фиксации результатов;</w:t>
      </w:r>
    </w:p>
    <w:p>
      <w:pPr>
        <w:pStyle w:val="ListBullet"/>
        <w:spacing w:after="60" w:line="259" w:lineRule="auto"/>
      </w:pPr>
      <w:r>
        <w:rPr>
          <w:rFonts w:ascii="Times New Roman" w:hAnsi="Times New Roman" w:eastAsia="Times New Roman"/>
        </w:rPr>
        <w:t>лицензионные или законно используемые базы нормативных документов и учебные материалы;</w:t>
      </w:r>
    </w:p>
    <w:p>
      <w:pPr>
        <w:pStyle w:val="ListBullet"/>
        <w:spacing w:after="60" w:line="259" w:lineRule="auto"/>
      </w:pPr>
      <w:r>
        <w:rPr>
          <w:rFonts w:ascii="Times New Roman" w:hAnsi="Times New Roman" w:eastAsia="Times New Roman"/>
        </w:rPr>
        <w:t>ситуационные задания, схемы и техническая документация по темам модулей;</w:t>
      </w:r>
    </w:p>
    <w:p>
      <w:pPr>
        <w:pStyle w:val="ListBullet"/>
        <w:spacing w:after="60" w:line="259" w:lineRule="auto"/>
      </w:pPr>
      <w:r>
        <w:rPr>
          <w:rFonts w:ascii="Times New Roman" w:hAnsi="Times New Roman" w:eastAsia="Times New Roman"/>
        </w:rPr>
        <w:t>канал технической поддержки и резервный порядок продолжения занятия при сбое.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241"/>
      </w:tblGrid>
      <w:tr>
        <w:trPr>
          <w:cantSplit/>
          <w:tblHeader/>
        </w:trPr>
        <w:tc>
          <w:tcPr>
            <w:tcW w:type="dxa" w:w="9241"/>
            <w:shd w:fill="EEF2F5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60"/>
              <w:keepNext/>
            </w:pPr>
            <w:r>
              <w:rPr>
                <w:rFonts w:ascii="Times New Roman" w:hAnsi="Times New Roman" w:eastAsia="Times New Roman"/>
                <w:b/>
                <w:sz w:val="21"/>
              </w:rPr>
              <w:t>Контроль готовности</w:t>
            </w:r>
          </w:p>
          <w:p>
            <w:pPr>
              <w:spacing w:after="0"/>
              <w:keepNext/>
            </w:pPr>
            <w:r>
              <w:rPr>
                <w:rFonts w:ascii="Times New Roman" w:hAnsi="Times New Roman" w:eastAsia="Times New Roman"/>
                <w:sz w:val="21"/>
              </w:rPr>
              <w:t>Доступность перечисленных ресурсов проверяется до подачи заявления, перед началом каждой группы и при обновлении курса; результат проверки оформляется внутренним актом.</w:t>
            </w:r>
          </w:p>
        </w:tc>
      </w:tr>
    </w:tbl>
    <w:p>
      <w:pPr>
        <w:spacing w:after="0"/>
      </w:pPr>
    </w:p>
    <w:p>
      <w:pPr>
        <w:pStyle w:val="Heading2"/>
        <w:keepNext/>
        <w:keepLines/>
      </w:pPr>
      <w:r>
        <w:t>8.5. Учебно-методическое и информационное обеспечение</w:t>
      </w:r>
    </w:p>
    <w:p>
      <w:pPr>
        <w:pStyle w:val="ListBullet"/>
        <w:spacing w:after="60" w:line="259" w:lineRule="auto"/>
      </w:pPr>
      <w:r>
        <w:rPr>
          <w:rFonts w:ascii="Times New Roman" w:hAnsi="Times New Roman" w:eastAsia="Times New Roman"/>
        </w:rPr>
        <w:t>актуальные нормативные правовые акты и нормативные документы по пожарной безопасности;</w:t>
      </w:r>
    </w:p>
    <w:p>
      <w:pPr>
        <w:pStyle w:val="ListBullet"/>
        <w:spacing w:after="60" w:line="259" w:lineRule="auto"/>
      </w:pPr>
      <w:r>
        <w:rPr>
          <w:rFonts w:ascii="Times New Roman" w:hAnsi="Times New Roman" w:eastAsia="Times New Roman"/>
        </w:rPr>
        <w:t>руководства по эксплуатации, схемы, регламенты и образцы технической документации;</w:t>
      </w:r>
    </w:p>
    <w:p>
      <w:pPr>
        <w:pStyle w:val="ListBullet"/>
        <w:spacing w:after="60" w:line="259" w:lineRule="auto"/>
      </w:pPr>
      <w:r>
        <w:rPr>
          <w:rFonts w:ascii="Times New Roman" w:hAnsi="Times New Roman" w:eastAsia="Times New Roman"/>
        </w:rPr>
        <w:t>методические указания к каждой практической работе, критерии и формы фиксации результата;</w:t>
      </w:r>
    </w:p>
    <w:p>
      <w:pPr>
        <w:pStyle w:val="ListBullet"/>
        <w:spacing w:after="60" w:line="259" w:lineRule="auto"/>
      </w:pPr>
      <w:r>
        <w:rPr>
          <w:rFonts w:ascii="Times New Roman" w:hAnsi="Times New Roman" w:eastAsia="Times New Roman"/>
        </w:rPr>
        <w:t>банк тестовых и ситуационных заданий, утвержденный в составе оценочных материалов.</w:t>
      </w:r>
    </w:p>
    <w:p>
      <w:pPr>
        <w:pStyle w:val="Heading1"/>
        <w:keepNext/>
        <w:keepLines/>
      </w:pPr>
      <w:r>
        <w:t>IX. Оценка качества освоения программы</w:t>
      </w:r>
    </w:p>
    <w:p>
      <w:pPr>
        <w:widowControl/>
        <w:spacing w:after="40" w:line="240" w:lineRule="auto"/>
      </w:pPr>
      <w:r>
        <w:rPr>
          <w:rFonts w:ascii="Times New Roman" w:hAnsi="Times New Roman" w:eastAsia="Times New Roman"/>
          <w:sz w:val="20"/>
        </w:rPr>
        <w:t>36. Оценка качества освоения включает текущий контроль успеваемости, промежуточную аттестацию по каждому модулю и итоговую аттестацию.</w:t>
      </w:r>
    </w:p>
    <w:p>
      <w:pPr>
        <w:widowControl/>
        <w:spacing w:after="40" w:line="240" w:lineRule="auto"/>
      </w:pPr>
      <w:r>
        <w:rPr>
          <w:rFonts w:ascii="Times New Roman" w:hAnsi="Times New Roman" w:eastAsia="Times New Roman"/>
          <w:sz w:val="20"/>
        </w:rPr>
        <w:t>37. Текущий контроль проводится в ходе изучения теоретического материала посредством контрольных вопросов, мини-тестов и разбора ситуаций. Его результаты используются для обратной связи и допуска к практическому заданию.</w:t>
      </w:r>
    </w:p>
    <w:p>
      <w:pPr>
        <w:widowControl/>
        <w:spacing w:after="40" w:line="240" w:lineRule="auto"/>
      </w:pPr>
      <w:r>
        <w:rPr>
          <w:rFonts w:ascii="Times New Roman" w:hAnsi="Times New Roman" w:eastAsia="Times New Roman"/>
          <w:sz w:val="20"/>
        </w:rPr>
        <w:t xml:space="preserve">38. Промежуточный тест каждого модуля содержит 5 вопросов с одним правильным ответом: зачет — не менее 4 правильных ответов (не менее 70% с округлением количества правильных ответов вверх). Практический результат каждого модуля оценивается отдельно преподавателем: в модулях 1–7 и 9–11 — по самостоятельной работе, в модуле 8 — по участию в синхронном дистанционном занятии и отчету. К итоговой аттестации допускается слушатель, получивший зачет по всем 11 модульным тестам и положительную оценку всех 11 практических результатов.</w:t>
      </w:r>
    </w:p>
    <w:p>
      <w:pPr>
        <w:widowControl/>
        <w:spacing w:after="40" w:line="240" w:lineRule="auto"/>
      </w:pPr>
      <w:r>
        <w:rPr>
          <w:rFonts w:ascii="Times New Roman" w:hAnsi="Times New Roman" w:eastAsia="Times New Roman"/>
          <w:sz w:val="20"/>
        </w:rPr>
        <w:t>39. Итоговая аттестация проводится в форме комплексного экзамена продолжительностью 2 академических часа и включает: (1) тестирование теоретической подготовки; (2) решение практико-ориентированной ситуационной задачи. Идентификация и ход экзамена фиксируются установленным локальным порядком.</w:t>
      </w:r>
    </w:p>
    <w:p>
      <w:pPr>
        <w:widowControl/>
        <w:spacing w:after="40" w:line="240" w:lineRule="auto"/>
      </w:pPr>
      <w:r>
        <w:rPr>
          <w:rFonts w:ascii="Times New Roman" w:hAnsi="Times New Roman" w:eastAsia="Times New Roman"/>
          <w:sz w:val="20"/>
        </w:rPr>
        <w:t xml:space="preserve">40. Итоговый тест содержит 12 вопросов с одним правильным ответом: необходимо не менее 9 правильных ответов (не менее 70% с округлением вверх). Итоговая оценка «зачтено» требует одновременно успешного теста и положительной оценки письменной комплексной задачи. Общая продолжительность итоговой аттестации — 2 академических часа: 30 минут тестирование и 60 минут письменная задача. Существенная ошибка в обязательном расчете, вывод без опоры на данные либо опасное решение означает «не зачтено» по задаче; правильное установление неполноты данных является допустимым результатом.</w:t>
      </w:r>
    </w:p>
    <w:p>
      <w:pPr>
        <w:widowControl/>
        <w:spacing w:after="40" w:line="240" w:lineRule="auto"/>
      </w:pPr>
      <w:r>
        <w:rPr>
          <w:rFonts w:ascii="Times New Roman" w:hAnsi="Times New Roman" w:eastAsia="Times New Roman"/>
          <w:sz w:val="20"/>
        </w:rPr>
        <w:t xml:space="preserve">41. К итоговой аттестации допускаются лица, выполнившие условия пункта 38. Состав аттестационной комиссии назначается организацией до аттестации. Вопросы, письменное задание и критерии приведены в утверждаемом одновременно ФОС.</w:t>
      </w:r>
    </w:p>
    <w:p>
      <w:pPr>
        <w:widowControl/>
        <w:spacing w:after="40" w:line="240" w:lineRule="auto"/>
      </w:pPr>
      <w:r>
        <w:rPr>
          <w:rFonts w:ascii="Times New Roman" w:hAnsi="Times New Roman" w:eastAsia="Times New Roman"/>
          <w:sz w:val="20"/>
        </w:rPr>
        <w:t>42. Лицам, успешно освоившим Программу и прошедшим итоговую аттестацию, выдается удостоверение о повышении квалификации. Лицам, не прошедшим итоговую аттестацию, получившим неудовлетворительный результат, освоившим часть Программы или отчисленным, выдается справка об обучении или периоде обучения.</w:t>
      </w:r>
    </w:p>
    <w:p>
      <w:r>
        <w:br w:type="page"/>
      </w:r>
    </w:p>
    <w:p>
      <w:pPr>
        <w:pStyle w:val="Heading1"/>
        <w:keepNext/>
        <w:keepLines/>
      </w:pPr>
      <w:r>
        <w:t>Приложение 1. Матрица практических занятий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241"/>
      </w:tblGrid>
      <w:tr>
        <w:trPr>
          <w:cantSplit/>
          <w:tblHeader/>
        </w:trPr>
        <w:tc>
          <w:tcPr>
            <w:tcW w:type="dxa" w:w="9241"/>
            <w:shd w:fill="EEF2F5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60"/>
              <w:keepNext/>
            </w:pPr>
            <w:r>
              <w:rPr>
                <w:rFonts w:ascii="Times New Roman" w:hAnsi="Times New Roman" w:eastAsia="Times New Roman"/>
                <w:b/>
                <w:sz w:val="21"/>
              </w:rPr>
              <w:t>Объем</w:t>
            </w:r>
          </w:p>
          <w:p>
            <w:pPr>
              <w:spacing w:after="0"/>
              <w:keepNext/>
            </w:pPr>
            <w:r>
              <w:rPr>
                <w:rFonts w:ascii="Times New Roman" w:hAnsi="Times New Roman" w:eastAsia="Times New Roman"/>
                <w:sz w:val="21"/>
              </w:rPr>
              <w:t xml:space="preserve">22 академических часа: 20 часов самостоятельных документарных ситуационных заданий по модулям 1–7 и 9–11 и 2 часа синхронного дистанционного наблюдения реального объекта по модулю 8. Слушатель загружает письменные результаты и отчет в ЭИОС.</w:t>
            </w:r>
          </w:p>
        </w:tc>
      </w:tr>
    </w:tbl>
    <w:p>
      <w:pPr>
        <w:spacing w:after="0"/>
      </w:pPr>
    </w:p>
    <w:p>
      <w:pPr>
        <w:pStyle w:val="Heading2"/>
        <w:spacing w:before="200"/>
        <w:keepNext/>
        <w:keepLines/>
      </w:pPr>
      <w:r>
        <w:t>1. Общепрофессиональный модуль · 2 часа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B8C0C8"/>
          <w:left w:val="single" w:sz="5" w:color="B8C0C8"/>
          <w:bottom w:val="single" w:sz="5" w:color="B8C0C8"/>
          <w:right w:val="single" w:sz="5" w:color="B8C0C8"/>
          <w:insideH w:val="single" w:sz="5" w:color="B8C0C8"/>
          <w:insideV w:val="single" w:sz="5" w:color="B8C0C8"/>
        </w:tblBorders>
      </w:tblPr>
      <w:tblGrid>
        <w:gridCol w:w="1928"/>
        <w:gridCol w:w="7313"/>
      </w:tblGrid>
      <w:tr>
        <w:trPr>
          <w:cantSplit/>
          <w:tblHeader/>
        </w:trPr>
        <w:tc>
          <w:tcPr>
            <w:tcW w:type="dxa" w:w="1928"/>
            <w:shd w:fill="EEF2F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keepNext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Практическая задача</w:t>
            </w:r>
          </w:p>
        </w:tc>
        <w:tc>
          <w:tcPr>
            <w:tcW w:type="dxa" w:w="7313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keepNext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Определить применимые требования, риски и безопасную последовательность работ по заданной производственной ситуации.</w:t>
            </w:r>
          </w:p>
        </w:tc>
      </w:tr>
      <w:tr>
        <w:trPr>
          <w:cantSplit/>
        </w:trPr>
        <w:tc>
          <w:tcPr>
            <w:tcW w:type="dxa" w:w="1928"/>
            <w:shd w:fill="EEF2F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Формат</w:t>
            </w:r>
          </w:p>
        </w:tc>
        <w:tc>
          <w:tcPr>
            <w:tcW w:type="dxa" w:w="7313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Документарный ситуационный кейс в ЭИОС по выданным исходным данным, схеме и (или) технической документации.</w:t>
            </w:r>
          </w:p>
        </w:tc>
      </w:tr>
      <w:tr>
        <w:trPr>
          <w:cantSplit/>
        </w:trPr>
        <w:tc>
          <w:tcPr>
            <w:tcW w:type="dxa" w:w="1928"/>
            <w:shd w:fill="EEF2F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Доказательства</w:t>
            </w:r>
          </w:p>
        </w:tc>
        <w:tc>
          <w:tcPr>
            <w:tcW w:type="dxa" w:w="7313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Краткое обоснованное решение, загруженное слушателем в ЭИОС.</w:t>
            </w:r>
          </w:p>
        </w:tc>
      </w:tr>
      <w:tr>
        <w:trPr>
          <w:cantSplit/>
        </w:trPr>
        <w:tc>
          <w:tcPr>
            <w:tcW w:type="dxa" w:w="1928"/>
            <w:shd w:fill="EEF2F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Критерии зачета</w:t>
            </w:r>
          </w:p>
        </w:tc>
        <w:tc>
          <w:tcPr>
            <w:tcW w:type="dxa" w:w="7313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Требования выбраны верно; риски и меры безопасности обоснованы.</w:t>
            </w:r>
          </w:p>
        </w:tc>
      </w:tr>
    </w:tbl>
    <w:p>
      <w:pPr>
        <w:spacing w:after="0"/>
      </w:pPr>
    </w:p>
    <w:p>
      <w:pPr>
        <w:pStyle w:val="Heading2"/>
        <w:spacing w:before="200"/>
        <w:keepNext/>
        <w:keepLines/>
      </w:pPr>
      <w:r>
        <w:t>2. Системы пожаротушения · 2 часа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B8C0C8"/>
          <w:left w:val="single" w:sz="5" w:color="B8C0C8"/>
          <w:bottom w:val="single" w:sz="5" w:color="B8C0C8"/>
          <w:right w:val="single" w:sz="5" w:color="B8C0C8"/>
          <w:insideH w:val="single" w:sz="5" w:color="B8C0C8"/>
          <w:insideV w:val="single" w:sz="5" w:color="B8C0C8"/>
        </w:tblBorders>
      </w:tblPr>
      <w:tblGrid>
        <w:gridCol w:w="1928"/>
        <w:gridCol w:w="7313"/>
      </w:tblGrid>
      <w:tr>
        <w:trPr>
          <w:cantSplit/>
          <w:tblHeader/>
        </w:trPr>
        <w:tc>
          <w:tcPr>
            <w:tcW w:type="dxa" w:w="1928"/>
            <w:shd w:fill="EEF2F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keepNext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Практическая задача</w:t>
            </w:r>
          </w:p>
        </w:tc>
        <w:tc>
          <w:tcPr>
            <w:tcW w:type="dxa" w:w="7313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keepNext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По схеме системы определить состав, последовательность монтажа и пусконаладки, выявить дефекты и предложить обслуживание.</w:t>
            </w:r>
          </w:p>
        </w:tc>
      </w:tr>
      <w:tr>
        <w:trPr>
          <w:cantSplit/>
        </w:trPr>
        <w:tc>
          <w:tcPr>
            <w:tcW w:type="dxa" w:w="1928"/>
            <w:shd w:fill="EEF2F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Формат</w:t>
            </w:r>
          </w:p>
        </w:tc>
        <w:tc>
          <w:tcPr>
            <w:tcW w:type="dxa" w:w="7313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Документарный ситуационный кейс в ЭИОС по выданным исходным данным, схеме и (или) технической документации.</w:t>
            </w:r>
          </w:p>
        </w:tc>
      </w:tr>
      <w:tr>
        <w:trPr>
          <w:cantSplit/>
        </w:trPr>
        <w:tc>
          <w:tcPr>
            <w:tcW w:type="dxa" w:w="1928"/>
            <w:shd w:fill="EEF2F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Доказательства</w:t>
            </w:r>
          </w:p>
        </w:tc>
        <w:tc>
          <w:tcPr>
            <w:tcW w:type="dxa" w:w="7313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Краткое обоснованное решение, загруженное слушателем в ЭИОС.</w:t>
            </w:r>
          </w:p>
        </w:tc>
      </w:tr>
      <w:tr>
        <w:trPr>
          <w:cantSplit/>
        </w:trPr>
        <w:tc>
          <w:tcPr>
            <w:tcW w:type="dxa" w:w="1928"/>
            <w:shd w:fill="EEF2F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Критерии зачета</w:t>
            </w:r>
          </w:p>
        </w:tc>
        <w:tc>
          <w:tcPr>
            <w:tcW w:type="dxa" w:w="7313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Логика системы сохранена; дефекты и действия определены обоснованно.</w:t>
            </w:r>
          </w:p>
        </w:tc>
      </w:tr>
    </w:tbl>
    <w:p>
      <w:pPr>
        <w:spacing w:after="0"/>
      </w:pPr>
    </w:p>
    <w:p>
      <w:pPr>
        <w:pStyle w:val="Heading2"/>
        <w:spacing w:before="200"/>
        <w:keepNext/>
        <w:keepLines/>
      </w:pPr>
      <w:r>
        <w:t>3. Пожарная и охранно-пожарная сигнализация · 2 часа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B8C0C8"/>
          <w:left w:val="single" w:sz="5" w:color="B8C0C8"/>
          <w:bottom w:val="single" w:sz="5" w:color="B8C0C8"/>
          <w:right w:val="single" w:sz="5" w:color="B8C0C8"/>
          <w:insideH w:val="single" w:sz="5" w:color="B8C0C8"/>
          <w:insideV w:val="single" w:sz="5" w:color="B8C0C8"/>
        </w:tblBorders>
      </w:tblPr>
      <w:tblGrid>
        <w:gridCol w:w="1928"/>
        <w:gridCol w:w="7313"/>
      </w:tblGrid>
      <w:tr>
        <w:trPr>
          <w:cantSplit/>
          <w:tblHeader/>
        </w:trPr>
        <w:tc>
          <w:tcPr>
            <w:tcW w:type="dxa" w:w="1928"/>
            <w:shd w:fill="EEF2F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keepNext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Практическая задача</w:t>
            </w:r>
          </w:p>
        </w:tc>
        <w:tc>
          <w:tcPr>
            <w:tcW w:type="dxa" w:w="7313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keepNext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По схеме и журналу событий определить зоны, алгоритм работы и причину отказа, предложить способ проверки.</w:t>
            </w:r>
          </w:p>
        </w:tc>
      </w:tr>
      <w:tr>
        <w:trPr>
          <w:cantSplit/>
        </w:trPr>
        <w:tc>
          <w:tcPr>
            <w:tcW w:type="dxa" w:w="1928"/>
            <w:shd w:fill="EEF2F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Формат</w:t>
            </w:r>
          </w:p>
        </w:tc>
        <w:tc>
          <w:tcPr>
            <w:tcW w:type="dxa" w:w="7313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Документарный ситуационный кейс в ЭИОС по выданным исходным данным, схеме и (или) технической документации.</w:t>
            </w:r>
          </w:p>
        </w:tc>
      </w:tr>
      <w:tr>
        <w:trPr>
          <w:cantSplit/>
        </w:trPr>
        <w:tc>
          <w:tcPr>
            <w:tcW w:type="dxa" w:w="1928"/>
            <w:shd w:fill="EEF2F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Доказательства</w:t>
            </w:r>
          </w:p>
        </w:tc>
        <w:tc>
          <w:tcPr>
            <w:tcW w:type="dxa" w:w="7313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Краткое обоснованное решение, загруженное слушателем в ЭИОС.</w:t>
            </w:r>
          </w:p>
        </w:tc>
      </w:tr>
      <w:tr>
        <w:trPr>
          <w:cantSplit/>
        </w:trPr>
        <w:tc>
          <w:tcPr>
            <w:tcW w:type="dxa" w:w="1928"/>
            <w:shd w:fill="EEF2F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Критерии зачета</w:t>
            </w:r>
          </w:p>
        </w:tc>
        <w:tc>
          <w:tcPr>
            <w:tcW w:type="dxa" w:w="7313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Причина отказа и контрольные действия определены верно.</w:t>
            </w:r>
          </w:p>
        </w:tc>
      </w:tr>
    </w:tbl>
    <w:p>
      <w:pPr>
        <w:spacing w:after="0"/>
      </w:pPr>
    </w:p>
    <w:p>
      <w:pPr>
        <w:pStyle w:val="Heading2"/>
        <w:spacing w:before="200"/>
        <w:keepNext/>
        <w:keepLines/>
      </w:pPr>
      <w:r>
        <w:t>4. Противопожарное водоснабжение · 2 часа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B8C0C8"/>
          <w:left w:val="single" w:sz="5" w:color="B8C0C8"/>
          <w:bottom w:val="single" w:sz="5" w:color="B8C0C8"/>
          <w:right w:val="single" w:sz="5" w:color="B8C0C8"/>
          <w:insideH w:val="single" w:sz="5" w:color="B8C0C8"/>
          <w:insideV w:val="single" w:sz="5" w:color="B8C0C8"/>
        </w:tblBorders>
      </w:tblPr>
      <w:tblGrid>
        <w:gridCol w:w="1928"/>
        <w:gridCol w:w="7313"/>
      </w:tblGrid>
      <w:tr>
        <w:trPr>
          <w:cantSplit/>
          <w:tblHeader/>
        </w:trPr>
        <w:tc>
          <w:tcPr>
            <w:tcW w:type="dxa" w:w="1928"/>
            <w:shd w:fill="EEF2F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keepNext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Практическая задача</w:t>
            </w:r>
          </w:p>
        </w:tc>
        <w:tc>
          <w:tcPr>
            <w:tcW w:type="dxa" w:w="7313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keepNext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По схеме и результатам измерений выбрать точки контроля и сформировать вывод о работоспособности.</w:t>
            </w:r>
          </w:p>
        </w:tc>
      </w:tr>
      <w:tr>
        <w:trPr>
          <w:cantSplit/>
        </w:trPr>
        <w:tc>
          <w:tcPr>
            <w:tcW w:type="dxa" w:w="1928"/>
            <w:shd w:fill="EEF2F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Формат</w:t>
            </w:r>
          </w:p>
        </w:tc>
        <w:tc>
          <w:tcPr>
            <w:tcW w:type="dxa" w:w="7313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Документарный ситуационный кейс в ЭИОС по выданным исходным данным, схеме и (или) технической документации.</w:t>
            </w:r>
          </w:p>
        </w:tc>
      </w:tr>
      <w:tr>
        <w:trPr>
          <w:cantSplit/>
        </w:trPr>
        <w:tc>
          <w:tcPr>
            <w:tcW w:type="dxa" w:w="1928"/>
            <w:shd w:fill="EEF2F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Доказательства</w:t>
            </w:r>
          </w:p>
        </w:tc>
        <w:tc>
          <w:tcPr>
            <w:tcW w:type="dxa" w:w="7313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Краткое обоснованное решение, загруженное слушателем в ЭИОС.</w:t>
            </w:r>
          </w:p>
        </w:tc>
      </w:tr>
      <w:tr>
        <w:trPr>
          <w:cantSplit/>
        </w:trPr>
        <w:tc>
          <w:tcPr>
            <w:tcW w:type="dxa" w:w="1928"/>
            <w:shd w:fill="EEF2F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Критерии зачета</w:t>
            </w:r>
          </w:p>
        </w:tc>
        <w:tc>
          <w:tcPr>
            <w:tcW w:type="dxa" w:w="7313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Расчет и единицы измерения верны; вывод следует из исходных данных.</w:t>
            </w:r>
          </w:p>
        </w:tc>
      </w:tr>
    </w:tbl>
    <w:p>
      <w:pPr>
        <w:spacing w:after="0"/>
      </w:pPr>
    </w:p>
    <w:p>
      <w:pPr>
        <w:pStyle w:val="Heading2"/>
        <w:spacing w:before="200"/>
        <w:keepNext/>
        <w:keepLines/>
      </w:pPr>
      <w:r>
        <w:t>5. Противодымная вентиляция · 2 часа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B8C0C8"/>
          <w:left w:val="single" w:sz="5" w:color="B8C0C8"/>
          <w:bottom w:val="single" w:sz="5" w:color="B8C0C8"/>
          <w:right w:val="single" w:sz="5" w:color="B8C0C8"/>
          <w:insideH w:val="single" w:sz="5" w:color="B8C0C8"/>
          <w:insideV w:val="single" w:sz="5" w:color="B8C0C8"/>
        </w:tblBorders>
      </w:tblPr>
      <w:tblGrid>
        <w:gridCol w:w="1928"/>
        <w:gridCol w:w="7313"/>
      </w:tblGrid>
      <w:tr>
        <w:trPr>
          <w:cantSplit/>
          <w:tblHeader/>
        </w:trPr>
        <w:tc>
          <w:tcPr>
            <w:tcW w:type="dxa" w:w="1928"/>
            <w:shd w:fill="EEF2F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keepNext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Практическая задача</w:t>
            </w:r>
          </w:p>
        </w:tc>
        <w:tc>
          <w:tcPr>
            <w:tcW w:type="dxa" w:w="7313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keepNext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По сценарию пожара и таблице состояний проверить алгоритм запуска, локализовать неисправность и предложить пусконаладочные действия.</w:t>
            </w:r>
          </w:p>
        </w:tc>
      </w:tr>
      <w:tr>
        <w:trPr>
          <w:cantSplit/>
        </w:trPr>
        <w:tc>
          <w:tcPr>
            <w:tcW w:type="dxa" w:w="1928"/>
            <w:shd w:fill="EEF2F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Формат</w:t>
            </w:r>
          </w:p>
        </w:tc>
        <w:tc>
          <w:tcPr>
            <w:tcW w:type="dxa" w:w="7313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Документарный ситуационный кейс в ЭИОС по выданным исходным данным, схеме и (или) технической документации.</w:t>
            </w:r>
          </w:p>
        </w:tc>
      </w:tr>
      <w:tr>
        <w:trPr>
          <w:cantSplit/>
        </w:trPr>
        <w:tc>
          <w:tcPr>
            <w:tcW w:type="dxa" w:w="1928"/>
            <w:shd w:fill="EEF2F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Доказательства</w:t>
            </w:r>
          </w:p>
        </w:tc>
        <w:tc>
          <w:tcPr>
            <w:tcW w:type="dxa" w:w="7313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Краткое обоснованное решение, загруженное слушателем в ЭИОС.</w:t>
            </w:r>
          </w:p>
        </w:tc>
      </w:tr>
      <w:tr>
        <w:trPr>
          <w:cantSplit/>
        </w:trPr>
        <w:tc>
          <w:tcPr>
            <w:tcW w:type="dxa" w:w="1928"/>
            <w:shd w:fill="EEF2F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Критерии зачета</w:t>
            </w:r>
          </w:p>
        </w:tc>
        <w:tc>
          <w:tcPr>
            <w:tcW w:type="dxa" w:w="7313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Алгоритм и взаимоблокировки учтены; действие безопасно.</w:t>
            </w:r>
          </w:p>
        </w:tc>
      </w:tr>
    </w:tbl>
    <w:p>
      <w:pPr>
        <w:spacing w:after="0"/>
      </w:pPr>
    </w:p>
    <w:p>
      <w:pPr>
        <w:pStyle w:val="Heading2"/>
        <w:spacing w:before="200"/>
        <w:keepNext/>
        <w:keepLines/>
      </w:pPr>
      <w:r>
        <w:t>6. Оповещение, эвакуация и ФЭС · 2 часа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B8C0C8"/>
          <w:left w:val="single" w:sz="5" w:color="B8C0C8"/>
          <w:bottom w:val="single" w:sz="5" w:color="B8C0C8"/>
          <w:right w:val="single" w:sz="5" w:color="B8C0C8"/>
          <w:insideH w:val="single" w:sz="5" w:color="B8C0C8"/>
          <w:insideV w:val="single" w:sz="5" w:color="B8C0C8"/>
        </w:tblBorders>
      </w:tblPr>
      <w:tblGrid>
        <w:gridCol w:w="1928"/>
        <w:gridCol w:w="7313"/>
      </w:tblGrid>
      <w:tr>
        <w:trPr>
          <w:cantSplit/>
          <w:tblHeader/>
        </w:trPr>
        <w:tc>
          <w:tcPr>
            <w:tcW w:type="dxa" w:w="1928"/>
            <w:shd w:fill="EEF2F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keepNext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Практическая задача</w:t>
            </w:r>
          </w:p>
        </w:tc>
        <w:tc>
          <w:tcPr>
            <w:tcW w:type="dxa" w:w="7313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keepNext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По плану объекта определить очередность оповещения, маршруты эвакуации и контрольные точки ФЭС.</w:t>
            </w:r>
          </w:p>
        </w:tc>
      </w:tr>
      <w:tr>
        <w:trPr>
          <w:cantSplit/>
        </w:trPr>
        <w:tc>
          <w:tcPr>
            <w:tcW w:type="dxa" w:w="1928"/>
            <w:shd w:fill="EEF2F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Формат</w:t>
            </w:r>
          </w:p>
        </w:tc>
        <w:tc>
          <w:tcPr>
            <w:tcW w:type="dxa" w:w="7313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Документарный ситуационный кейс в ЭИОС по выданным исходным данным, схеме и (или) технической документации.</w:t>
            </w:r>
          </w:p>
        </w:tc>
      </w:tr>
      <w:tr>
        <w:trPr>
          <w:cantSplit/>
        </w:trPr>
        <w:tc>
          <w:tcPr>
            <w:tcW w:type="dxa" w:w="1928"/>
            <w:shd w:fill="EEF2F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Доказательства</w:t>
            </w:r>
          </w:p>
        </w:tc>
        <w:tc>
          <w:tcPr>
            <w:tcW w:type="dxa" w:w="7313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Краткое обоснованное решение, загруженное слушателем в ЭИОС.</w:t>
            </w:r>
          </w:p>
        </w:tc>
      </w:tr>
      <w:tr>
        <w:trPr>
          <w:cantSplit/>
        </w:trPr>
        <w:tc>
          <w:tcPr>
            <w:tcW w:type="dxa" w:w="1928"/>
            <w:shd w:fill="EEF2F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Критерии зачета</w:t>
            </w:r>
          </w:p>
        </w:tc>
        <w:tc>
          <w:tcPr>
            <w:tcW w:type="dxa" w:w="7313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Очередность и решения обоснованы и не противоречат исходным данным.</w:t>
            </w:r>
          </w:p>
        </w:tc>
      </w:tr>
    </w:tbl>
    <w:p>
      <w:pPr>
        <w:spacing w:after="0"/>
      </w:pPr>
    </w:p>
    <w:p>
      <w:pPr>
        <w:pStyle w:val="Heading2"/>
        <w:spacing w:before="200"/>
        <w:keepNext/>
        <w:keepLines/>
      </w:pPr>
      <w:r>
        <w:t>7. Передача извещений о пожаре · 2 часа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B8C0C8"/>
          <w:left w:val="single" w:sz="5" w:color="B8C0C8"/>
          <w:bottom w:val="single" w:sz="5" w:color="B8C0C8"/>
          <w:right w:val="single" w:sz="5" w:color="B8C0C8"/>
          <w:insideH w:val="single" w:sz="5" w:color="B8C0C8"/>
          <w:insideV w:val="single" w:sz="5" w:color="B8C0C8"/>
        </w:tblBorders>
      </w:tblPr>
      <w:tblGrid>
        <w:gridCol w:w="1928"/>
        <w:gridCol w:w="7313"/>
      </w:tblGrid>
      <w:tr>
        <w:trPr>
          <w:cantSplit/>
          <w:tblHeader/>
        </w:trPr>
        <w:tc>
          <w:tcPr>
            <w:tcW w:type="dxa" w:w="1928"/>
            <w:shd w:fill="EEF2F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keepNext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Практическая задача</w:t>
            </w:r>
          </w:p>
        </w:tc>
        <w:tc>
          <w:tcPr>
            <w:tcW w:type="dxa" w:w="7313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keepNext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По схеме каналов и перечню событий проверить адресацию, резервирование и определить причину потери связи.</w:t>
            </w:r>
          </w:p>
        </w:tc>
      </w:tr>
      <w:tr>
        <w:trPr>
          <w:cantSplit/>
        </w:trPr>
        <w:tc>
          <w:tcPr>
            <w:tcW w:type="dxa" w:w="1928"/>
            <w:shd w:fill="EEF2F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Формат</w:t>
            </w:r>
          </w:p>
        </w:tc>
        <w:tc>
          <w:tcPr>
            <w:tcW w:type="dxa" w:w="7313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Документарный ситуационный кейс в ЭИОС по выданным исходным данным, схеме и (или) технической документации.</w:t>
            </w:r>
          </w:p>
        </w:tc>
      </w:tr>
      <w:tr>
        <w:trPr>
          <w:cantSplit/>
        </w:trPr>
        <w:tc>
          <w:tcPr>
            <w:tcW w:type="dxa" w:w="1928"/>
            <w:shd w:fill="EEF2F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Доказательства</w:t>
            </w:r>
          </w:p>
        </w:tc>
        <w:tc>
          <w:tcPr>
            <w:tcW w:type="dxa" w:w="7313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Краткое обоснованное решение, загруженное слушателем в ЭИОС.</w:t>
            </w:r>
          </w:p>
        </w:tc>
      </w:tr>
      <w:tr>
        <w:trPr>
          <w:cantSplit/>
        </w:trPr>
        <w:tc>
          <w:tcPr>
            <w:tcW w:type="dxa" w:w="1928"/>
            <w:shd w:fill="EEF2F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Критерии зачета</w:t>
            </w:r>
          </w:p>
        </w:tc>
        <w:tc>
          <w:tcPr>
            <w:tcW w:type="dxa" w:w="7313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События и причина отказа определены; восстановление обосновано.</w:t>
            </w:r>
          </w:p>
        </w:tc>
      </w:tr>
    </w:tbl>
    <w:p>
      <w:pPr>
        <w:spacing w:after="0"/>
      </w:pPr>
    </w:p>
    <w:p>
      <w:pPr>
        <w:pStyle w:val="Heading2"/>
        <w:spacing w:before="200"/>
        <w:keepNext/>
        <w:keepLines/>
      </w:pPr>
      <w:r>
        <w:t>8. Противопожарные занавесы и завесы · 2 часа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B8C0C8"/>
          <w:left w:val="single" w:sz="5" w:color="B8C0C8"/>
          <w:bottom w:val="single" w:sz="5" w:color="B8C0C8"/>
          <w:right w:val="single" w:sz="5" w:color="B8C0C8"/>
          <w:insideH w:val="single" w:sz="5" w:color="B8C0C8"/>
          <w:insideV w:val="single" w:sz="5" w:color="B8C0C8"/>
        </w:tblBorders>
      </w:tblPr>
      <w:tblGrid>
        <w:gridCol w:w="1928"/>
        <w:gridCol w:w="7313"/>
      </w:tblGrid>
      <w:tr>
        <w:trPr>
          <w:cantSplit/>
          <w:tblHeader/>
        </w:trPr>
        <w:tc>
          <w:tcPr>
            <w:tcW w:type="dxa" w:w="1928"/>
            <w:shd w:fill="EEF2F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keepNext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Практическая задача</w:t>
            </w:r>
          </w:p>
        </w:tc>
        <w:tc>
          <w:tcPr>
            <w:tcW w:type="dxa" w:w="7313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keepNext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 xml:space="preserve">Во время синхронного дистанционного наблюдения реального объекта зафиксировать показанные узлы, аппаратуру управления, обратную связь и защитные блокировки; задать уточняющие вопросы; отделить наблюдаемое состояние от неподтвержденных предположений и оформить отчет.</w:t>
            </w:r>
          </w:p>
        </w:tc>
      </w:tr>
      <w:tr>
        <w:trPr>
          <w:cantSplit/>
        </w:trPr>
        <w:tc>
          <w:tcPr>
            <w:tcW w:type="dxa" w:w="1928"/>
            <w:shd w:fill="EEF2F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Формат</w:t>
            </w:r>
          </w:p>
        </w:tc>
        <w:tc>
          <w:tcPr>
            <w:tcW w:type="dxa" w:w="7313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Документарный ситуационный кейс в ЭИОС по выданным исходным данным, схеме и (или) технической документации.</w:t>
            </w:r>
          </w:p>
        </w:tc>
      </w:tr>
      <w:tr>
        <w:trPr>
          <w:cantSplit/>
        </w:trPr>
        <w:tc>
          <w:tcPr>
            <w:tcW w:type="dxa" w:w="1928"/>
            <w:shd w:fill="EEF2F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Доказательства</w:t>
            </w:r>
          </w:p>
        </w:tc>
        <w:tc>
          <w:tcPr>
            <w:tcW w:type="dxa" w:w="7313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Краткое обоснованное решение, загруженное слушателем в ЭИОС.</w:t>
            </w:r>
          </w:p>
        </w:tc>
      </w:tr>
      <w:tr>
        <w:trPr>
          <w:cantSplit/>
        </w:trPr>
        <w:tc>
          <w:tcPr>
            <w:tcW w:type="dxa" w:w="1928"/>
            <w:shd w:fill="EEF2F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Критерии зачета</w:t>
            </w:r>
          </w:p>
        </w:tc>
        <w:tc>
          <w:tcPr>
            <w:tcW w:type="dxa" w:w="7313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Обязательные узлы и безопасный порядок проверки определены.</w:t>
            </w:r>
          </w:p>
        </w:tc>
      </w:tr>
    </w:tbl>
    <w:p>
      <w:pPr>
        <w:spacing w:after="0"/>
      </w:pPr>
    </w:p>
    <w:p>
      <w:pPr>
        <w:pStyle w:val="Heading2"/>
        <w:spacing w:before="200"/>
        <w:keepNext/>
        <w:keepLines/>
      </w:pPr>
      <w:r>
        <w:t>9. Заполнения проемов в противопожарных преградах · 2 часа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B8C0C8"/>
          <w:left w:val="single" w:sz="5" w:color="B8C0C8"/>
          <w:bottom w:val="single" w:sz="5" w:color="B8C0C8"/>
          <w:right w:val="single" w:sz="5" w:color="B8C0C8"/>
          <w:insideH w:val="single" w:sz="5" w:color="B8C0C8"/>
          <w:insideV w:val="single" w:sz="5" w:color="B8C0C8"/>
        </w:tblBorders>
      </w:tblPr>
      <w:tblGrid>
        <w:gridCol w:w="1928"/>
        <w:gridCol w:w="7313"/>
      </w:tblGrid>
      <w:tr>
        <w:trPr>
          <w:cantSplit/>
          <w:tblHeader/>
        </w:trPr>
        <w:tc>
          <w:tcPr>
            <w:tcW w:type="dxa" w:w="1928"/>
            <w:shd w:fill="EEF2F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keepNext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Практическая задача</w:t>
            </w:r>
          </w:p>
        </w:tc>
        <w:tc>
          <w:tcPr>
            <w:tcW w:type="dxa" w:w="7313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keepNext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По описанию, схеме и измерениям проверить маркировку, зазоры, уплотнения и составить дефектную ведомость.</w:t>
            </w:r>
          </w:p>
        </w:tc>
      </w:tr>
      <w:tr>
        <w:trPr>
          <w:cantSplit/>
        </w:trPr>
        <w:tc>
          <w:tcPr>
            <w:tcW w:type="dxa" w:w="1928"/>
            <w:shd w:fill="EEF2F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Формат</w:t>
            </w:r>
          </w:p>
        </w:tc>
        <w:tc>
          <w:tcPr>
            <w:tcW w:type="dxa" w:w="7313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Документарный ситуационный кейс в ЭИОС по выданным исходным данным, схеме и (или) технической документации.</w:t>
            </w:r>
          </w:p>
        </w:tc>
      </w:tr>
      <w:tr>
        <w:trPr>
          <w:cantSplit/>
        </w:trPr>
        <w:tc>
          <w:tcPr>
            <w:tcW w:type="dxa" w:w="1928"/>
            <w:shd w:fill="EEF2F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Доказательства</w:t>
            </w:r>
          </w:p>
        </w:tc>
        <w:tc>
          <w:tcPr>
            <w:tcW w:type="dxa" w:w="7313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Краткое обоснованное решение, загруженное слушателем в ЭИОС.</w:t>
            </w:r>
          </w:p>
        </w:tc>
      </w:tr>
      <w:tr>
        <w:trPr>
          <w:cantSplit/>
        </w:trPr>
        <w:tc>
          <w:tcPr>
            <w:tcW w:type="dxa" w:w="1928"/>
            <w:shd w:fill="EEF2F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Критерии зачета</w:t>
            </w:r>
          </w:p>
        </w:tc>
        <w:tc>
          <w:tcPr>
            <w:tcW w:type="dxa" w:w="7313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Дефекты распознаны; меры устранения соответствуют нарушениям.</w:t>
            </w:r>
          </w:p>
        </w:tc>
      </w:tr>
    </w:tbl>
    <w:p>
      <w:pPr>
        <w:spacing w:after="0"/>
      </w:pPr>
    </w:p>
    <w:p>
      <w:pPr>
        <w:pStyle w:val="Heading2"/>
        <w:spacing w:before="200"/>
        <w:keepNext/>
        <w:keepLines/>
      </w:pPr>
      <w:r>
        <w:t>10. Огнезащита материалов, изделий и конструкций · 2 часа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B8C0C8"/>
          <w:left w:val="single" w:sz="5" w:color="B8C0C8"/>
          <w:bottom w:val="single" w:sz="5" w:color="B8C0C8"/>
          <w:right w:val="single" w:sz="5" w:color="B8C0C8"/>
          <w:insideH w:val="single" w:sz="5" w:color="B8C0C8"/>
          <w:insideV w:val="single" w:sz="5" w:color="B8C0C8"/>
        </w:tblBorders>
      </w:tblPr>
      <w:tblGrid>
        <w:gridCol w:w="1928"/>
        <w:gridCol w:w="7313"/>
      </w:tblGrid>
      <w:tr>
        <w:trPr>
          <w:cantSplit/>
          <w:tblHeader/>
        </w:trPr>
        <w:tc>
          <w:tcPr>
            <w:tcW w:type="dxa" w:w="1928"/>
            <w:shd w:fill="EEF2F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keepNext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Практическая задача</w:t>
            </w:r>
          </w:p>
        </w:tc>
        <w:tc>
          <w:tcPr>
            <w:tcW w:type="dxa" w:w="7313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keepNext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По документам и исходным данным рассчитать расход, выбрать контрольные операции и оценить качество покрытия.</w:t>
            </w:r>
          </w:p>
        </w:tc>
      </w:tr>
      <w:tr>
        <w:trPr>
          <w:cantSplit/>
        </w:trPr>
        <w:tc>
          <w:tcPr>
            <w:tcW w:type="dxa" w:w="1928"/>
            <w:shd w:fill="EEF2F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Формат</w:t>
            </w:r>
          </w:p>
        </w:tc>
        <w:tc>
          <w:tcPr>
            <w:tcW w:type="dxa" w:w="7313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Документарный ситуационный кейс в ЭИОС по выданным исходным данным, схеме и (или) технической документации.</w:t>
            </w:r>
          </w:p>
        </w:tc>
      </w:tr>
      <w:tr>
        <w:trPr>
          <w:cantSplit/>
        </w:trPr>
        <w:tc>
          <w:tcPr>
            <w:tcW w:type="dxa" w:w="1928"/>
            <w:shd w:fill="EEF2F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Доказательства</w:t>
            </w:r>
          </w:p>
        </w:tc>
        <w:tc>
          <w:tcPr>
            <w:tcW w:type="dxa" w:w="7313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Краткое обоснованное решение, загруженное слушателем в ЭИОС.</w:t>
            </w:r>
          </w:p>
        </w:tc>
      </w:tr>
      <w:tr>
        <w:trPr>
          <w:cantSplit/>
        </w:trPr>
        <w:tc>
          <w:tcPr>
            <w:tcW w:type="dxa" w:w="1928"/>
            <w:shd w:fill="EEF2F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Критерии зачета</w:t>
            </w:r>
          </w:p>
        </w:tc>
        <w:tc>
          <w:tcPr>
            <w:tcW w:type="dxa" w:w="7313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Материал идентифицирован; расчет и вывод выполнены верно.</w:t>
            </w:r>
          </w:p>
        </w:tc>
      </w:tr>
    </w:tbl>
    <w:p>
      <w:pPr>
        <w:spacing w:after="0"/>
      </w:pPr>
    </w:p>
    <w:p>
      <w:pPr>
        <w:pStyle w:val="Heading2"/>
        <w:spacing w:before="200"/>
        <w:keepNext/>
        <w:keepLines/>
      </w:pPr>
      <w:r>
        <w:t>11. Первичные средства пожаротушения · 2 часа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B8C0C8"/>
          <w:left w:val="single" w:sz="5" w:color="B8C0C8"/>
          <w:bottom w:val="single" w:sz="5" w:color="B8C0C8"/>
          <w:right w:val="single" w:sz="5" w:color="B8C0C8"/>
          <w:insideH w:val="single" w:sz="5" w:color="B8C0C8"/>
          <w:insideV w:val="single" w:sz="5" w:color="B8C0C8"/>
        </w:tblBorders>
      </w:tblPr>
      <w:tblGrid>
        <w:gridCol w:w="1928"/>
        <w:gridCol w:w="7313"/>
      </w:tblGrid>
      <w:tr>
        <w:trPr>
          <w:cantSplit/>
          <w:tblHeader/>
        </w:trPr>
        <w:tc>
          <w:tcPr>
            <w:tcW w:type="dxa" w:w="1928"/>
            <w:shd w:fill="EEF2F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keepNext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Практическая задача</w:t>
            </w:r>
          </w:p>
        </w:tc>
        <w:tc>
          <w:tcPr>
            <w:tcW w:type="dxa" w:w="7313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keepNext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По данным объекта и технической документации определить потребность, распознать дефекты и оформить решение об эксплуатации.</w:t>
            </w:r>
          </w:p>
        </w:tc>
      </w:tr>
      <w:tr>
        <w:trPr>
          <w:cantSplit/>
        </w:trPr>
        <w:tc>
          <w:tcPr>
            <w:tcW w:type="dxa" w:w="1928"/>
            <w:shd w:fill="EEF2F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Формат</w:t>
            </w:r>
          </w:p>
        </w:tc>
        <w:tc>
          <w:tcPr>
            <w:tcW w:type="dxa" w:w="7313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Документарный ситуационный кейс в ЭИОС по выданным исходным данным, схеме и (или) технической документации.</w:t>
            </w:r>
          </w:p>
        </w:tc>
      </w:tr>
      <w:tr>
        <w:trPr>
          <w:cantSplit/>
        </w:trPr>
        <w:tc>
          <w:tcPr>
            <w:tcW w:type="dxa" w:w="1928"/>
            <w:shd w:fill="EEF2F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Доказательства</w:t>
            </w:r>
          </w:p>
        </w:tc>
        <w:tc>
          <w:tcPr>
            <w:tcW w:type="dxa" w:w="7313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Краткое обоснованное решение, загруженное слушателем в ЭИОС.</w:t>
            </w:r>
          </w:p>
        </w:tc>
      </w:tr>
      <w:tr>
        <w:trPr>
          <w:cantSplit/>
        </w:trPr>
        <w:tc>
          <w:tcPr>
            <w:tcW w:type="dxa" w:w="1928"/>
            <w:shd w:fill="EEF2F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Критерии зачета</w:t>
            </w:r>
          </w:p>
        </w:tc>
        <w:tc>
          <w:tcPr>
            <w:tcW w:type="dxa" w:w="7313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Тип и количество обоснованы; дефекты и решение определены безопасно.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  <w:keepLines/>
      </w:pPr>
      <w:r>
        <w:t>Приложение 2. Паспорт оценивания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AAB3BD"/>
          <w:left w:val="single" w:sz="6" w:color="AAB3BD"/>
          <w:bottom w:val="single" w:sz="6" w:color="AAB3BD"/>
          <w:right w:val="single" w:sz="6" w:color="AAB3BD"/>
          <w:insideH w:val="single" w:sz="6" w:color="AAB3BD"/>
          <w:insideV w:val="single" w:sz="6" w:color="AAB3BD"/>
        </w:tblBorders>
      </w:tblPr>
      <w:tblGrid>
        <w:gridCol w:w="1701"/>
        <w:gridCol w:w="2381"/>
        <w:gridCol w:w="2891"/>
        <w:gridCol w:w="2268"/>
      </w:tblGrid>
      <w:tr>
        <w:trPr>
          <w:tblHeader w:val="true"/>
          <w:cantSplit/>
        </w:trPr>
        <w:tc>
          <w:tcPr>
            <w:tcW w:type="dxa" w:w="1701"/>
            <w:shd w:fill="2534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jc w:val="center"/>
              <w:keepNext/>
            </w:pPr>
            <w:r>
              <w:rPr>
                <w:color w:val="FFFFFF"/>
              </w:rPr>
            </w:r>
            <w:r>
              <w:rPr>
                <w:rFonts w:ascii="Times New Roman" w:hAnsi="Times New Roman" w:eastAsia="Times New Roman"/>
                <w:b/>
                <w:color w:val="FFFFFF"/>
                <w:sz w:val="17"/>
              </w:rPr>
              <w:t>Этап</w:t>
            </w:r>
          </w:p>
        </w:tc>
        <w:tc>
          <w:tcPr>
            <w:tcW w:type="dxa" w:w="2381"/>
            <w:shd w:fill="2534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jc w:val="center"/>
              <w:keepNext/>
            </w:pPr>
            <w:r>
              <w:rPr>
                <w:color w:val="FFFFFF"/>
              </w:rPr>
            </w:r>
            <w:r>
              <w:rPr>
                <w:rFonts w:ascii="Times New Roman" w:hAnsi="Times New Roman" w:eastAsia="Times New Roman"/>
                <w:b/>
                <w:color w:val="FFFFFF"/>
                <w:sz w:val="17"/>
              </w:rPr>
              <w:t>Форма</w:t>
            </w:r>
          </w:p>
        </w:tc>
        <w:tc>
          <w:tcPr>
            <w:tcW w:type="dxa" w:w="2891"/>
            <w:shd w:fill="2534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jc w:val="center"/>
              <w:keepNext/>
            </w:pPr>
            <w:r>
              <w:rPr>
                <w:color w:val="FFFFFF"/>
              </w:rPr>
            </w:r>
            <w:r>
              <w:rPr>
                <w:rFonts w:ascii="Times New Roman" w:hAnsi="Times New Roman" w:eastAsia="Times New Roman"/>
                <w:b/>
                <w:color w:val="FFFFFF"/>
                <w:sz w:val="17"/>
              </w:rPr>
              <w:t>Что оценивается</w:t>
            </w:r>
          </w:p>
        </w:tc>
        <w:tc>
          <w:tcPr>
            <w:tcW w:type="dxa" w:w="2268"/>
            <w:shd w:fill="2534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jc w:val="center"/>
              <w:keepNext/>
            </w:pPr>
            <w:r>
              <w:rPr>
                <w:color w:val="FFFFFF"/>
              </w:rPr>
            </w:r>
            <w:r>
              <w:rPr>
                <w:rFonts w:ascii="Times New Roman" w:hAnsi="Times New Roman" w:eastAsia="Times New Roman"/>
                <w:b/>
                <w:color w:val="FFFFFF"/>
                <w:sz w:val="17"/>
              </w:rPr>
              <w:t>Положительный результат</w:t>
            </w:r>
          </w:p>
        </w:tc>
      </w:tr>
      <w:tr>
        <w:trPr>
          <w:cantSplit/>
        </w:trPr>
        <w:tc>
          <w:tcPr>
            <w:tcW w:type="dxa" w:w="1701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Текущий контроль</w:t>
            </w:r>
          </w:p>
        </w:tc>
        <w:tc>
          <w:tcPr>
            <w:tcW w:type="dxa" w:w="2381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Вопросы, мини-тесты, разбор кейсов</w:t>
            </w:r>
          </w:p>
        </w:tc>
        <w:tc>
          <w:tcPr>
            <w:tcW w:type="dxa" w:w="2891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Понимание терминов, требований, схем и алгоритмов</w:t>
            </w:r>
          </w:p>
        </w:tc>
        <w:tc>
          <w:tcPr>
            <w:tcW w:type="dxa" w:w="2268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Результат используется для обратной связи и допуска к практике</w:t>
            </w:r>
          </w:p>
        </w:tc>
      </w:tr>
      <w:tr>
        <w:trPr>
          <w:cantSplit/>
        </w:trPr>
        <w:tc>
          <w:tcPr>
            <w:tcW w:type="dxa" w:w="1701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Промежуточная аттестация каждого модуля</w:t>
            </w:r>
          </w:p>
        </w:tc>
        <w:tc>
          <w:tcPr>
            <w:tcW w:type="dxa" w:w="2381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Модульный тест</w:t>
            </w:r>
          </w:p>
        </w:tc>
        <w:tc>
          <w:tcPr>
            <w:tcW w:type="dxa" w:w="2891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Знания по содержанию модуля</w:t>
            </w:r>
          </w:p>
        </w:tc>
        <w:tc>
          <w:tcPr>
            <w:tcW w:type="dxa" w:w="2268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Не менее 70% правильных ответов</w:t>
            </w:r>
          </w:p>
        </w:tc>
      </w:tr>
      <w:tr>
        <w:trPr>
          <w:cantSplit/>
        </w:trPr>
        <w:tc>
          <w:tcPr>
            <w:tcW w:type="dxa" w:w="1701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Итоговая аттестация, часть 1</w:t>
            </w:r>
          </w:p>
        </w:tc>
        <w:tc>
          <w:tcPr>
            <w:tcW w:type="dxa" w:w="2381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Контролируемое тестирование</w:t>
            </w:r>
          </w:p>
        </w:tc>
        <w:tc>
          <w:tcPr>
            <w:tcW w:type="dxa" w:w="2891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Теоретическая готовность по всем 11 модулям</w:t>
            </w:r>
          </w:p>
        </w:tc>
        <w:tc>
          <w:tcPr>
            <w:tcW w:type="dxa" w:w="2268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Не менее 70% правильных ответов</w:t>
            </w:r>
          </w:p>
        </w:tc>
      </w:tr>
      <w:tr>
        <w:trPr>
          <w:cantSplit/>
        </w:trPr>
        <w:tc>
          <w:tcPr>
            <w:tcW w:type="dxa" w:w="1701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Итоговая аттестация, часть 2</w:t>
            </w:r>
          </w:p>
        </w:tc>
        <w:tc>
          <w:tcPr>
            <w:tcW w:type="dxa" w:w="2381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Решение практико-ориентированной ситуационной задачи</w:t>
            </w:r>
          </w:p>
        </w:tc>
        <w:tc>
          <w:tcPr>
            <w:tcW w:type="dxa" w:w="2891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Диагностика, решение, безопасность, обоснование и документация</w:t>
            </w:r>
          </w:p>
        </w:tc>
        <w:tc>
          <w:tcPr>
            <w:tcW w:type="dxa" w:w="2268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Все обязательные критерии выполнены; критической ошибки нет</w:t>
            </w:r>
          </w:p>
        </w:tc>
      </w:tr>
    </w:tbl>
    <w:p>
      <w:pPr>
        <w:pStyle w:val="Heading2"/>
        <w:keepNext/>
        <w:keepLines/>
      </w:pPr>
      <w:r>
        <w:t>Критическая ошибка</w:t>
      </w:r>
    </w:p>
    <w:p>
      <w:pPr>
        <w:widowControl/>
        <w:spacing w:after="100" w:line="276" w:lineRule="auto"/>
      </w:pPr>
      <w:r>
        <w:rPr>
          <w:rFonts w:ascii="Times New Roman" w:hAnsi="Times New Roman" w:eastAsia="Times New Roman"/>
        </w:rPr>
        <w:t>К критической относится действие или решение, которое в заданной ситуации способно создать угрозу жизни и здоровью, вывести из работоспособного состояния систему противопожарной защиты, скрыть неисправность либо нарушить обязательную последовательность безопасного выполнения работ.</w:t>
      </w:r>
    </w:p>
    <w:p>
      <w:pPr>
        <w:pStyle w:val="Heading2"/>
        <w:keepNext/>
        <w:keepLines/>
      </w:pPr>
      <w:r>
        <w:t>Состав фонда оценочных средств</w:t>
      </w:r>
    </w:p>
    <w:p>
      <w:pPr>
        <w:pStyle w:val="ListBullet"/>
        <w:spacing w:after="60" w:line="259" w:lineRule="auto"/>
      </w:pPr>
      <w:r>
        <w:rPr>
          <w:rFonts w:ascii="Times New Roman" w:hAnsi="Times New Roman" w:eastAsia="Times New Roman"/>
        </w:rPr>
        <w:t>спецификация теоретического банка по всем темам и версия банка;</w:t>
      </w:r>
    </w:p>
    <w:p>
      <w:pPr>
        <w:pStyle w:val="ListBullet"/>
        <w:spacing w:after="60" w:line="259" w:lineRule="auto"/>
      </w:pPr>
      <w:r>
        <w:rPr>
          <w:rFonts w:ascii="Times New Roman" w:hAnsi="Times New Roman" w:eastAsia="Times New Roman"/>
        </w:rPr>
        <w:t>практико-ориентированные ситуационные задания;</w:t>
      </w:r>
    </w:p>
    <w:p>
      <w:pPr>
        <w:pStyle w:val="ListBullet"/>
        <w:spacing w:after="60" w:line="259" w:lineRule="auto"/>
      </w:pPr>
      <w:r>
        <w:rPr>
          <w:rFonts w:ascii="Times New Roman" w:hAnsi="Times New Roman" w:eastAsia="Times New Roman"/>
        </w:rPr>
        <w:t>эталоны оформления протоколов, актов, расчетов и дефектных ведомостей;</w:t>
      </w:r>
    </w:p>
    <w:p>
      <w:pPr>
        <w:pStyle w:val="ListBullet"/>
        <w:spacing w:after="60" w:line="259" w:lineRule="auto"/>
      </w:pPr>
      <w:r>
        <w:rPr>
          <w:rFonts w:ascii="Times New Roman" w:hAnsi="Times New Roman" w:eastAsia="Times New Roman"/>
        </w:rPr>
        <w:t>инструкция по идентификации, фиксации результатов и рассмотрению апелляций;</w:t>
      </w:r>
    </w:p>
    <w:p>
      <w:pPr>
        <w:pStyle w:val="ListBullet"/>
        <w:spacing w:after="60" w:line="259" w:lineRule="auto"/>
      </w:pPr>
      <w:r>
        <w:rPr>
          <w:rFonts w:ascii="Times New Roman" w:hAnsi="Times New Roman" w:eastAsia="Times New Roman"/>
        </w:rPr>
        <w:t>протоколы промежуточной и итоговой аттестации.</w:t>
      </w:r>
    </w:p>
    <w:p>
      <w:pPr>
        <w:pStyle w:val="Heading2"/>
        <w:spacing w:after="80" w:line="252" w:lineRule="auto"/>
        <w:widowControl/>
        <w:keepNext/>
        <w:pageBreakBefore/>
        <w:keepLines/>
      </w:pPr>
      <w:r>
        <w:rPr>
          <w:sz w:val="24"/>
          <w:b/>
        </w:rPr>
        <w:t xml:space="preserve">Приложение 3. Соответствие тематического комплекта учебному плану</w:t>
      </w:r>
    </w:p>
    <w:p>
      <w:pPr>
        <w:pStyle w:val="Normal"/>
        <w:spacing w:after="80" w:line="252" w:lineRule="auto"/>
        <w:widowControl/>
      </w:pPr>
      <w:r>
        <w:rPr>
          <w:sz w:val="22"/>
        </w:rPr>
        <w:t xml:space="preserve">Модуль 1 · тема 1.1. Государственное регулирование в области пожарной безопасности.</w:t>
      </w:r>
    </w:p>
    <w:p>
      <w:pPr>
        <w:pStyle w:val="Normal"/>
        <w:spacing w:after="80" w:line="252" w:lineRule="auto"/>
        <w:widowControl/>
      </w:pPr>
      <w:r>
        <w:rPr>
          <w:sz w:val="22"/>
        </w:rPr>
        <w:t xml:space="preserve">Модуль 1 · тема 1.2. Субъекты правоотношений в области пожарной безопасности, их полномочия и ответственность.</w:t>
      </w:r>
    </w:p>
    <w:p>
      <w:pPr>
        <w:pStyle w:val="Normal"/>
        <w:spacing w:after="80" w:line="252" w:lineRule="auto"/>
        <w:widowControl/>
      </w:pPr>
      <w:r>
        <w:rPr>
          <w:sz w:val="22"/>
        </w:rPr>
        <w:t xml:space="preserve">Модуль 1 · тема 1.3. Федеральный государственный пожарный надзор.</w:t>
      </w:r>
    </w:p>
    <w:p>
      <w:pPr>
        <w:pStyle w:val="Normal"/>
        <w:spacing w:after="80" w:line="252" w:lineRule="auto"/>
        <w:widowControl/>
      </w:pPr>
      <w:r>
        <w:rPr>
          <w:sz w:val="22"/>
        </w:rPr>
        <w:t xml:space="preserve">Модуль 1 · тема 1.4. Лицензирование в области пожарной безопасности.</w:t>
      </w:r>
    </w:p>
    <w:p>
      <w:pPr>
        <w:pStyle w:val="Normal"/>
        <w:spacing w:after="80" w:line="252" w:lineRule="auto"/>
        <w:widowControl/>
      </w:pPr>
      <w:r>
        <w:rPr>
          <w:sz w:val="22"/>
        </w:rPr>
        <w:t xml:space="preserve">Модуль 1 · тема 1.5. Подтверждение соответствия объектов защиты (продукции) требованиям пожарной безопасности.</w:t>
      </w:r>
    </w:p>
    <w:p>
      <w:pPr>
        <w:pStyle w:val="Normal"/>
        <w:spacing w:after="80" w:line="252" w:lineRule="auto"/>
        <w:widowControl/>
      </w:pPr>
      <w:r>
        <w:rPr>
          <w:sz w:val="22"/>
        </w:rPr>
        <w:t xml:space="preserve">Модуль 1 · тема 2.1. Пожары. Виды, классификация пожаров.</w:t>
      </w:r>
    </w:p>
    <w:p>
      <w:pPr>
        <w:pStyle w:val="Normal"/>
        <w:spacing w:after="80" w:line="252" w:lineRule="auto"/>
        <w:widowControl/>
      </w:pPr>
      <w:r>
        <w:rPr>
          <w:sz w:val="22"/>
        </w:rPr>
        <w:t xml:space="preserve">Модуль 1 · тема 2.2. Опасные факторы пожара.</w:t>
      </w:r>
    </w:p>
    <w:p>
      <w:pPr>
        <w:pStyle w:val="Normal"/>
        <w:spacing w:after="80" w:line="252" w:lineRule="auto"/>
        <w:widowControl/>
      </w:pPr>
      <w:r>
        <w:rPr>
          <w:sz w:val="22"/>
        </w:rPr>
        <w:t xml:space="preserve">Модуль 1 · тема 2.3. Категорирование помещений, зданий и наружных установок по взрывопожарной и пожарной опасности.</w:t>
      </w:r>
    </w:p>
    <w:p>
      <w:pPr>
        <w:pStyle w:val="Normal"/>
        <w:spacing w:after="80" w:line="252" w:lineRule="auto"/>
        <w:widowControl/>
      </w:pPr>
      <w:r>
        <w:rPr>
          <w:sz w:val="22"/>
        </w:rPr>
        <w:t xml:space="preserve">Модуль 1 · тема 2.4. Требование к электрооборудованию в пожароопасных и взрывоопасных зонах.</w:t>
      </w:r>
    </w:p>
    <w:p>
      <w:pPr>
        <w:pStyle w:val="Normal"/>
        <w:spacing w:after="80" w:line="252" w:lineRule="auto"/>
        <w:widowControl/>
      </w:pPr>
      <w:r>
        <w:rPr>
          <w:sz w:val="22"/>
        </w:rPr>
        <w:t xml:space="preserve">Модуль 1 · тема 2.5. Требования к питанию электроприемников и электрооборудованию систем противопожарной защиты.</w:t>
      </w:r>
    </w:p>
    <w:p>
      <w:pPr>
        <w:pStyle w:val="Normal"/>
        <w:spacing w:after="80" w:line="252" w:lineRule="auto"/>
        <w:widowControl/>
      </w:pPr>
      <w:r>
        <w:rPr>
          <w:sz w:val="22"/>
        </w:rPr>
        <w:t xml:space="preserve">Модуль 1 · тема 3.1. Основные нормативные правовые акты по охране труда.</w:t>
      </w:r>
    </w:p>
    <w:p>
      <w:pPr>
        <w:pStyle w:val="Normal"/>
        <w:spacing w:after="80" w:line="252" w:lineRule="auto"/>
        <w:widowControl/>
      </w:pPr>
      <w:r>
        <w:rPr>
          <w:sz w:val="22"/>
        </w:rPr>
        <w:t xml:space="preserve">Модуль 1 · тема 3.2. Первая помощь.</w:t>
      </w:r>
    </w:p>
    <w:p>
      <w:pPr>
        <w:pStyle w:val="Normal"/>
        <w:spacing w:after="80" w:line="252" w:lineRule="auto"/>
        <w:widowControl/>
      </w:pPr>
      <w:r>
        <w:rPr>
          <w:sz w:val="22"/>
        </w:rPr>
        <w:t xml:space="preserve">Модуль 2 · тема 4.1. Монтаж, техническое обслуживание и ремонт систем пожаротушения и их элементов, включая диспетчеризацию и проведение пусконаладочных работ.</w:t>
      </w:r>
    </w:p>
    <w:p>
      <w:pPr>
        <w:pStyle w:val="Normal"/>
        <w:spacing w:after="80" w:line="252" w:lineRule="auto"/>
        <w:widowControl/>
      </w:pPr>
      <w:r>
        <w:rPr>
          <w:sz w:val="22"/>
        </w:rPr>
        <w:t xml:space="preserve">Модуль 3 · тема 4.2. Монтаж, техническое обслуживание и ремонт систем пожарной и охранно-пожарной сигнализации и их элементов, включая диспетчеризацию и проведение пусконаладочных работ.</w:t>
      </w:r>
    </w:p>
    <w:p>
      <w:pPr>
        <w:pStyle w:val="Normal"/>
        <w:spacing w:after="80" w:line="252" w:lineRule="auto"/>
        <w:widowControl/>
      </w:pPr>
      <w:r>
        <w:rPr>
          <w:sz w:val="22"/>
        </w:rPr>
        <w:t xml:space="preserve">Модуль 4 · тема 4.3. Монтаж, техническое обслуживание и ремонт систем противопожарного водоснабжения и их элементов, включая диспетчеризацию и проведение пусконаладочных работ.</w:t>
      </w:r>
    </w:p>
    <w:p>
      <w:pPr>
        <w:pStyle w:val="Normal"/>
        <w:spacing w:after="80" w:line="252" w:lineRule="auto"/>
        <w:widowControl/>
      </w:pPr>
      <w:r>
        <w:rPr>
          <w:sz w:val="22"/>
        </w:rPr>
        <w:t xml:space="preserve">Модуль 5 · тема 4.4. Монтаж, техническое обслуживание и ремонт автоматических систем (элементов автоматических систем) противодымной вентиляции, включая диспетчеризацию и проведение пусконаладочных работ.</w:t>
      </w:r>
    </w:p>
    <w:p>
      <w:pPr>
        <w:pStyle w:val="Normal"/>
        <w:spacing w:after="80" w:line="252" w:lineRule="auto"/>
        <w:widowControl/>
      </w:pPr>
      <w:r>
        <w:rPr>
          <w:sz w:val="22"/>
        </w:rPr>
        <w:t xml:space="preserve">Модуль 6 · тема 4.5. Монтаж, техническое обслуживание и ремонт систем оповещения и эвакуации при пожаре и их элементов, включая диспетчеризацию и проведение пусконаладочных работ, в том числе фотолюминесцентных эвакуационных систем и их элементов.</w:t>
      </w:r>
    </w:p>
    <w:p>
      <w:pPr>
        <w:pStyle w:val="Normal"/>
        <w:spacing w:after="80" w:line="252" w:lineRule="auto"/>
        <w:widowControl/>
      </w:pPr>
      <w:r>
        <w:rPr>
          <w:sz w:val="22"/>
        </w:rPr>
        <w:t xml:space="preserve">Модуль 7 · тема 4.6. Монтаж, техническое обслуживание и ремонт автоматических систем (элементов автоматических систем) передачи извещений о пожаре, включая диспетчеризацию и проведение пусконаладочных работ.</w:t>
      </w:r>
    </w:p>
    <w:p>
      <w:pPr>
        <w:pStyle w:val="Normal"/>
        <w:spacing w:after="80" w:line="252" w:lineRule="auto"/>
        <w:widowControl/>
      </w:pPr>
      <w:r>
        <w:rPr>
          <w:sz w:val="22"/>
        </w:rPr>
        <w:t xml:space="preserve">Модуль 8 · тема 4.7. Монтаж, техническое обслуживание и ремонт противопожарных занавесов и завес, включая диспетчеризацию и проведение пусконаладочных работ.</w:t>
      </w:r>
    </w:p>
    <w:p>
      <w:pPr>
        <w:pStyle w:val="Normal"/>
        <w:spacing w:after="80" w:line="252" w:lineRule="auto"/>
        <w:widowControl/>
      </w:pPr>
      <w:r>
        <w:rPr>
          <w:sz w:val="22"/>
        </w:rPr>
        <w:t xml:space="preserve">Модуль 9 · тема 4.8. Монтаж, техническое обслуживание и ремонт заполнений проемов в противопожарных преградах.</w:t>
      </w:r>
    </w:p>
    <w:p>
      <w:pPr>
        <w:pStyle w:val="Normal"/>
        <w:spacing w:after="80" w:line="252" w:lineRule="auto"/>
        <w:widowControl/>
      </w:pPr>
      <w:r>
        <w:rPr>
          <w:sz w:val="22"/>
        </w:rPr>
        <w:t xml:space="preserve">Модуль 10 · тема 4.9. Выполнение работ по огнезащите материалов, изделий и конструкций.</w:t>
      </w:r>
    </w:p>
    <w:p>
      <w:pPr>
        <w:pStyle w:val="Normal"/>
        <w:spacing w:after="80" w:line="252" w:lineRule="auto"/>
        <w:widowControl/>
      </w:pPr>
      <w:r>
        <w:rPr>
          <w:sz w:val="22"/>
        </w:rPr>
        <w:t xml:space="preserve">Модуль 11 · тема 4.10. Монтаж, техническое обслуживание и ремонт первичных средств пожаротушения.</w:t>
      </w:r>
    </w:p>
    <w:p>
      <w:pPr>
        <w:pStyle w:val="Heading2"/>
        <w:spacing w:after="80" w:line="252" w:lineRule="auto"/>
        <w:widowControl/>
        <w:keepNext/>
        <w:keepLines/>
      </w:pPr>
      <w:r>
        <w:rPr>
          <w:sz w:val="24"/>
          <w:b/>
        </w:rPr>
        <w:t xml:space="preserve">Использование учебных материалов</w:t>
      </w:r>
    </w:p>
    <w:p>
      <w:pPr>
        <w:pStyle w:val="Normal"/>
        <w:spacing w:after="80" w:line="252" w:lineRule="auto"/>
        <w:widowControl/>
      </w:pPr>
      <w:r>
        <w:rPr>
          <w:sz w:val="22"/>
        </w:rPr>
        <w:t xml:space="preserve">Темы 1.1–3.2 составляют тематическую основу общего модуля 1; темы 4.1–4.10 распределены последовательно по профессиональным модулям 2–11. Все материалы применяются в актуализированной редакции. Номера тем сохраняются для навигации и не обозначают дополнительные часы. В каждом модуле теория и промежуточный тест занимают 14 часов, практическое занятие — 2 часа: в модулях 1–7 и 9–11 самостоятельно, в модуле 8 синхронно и дистанционно с наблюдением реального объекта. Подробное распределение содержания и материалов приведено в рабочих программах модулей.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964" w:left="1361" w:header="454" w:footer="454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40"/>
      <w:jc w:val="center"/>
    </w:pPr>
    <w:r>
      <w:rPr>
        <w:rFonts w:ascii="Times New Roman" w:hAnsi="Times New Roman" w:eastAsia="Times New Roman"/>
        <w:color w:val="5E6A78"/>
        <w:sz w:val="17"/>
      </w:rPr>
      <w:t xml:space="preserve">Страница </w:t>
    </w:r>
    <w:r>
      <w:rPr>
        <w:rFonts w:ascii="Times New Roman" w:hAnsi="Times New Roman" w:eastAsia="Times New Roman"/>
        <w:color w:val="5E6A78"/>
        <w:sz w:val="17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  <w:pBdr>
        <w:bottom w:val="single" w:sz="6" w:space="4" w:color="B7C0C9"/>
      </w:pBdr>
    </w:pPr>
    <w:r>
      <w:rPr>
        <w:rFonts w:ascii="Times New Roman" w:hAnsi="Times New Roman" w:eastAsia="Times New Roman"/>
        <w:b/>
        <w:color w:val="5E6A78"/>
        <w:sz w:val="17"/>
      </w:rPr>
      <w:t>ООО «Центр средств защиты»</w:t>
    </w:r>
    <w:r>
      <w:rPr>
        <w:rFonts w:ascii="Times New Roman" w:hAnsi="Times New Roman" w:eastAsia="Times New Roman"/>
        <w:color w:val="5E6A78"/>
        <w:sz w:val="17"/>
      </w:rPr>
      <w:t xml:space="preserve">  ·  Дополнительная профессиональная программа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6" w:lineRule="auto"/>
    </w:pPr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253447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25344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5E6A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Times New Roman"/>
      <w:b/>
      <w:color w:val="253447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xn-----8kcgjebtk6b7abmdihf9c1dzb.xn--p1ai" TargetMode="External"/><Relationship Id="rId12" Type="http://schemas.openxmlformats.org/officeDocument/2006/relationships/hyperlink" Target="https://mchs.gov.ru/dokumenty/7404" TargetMode="External"/><Relationship Id="rId13" Type="http://schemas.openxmlformats.org/officeDocument/2006/relationships/hyperlink" Target="https://publication.pravo.gov.ru/document/0001202607230002" TargetMode="External"/><Relationship Id="rId14" Type="http://schemas.openxmlformats.org/officeDocument/2006/relationships/hyperlink" Target="https://publication.pravo.gov.ru/document/0001202504230011" TargetMode="External"/><Relationship Id="rId15" Type="http://schemas.openxmlformats.org/officeDocument/2006/relationships/hyperlink" Target="https://publication.pravo.gov.ru/document/000120231012003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Дополнительная профессиональная программа повышения квалификации «Деятельность по монтажу, техническому обслуживанию и ремонту средств обеспечения пожарной безопасности зданий и сооружений»</dc:title>
  <dc:subject>178 академических часов; заочная форма; исключительно ЭО и ДОТ</dc:subject>
  <dc:creator>ООО «Центр средств защиты»</dc:creator>
  <cp:keywords>ДПО, повышение квалификации, МЧС, приказ 1156, пожарная безопасность, ЭО, ДОТ</cp:keywords>
  <dc:description>Рабочая редакция от 03.09.2026; утверждается приказом № 4-ОД.</dc:description>
  <cp:lastModifiedBy>ООО «Центр средств защиты»</cp:lastModifiedBy>
  <cp:revision>1</cp:revision>
  <dcterms:created xsi:type="dcterms:W3CDTF">2013-12-23T23:15:00Z</dcterms:created>
  <dcterms:modified xsi:type="dcterms:W3CDTF">2013-12-23T23:15:00Z</dcterms:modified>
  <cp:category/>
</cp:coreProperties>
</file>