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" w:after="60"/>
        <w:jc w:val="center"/>
      </w:pPr>
      <w:r>
        <w:rPr>
          <w:rFonts w:ascii="DejaVu Serif" w:hAnsi="DejaVu Serif" w:eastAsia="DejaVu Serif"/>
          <w:b/>
          <w:color w:val="1F4D78"/>
          <w:sz w:val="22"/>
        </w:rPr>
        <w:t>ООО «ЦЕНТР СРЕДСТВ ЗАЩИТЫ»</w:t>
      </w:r>
    </w:p>
    <w:p>
      <w:pPr>
        <w:spacing w:after="80"/>
        <w:jc w:val="center"/>
      </w:pPr>
    </w:p>
    <w:p>
      <w:pPr>
        <w:spacing w:after="20"/>
        <w:ind w:left="4252"/>
        <w:jc w:val="right"/>
      </w:pPr>
      <w:r>
        <w:rPr>
          <w:rFonts w:ascii="DejaVu Serif" w:hAnsi="DejaVu Serif" w:eastAsia="DejaVu Serif"/>
          <w:b/>
          <w:sz w:val="19"/>
        </w:rPr>
        <w:t>УТВЕРЖДЕНО</w:t>
      </w:r>
    </w:p>
    <w:p>
      <w:pPr>
        <w:spacing w:after="20"/>
        <w:ind w:left="4252"/>
        <w:jc w:val="right"/>
      </w:pPr>
      <w:r>
        <w:rPr>
          <w:rFonts w:ascii="DejaVu Serif" w:hAnsi="DejaVu Serif" w:eastAsia="DejaVu Serif"/>
          <w:b w:val="0"/>
          <w:sz w:val="19"/>
        </w:rPr>
        <w:t>приказом генерального директора ООО «ЦЕНТР СРЕДСТВ ЗАЩИТЫ»</w:t>
      </w:r>
    </w:p>
    <w:p>
      <w:pPr>
        <w:spacing w:after="20"/>
        <w:ind w:left="4252"/>
        <w:jc w:val="right"/>
      </w:pPr>
      <w:r>
        <w:t>от 31 июля 2026 г. № 3-ОД</w:t>
      </w:r>
    </w:p>
    <w:p>
      <w:pPr>
        <w:spacing w:after="20"/>
        <w:ind w:left="4252"/>
        <w:jc w:val="right"/>
      </w:pPr>
      <w:r/>
    </w:p>
    <w:p>
      <w:pPr>
        <w:spacing w:before="240" w:after="100"/>
        <w:jc w:val="center"/>
      </w:pPr>
      <w:r>
        <w:rPr>
          <w:rFonts w:ascii="DejaVu Serif" w:hAnsi="DejaVu Serif" w:eastAsia="DejaVu Serif"/>
          <w:b/>
          <w:color w:val="1F4D78"/>
          <w:sz w:val="32"/>
        </w:rPr>
        <w:t>ПОЛОЖЕНИЕ ОБ ОРГАНИЗАЦИИ ДОПОЛНИТЕЛЬНОГО ПРОФЕССИОНАЛЬНОГО ОБРАЗОВАНИЯ И ПОРЯДКЕ РАЗРАБОТКИ ОБРАЗОВАТЕЛЬНЫХ ПРОГРАММ</w:t>
      </w:r>
    </w:p>
    <w:p>
      <w:pPr>
        <w:pStyle w:val="Heading1"/>
      </w:pPr>
      <w:r>
        <w:t>1. Общие положения</w:t>
      </w:r>
    </w:p>
    <w:p>
      <w:pPr>
        <w:keepNext w:val="0"/>
        <w:spacing w:after="100"/>
      </w:pPr>
      <w:r>
        <w:rPr>
          <w:rFonts w:ascii="DejaVu Serif" w:hAnsi="DejaVu Serif" w:eastAsia="DejaVu Serif"/>
          <w:b w:val="0"/>
          <w:i w:val="0"/>
        </w:rPr>
        <w:t>1.1. Положение регулирует разработку, утверждение и реализацию дополнительных профессиональных программ (ДПП) в Учебном центре.</w:t>
      </w:r>
    </w:p>
    <w:p>
      <w:pPr>
        <w:keepNext w:val="0"/>
        <w:spacing w:after="100"/>
      </w:pPr>
      <w:r>
        <w:rPr>
          <w:rFonts w:ascii="DejaVu Serif" w:hAnsi="DejaVu Serif" w:eastAsia="DejaVu Serif"/>
          <w:b w:val="0"/>
          <w:i w:val="0"/>
        </w:rPr>
        <w:t>1.2. ДПП реализуются после предоставления лицензии, на основании договоров и приказов о зачислении, в соответствии с приказом Минобрнауки России от 24.03.2025 № 266.</w:t>
      </w:r>
    </w:p>
    <w:p>
      <w:pPr>
        <w:pStyle w:val="Heading1"/>
      </w:pPr>
      <w:r>
        <w:t>2. Виды программ и контингент</w:t>
      </w:r>
    </w:p>
    <w:p>
      <w:pPr>
        <w:keepNext w:val="0"/>
        <w:spacing w:after="100"/>
      </w:pPr>
      <w:r>
        <w:rPr>
          <w:rFonts w:ascii="DejaVu Serif" w:hAnsi="DejaVu Serif" w:eastAsia="DejaVu Serif"/>
          <w:b w:val="0"/>
          <w:i w:val="0"/>
        </w:rPr>
        <w:t>2.1. Реализуются программы повышения квалификации продолжительностью не менее 16 часов и программы профессиональной переподготовки продолжительностью не менее 250 часов.</w:t>
      </w:r>
    </w:p>
    <w:p>
      <w:pPr>
        <w:keepNext w:val="0"/>
        <w:spacing w:after="100"/>
      </w:pPr>
      <w:r>
        <w:rPr>
          <w:rFonts w:ascii="DejaVu Serif" w:hAnsi="DejaVu Serif" w:eastAsia="DejaVu Serif"/>
          <w:b w:val="0"/>
          <w:i w:val="0"/>
        </w:rPr>
        <w:t>2.2. К освоению допускаются лица, имеющие среднее профессиональное и (или) высшее образование, а также лица, получающие такое образование.</w:t>
      </w:r>
    </w:p>
    <w:p>
      <w:pPr>
        <w:keepNext w:val="0"/>
        <w:spacing w:after="100"/>
      </w:pPr>
      <w:r>
        <w:rPr>
          <w:rFonts w:ascii="DejaVu Serif" w:hAnsi="DejaVu Serif" w:eastAsia="DejaVu Serif"/>
          <w:b w:val="0"/>
          <w:i w:val="0"/>
        </w:rPr>
        <w:t>2.3. Требования к исходному уровню образования и иные условия устанавливаются конкретной программой.</w:t>
      </w:r>
    </w:p>
    <w:p>
      <w:pPr>
        <w:pStyle w:val="Heading1"/>
      </w:pPr>
      <w:r>
        <w:t>3. Разработка и утверждение ДПП</w:t>
      </w:r>
    </w:p>
    <w:p>
      <w:pPr>
        <w:keepNext w:val="0"/>
        <w:spacing w:after="100"/>
      </w:pPr>
      <w:r>
        <w:rPr>
          <w:rFonts w:ascii="DejaVu Serif" w:hAnsi="DejaVu Serif" w:eastAsia="DejaVu Serif"/>
          <w:b w:val="0"/>
          <w:i w:val="0"/>
        </w:rPr>
        <w:t>3.1. Проект программы разрабатывается Учебным центром самостоятельно с учётом профессиональных стандартов, квалификационных требований, типовых или примерных программ, требований заказчиков и работодателей.</w:t>
      </w:r>
    </w:p>
    <w:p>
      <w:pPr>
        <w:numPr>
          <w:ilvl w:val="0"/>
          <w:numId w:val="10"/>
        </w:numPr>
        <w:spacing w:after="60"/>
      </w:pPr>
      <w:r>
        <w:rPr>
          <w:rFonts w:ascii="DejaVu Serif" w:hAnsi="DejaVu Serif" w:eastAsia="DejaVu Serif"/>
        </w:rPr>
        <w:t>наименование, вид, цель и планируемые результаты;</w:t>
      </w:r>
    </w:p>
    <w:p>
      <w:pPr>
        <w:numPr>
          <w:ilvl w:val="0"/>
          <w:numId w:val="10"/>
        </w:numPr>
        <w:spacing w:after="60"/>
      </w:pPr>
      <w:r>
        <w:rPr>
          <w:rFonts w:ascii="DejaVu Serif" w:hAnsi="DejaVu Serif" w:eastAsia="DejaVu Serif"/>
        </w:rPr>
        <w:t>категория слушателей и входные требования;</w:t>
      </w:r>
    </w:p>
    <w:p>
      <w:pPr>
        <w:numPr>
          <w:ilvl w:val="0"/>
          <w:numId w:val="10"/>
        </w:numPr>
        <w:spacing w:after="60"/>
      </w:pPr>
      <w:r>
        <w:rPr>
          <w:rFonts w:ascii="DejaVu Serif" w:hAnsi="DejaVu Serif" w:eastAsia="DejaVu Serif"/>
        </w:rPr>
        <w:t>трудоёмкость, форма обучения и применяемые технологии;</w:t>
      </w:r>
    </w:p>
    <w:p>
      <w:pPr>
        <w:numPr>
          <w:ilvl w:val="0"/>
          <w:numId w:val="10"/>
        </w:numPr>
        <w:spacing w:after="60"/>
      </w:pPr>
      <w:r>
        <w:rPr>
          <w:rFonts w:ascii="DejaVu Serif" w:hAnsi="DejaVu Serif" w:eastAsia="DejaVu Serif"/>
        </w:rPr>
        <w:t>учебный план, календарный график, рабочие программы модулей;</w:t>
      </w:r>
    </w:p>
    <w:p>
      <w:pPr>
        <w:numPr>
          <w:ilvl w:val="0"/>
          <w:numId w:val="10"/>
        </w:numPr>
        <w:spacing w:after="60"/>
      </w:pPr>
      <w:r>
        <w:rPr>
          <w:rFonts w:ascii="DejaVu Serif" w:hAnsi="DejaVu Serif" w:eastAsia="DejaVu Serif"/>
        </w:rPr>
        <w:t>организационно-педагогические условия и требования к кадрам;</w:t>
      </w:r>
    </w:p>
    <w:p>
      <w:pPr>
        <w:numPr>
          <w:ilvl w:val="0"/>
          <w:numId w:val="10"/>
        </w:numPr>
        <w:spacing w:after="60"/>
      </w:pPr>
      <w:r>
        <w:rPr>
          <w:rFonts w:ascii="DejaVu Serif" w:hAnsi="DejaVu Serif" w:eastAsia="DejaVu Serif"/>
        </w:rPr>
        <w:t>формы контроля, итоговой аттестации, оценочные и методические материалы.</w:t>
      </w:r>
    </w:p>
    <w:p>
      <w:pPr>
        <w:keepNext w:val="0"/>
        <w:spacing w:after="100"/>
      </w:pPr>
      <w:r>
        <w:rPr>
          <w:rFonts w:ascii="DejaVu Serif" w:hAnsi="DejaVu Serif" w:eastAsia="DejaVu Serif"/>
          <w:b w:val="0"/>
          <w:i w:val="0"/>
        </w:rPr>
        <w:t>3.2. Программа проходит внутреннюю экспертизу ответственным методистом/руководителем, при необходимости согласуется с заказчиком и утверждается приказом генерального директора.</w:t>
      </w:r>
    </w:p>
    <w:p>
      <w:pPr>
        <w:keepNext w:val="0"/>
        <w:spacing w:after="100"/>
      </w:pPr>
      <w:r>
        <w:rPr>
          <w:rFonts w:ascii="DejaVu Serif" w:hAnsi="DejaVu Serif" w:eastAsia="DejaVu Serif"/>
          <w:b w:val="0"/>
          <w:i w:val="0"/>
        </w:rPr>
        <w:t>3.3. Актуализация проводится при изменении законодательства, технологий, требований к квалификации либо по результатам мониторинга качества.</w:t>
      </w:r>
    </w:p>
    <w:p>
      <w:pPr>
        <w:pStyle w:val="Heading1"/>
      </w:pPr>
      <w:r>
        <w:t>4. Организация обучения</w:t>
      </w:r>
    </w:p>
    <w:p>
      <w:pPr>
        <w:keepNext w:val="0"/>
        <w:spacing w:after="100"/>
      </w:pPr>
      <w:r>
        <w:rPr>
          <w:rFonts w:ascii="DejaVu Serif" w:hAnsi="DejaVu Serif" w:eastAsia="DejaVu Serif"/>
          <w:b w:val="0"/>
          <w:i w:val="0"/>
        </w:rPr>
        <w:t>4.1. Учебный год и сроки обучения определяются Учебным центром. Для каждой группы утверждаются приказ о зачислении и календарный график/расписание.</w:t>
      </w:r>
    </w:p>
    <w:p>
      <w:pPr>
        <w:keepNext w:val="0"/>
        <w:spacing w:after="100"/>
      </w:pPr>
      <w:r>
        <w:rPr>
          <w:rFonts w:ascii="DejaVu Serif" w:hAnsi="DejaVu Serif" w:eastAsia="DejaVu Serif"/>
          <w:b w:val="0"/>
          <w:i w:val="0"/>
        </w:rPr>
        <w:t>4.2. Академический час составляет 45 минут. Допускаются синхронные и асинхронные занятия, самостоятельная работа и консультации в ЭИОС.</w:t>
      </w:r>
    </w:p>
    <w:p>
      <w:pPr>
        <w:keepNext w:val="0"/>
        <w:spacing w:after="100"/>
      </w:pPr>
      <w:r>
        <w:rPr>
          <w:rFonts w:ascii="DejaVu Serif" w:hAnsi="DejaVu Serif" w:eastAsia="DejaVu Serif"/>
          <w:b w:val="0"/>
          <w:i w:val="0"/>
        </w:rPr>
        <w:t>4.3. Обучающемуся предоставляется доступ к программе, учебному плану, материалам, заданиям, средствам коммуникации и результатам контроля.</w:t>
      </w:r>
    </w:p>
    <w:p>
      <w:pPr>
        <w:pStyle w:val="Heading1"/>
      </w:pPr>
      <w:r>
        <w:t>5. Зачёт результатов и индивидуальный маршрут</w:t>
      </w:r>
    </w:p>
    <w:p>
      <w:pPr>
        <w:keepNext w:val="0"/>
        <w:spacing w:after="100"/>
      </w:pPr>
      <w:r>
        <w:rPr>
          <w:rFonts w:ascii="DejaVu Serif" w:hAnsi="DejaVu Serif" w:eastAsia="DejaVu Serif"/>
          <w:b w:val="0"/>
          <w:i w:val="0"/>
        </w:rPr>
        <w:t>5.1. Результаты ранее освоенных дисциплин, курсов и модулей могут быть зачтены по заявлению обучающегося на основании подтверждающих документов, если совпадают планируемые результаты и объём.</w:t>
      </w:r>
    </w:p>
    <w:p>
      <w:pPr>
        <w:keepNext w:val="0"/>
        <w:spacing w:after="100"/>
      </w:pPr>
      <w:r>
        <w:rPr>
          <w:rFonts w:ascii="DejaVu Serif" w:hAnsi="DejaVu Serif" w:eastAsia="DejaVu Serif"/>
          <w:b w:val="0"/>
          <w:i w:val="0"/>
        </w:rPr>
        <w:t>5.2. Решение оформляется протоколом/заключением и приказом. Зачёт не освобождает от итоговой аттестации, если иное не установлено программой и законом.</w:t>
      </w:r>
    </w:p>
    <w:p>
      <w:pPr>
        <w:pStyle w:val="Heading1"/>
      </w:pPr>
      <w:r>
        <w:t>6. Завершение</w:t>
      </w:r>
    </w:p>
    <w:p>
      <w:pPr>
        <w:keepNext w:val="0"/>
        <w:spacing w:after="100"/>
      </w:pPr>
      <w:r>
        <w:rPr>
          <w:rFonts w:ascii="DejaVu Serif" w:hAnsi="DejaVu Serif" w:eastAsia="DejaVu Serif"/>
          <w:b w:val="0"/>
          <w:i w:val="0"/>
        </w:rPr>
        <w:t>6.1. Освоение ДПП завершается итоговой аттестацией. Успешно прошедшим выдаётся документ о квалификации установленного Организацией образца.</w:t>
      </w:r>
    </w:p>
    <w:p>
      <w:pPr>
        <w:keepNext w:val="0"/>
        <w:spacing w:after="100"/>
      </w:pPr>
      <w:r>
        <w:rPr>
          <w:rFonts w:ascii="DejaVu Serif" w:hAnsi="DejaVu Serif" w:eastAsia="DejaVu Serif"/>
          <w:b w:val="0"/>
          <w:i w:val="0"/>
        </w:rPr>
        <w:t>6.2. Лицам, не прошедшим итоговую аттестацию или освоившим часть программы, выдаётся справка об обучении/периоде обучения.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907" w:bottom="1020" w:left="1361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center"/>
    </w:pPr>
    <w:r>
      <w:t xml:space="preserve">Стр. 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DejaVu Serif" w:hAnsi="DejaVu Serif" w:eastAsia="DejaVu Serif"/>
        <w:color w:val="5B6573"/>
        <w:sz w:val="16"/>
      </w:rPr>
      <w:t>ООО «ЦЕНТР СРЕДСТВ ЗАЩИТЫ»  |  ИНН 7728302867</w:t>
    </w:r>
    <w:r>
      <w:rPr>
        <w:rFonts w:ascii="DejaVu Serif" w:hAnsi="DejaVu Serif" w:eastAsia="DejaVu Serif"/>
        <w:color w:val="5B6573"/>
        <w:sz w:val="16"/>
      </w:rPr>
      <w:t xml:space="preserve">  |  ЛНА-02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•"/>
      <w:suff w:val="tab"/>
      <w:pPr>
        <w:tabs>
          <w:tab w:val="num" w:pos="720"/>
        </w:tabs>
        <w:ind w:left="720" w:hanging="360"/>
      </w:pPr>
    </w:lvl>
  </w:abstractNum>
  <w:num w:numId="10">
    <w:abstractNumId w:val="9"/>
  </w:num>
  <w:abstractNum w:abstractNumId="10">
    <w:multiLevelType w:val="singleLevel"/>
    <w:lvl w:ilvl="0">
      <w:start w:val="1"/>
      <w:numFmt w:val="decimal"/>
      <w:lvlText w:val="%1."/>
      <w:suff w:val="tab"/>
      <w:pPr>
        <w:tabs>
          <w:tab w:val="num" w:pos="720"/>
        </w:tabs>
        <w:ind w:left="720" w:hanging="360"/>
      </w:pPr>
    </w:lvl>
  </w:abstract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00" w:line="264" w:lineRule="auto"/>
    </w:pPr>
    <w:rPr>
      <w:rFonts w:ascii="DejaVu Serif" w:hAnsi="DejaVu Serif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00" w:after="140"/>
      <w:outlineLvl w:val="0"/>
    </w:pPr>
    <w:rPr>
      <w:rFonts w:asciiTheme="majorHAnsi" w:eastAsiaTheme="majorEastAsia" w:hAnsiTheme="majorHAnsi" w:cstheme="majorBidi" w:ascii="DejaVu Serif" w:hAnsi="DejaVu Serif"/>
      <w:b/>
      <w:bCs/>
      <w:color w:val="1F4D78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00"/>
      <w:outlineLvl w:val="1"/>
    </w:pPr>
    <w:rPr>
      <w:rFonts w:asciiTheme="majorHAnsi" w:eastAsiaTheme="majorEastAsia" w:hAnsiTheme="majorHAnsi" w:cstheme="majorBidi" w:ascii="DejaVu Serif" w:hAnsi="DejaVu Serif"/>
      <w:b/>
      <w:bCs/>
      <w:color w:val="1F4D78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DejaVu Serif" w:hAnsi="DejaVu Serif"/>
      <w:b/>
      <w:bCs/>
      <w:color w:val="1F4D78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04 Положение об организации ДПО и разработке программ</dc:title>
  <dc:subject>Проект документа для лицензирования образовательной деятельности</dc:subject>
  <dc:creator>ООО «ЦЕНТР СРЕДСТВ ЗАЩИТЫ»</dc:creator>
  <cp:keywords>проект; ДПО; лицензия; образовательная деятельность</cp:keywords>
  <dc:description>Реквизиты организации сверены по выписке ЕГРЮЛ от 22.07.2026. Документ сохраняет статус проекта до заполнения, утверждения и подписания.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