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color w:val="F58A1F"/>
          <w:sz w:val="21"/>
        </w:rPr>
        <w:t>90-DAY INDUSTRY NEWS RESEARCH</w:t>
      </w:r>
    </w:p>
    <w:p>
      <w:pPr>
        <w:jc w:val="center"/>
      </w:pPr>
      <w:r>
        <w:rPr>
          <w:rFonts w:ascii="Aptos" w:hAnsi="Aptos"/>
          <w:b/>
          <w:color w:val="0B1F33"/>
          <w:sz w:val="56"/>
        </w:rPr>
        <w:t>COWIN MACHINE</w:t>
      </w:r>
      <w:r>
        <w:rPr>
          <w:rFonts w:ascii="Aptos" w:hAnsi="Aptos"/>
          <w:color w:val="0B1F33"/>
          <w:sz w:val="56"/>
        </w:rPr>
      </w:r>
    </w:p>
    <w:p>
      <w:pPr>
        <w:jc w:val="center"/>
      </w:pPr>
      <w:r>
        <w:rPr>
          <w:rFonts w:ascii="Aptos" w:hAnsi="Aptos"/>
          <w:color w:val="1B4D72"/>
          <w:sz w:val="36"/>
        </w:rPr>
        <w:t>News Research and Original Content Plan</w:t>
      </w:r>
    </w:p>
    <w:p>
      <w:pPr>
        <w:jc w:val="center"/>
      </w:pPr>
      <w:r>
        <w:rPr>
          <w:rFonts w:ascii="Aptos" w:hAnsi="Aptos"/>
          <w:color w:val="5B6878"/>
          <w:sz w:val="21"/>
        </w:rPr>
        <w:t>A local review system for source screening, original drafts, quality checks and a non-publishing article queue</w:t>
      </w:r>
    </w:p>
    <w:p>
      <w:pPr>
        <w:spacing w:after="720"/>
      </w:pPr>
    </w:p>
    <w:p>
      <w:pPr>
        <w:jc w:val="center"/>
      </w:pPr>
      <w:r>
        <w:rPr>
          <w:rFonts w:ascii="Aptos" w:hAnsi="Aptos"/>
          <w:color w:val="172033"/>
          <w:sz w:val="20"/>
        </w:rPr>
        <w:t>Research window: 16 May 2026 to 14 August 2026</w:t>
      </w:r>
    </w:p>
    <w:p>
      <w:pPr>
        <w:jc w:val="center"/>
      </w:pPr>
      <w:r>
        <w:rPr>
          <w:rFonts w:ascii="Aptos" w:hAnsi="Aptos"/>
          <w:color w:val="5B6878"/>
          <w:sz w:val="18"/>
        </w:rPr>
        <w:t>Generated 14 August 2026  |  No article has been published or scheduled for publication.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1. Executive summary</w:t>
      </w:r>
    </w:p>
    <w:p>
      <w:r>
        <w:rPr>
          <w:rFonts w:ascii="Aptos" w:hAnsi="Aptos"/>
        </w:rPr>
        <w:t>This plan establishes a controlled, local-only workflow for collecting high-confidence industry-news candidates and turning only approved source combinations into original COWIN MACHINE drafts. The initial pass records 10 candidates: 6 are recent and eligible for research, while 4 are deliberately rejected. The editorial queue contains 36 original topic briefs across six product categories; 3 meet the initial two-source research threshold for drafting, not publication.</w:t>
      </w:r>
    </w:p>
    <w:p>
      <w:pPr>
        <w:shd w:fill="FFF4E5" w:val="clear"/>
      </w:pPr>
      <w:r>
        <w:rPr>
          <w:rFonts w:ascii="Aptos" w:hAnsi="Aptos"/>
          <w:b/>
        </w:rPr>
        <w:t xml:space="preserve">Publication control: </w:t>
      </w:r>
      <w:r>
        <w:rPr>
          <w:rFonts w:ascii="Aptos" w:hAnsi="Aptos"/>
        </w:rPr>
      </w:r>
    </w:p>
    <w:p>
      <w:pPr>
        <w:shd w:fill="FFF4E5" w:val="clear"/>
      </w:pPr>
      <w:r>
        <w:rPr>
          <w:rFonts w:ascii="Aptos" w:hAnsi="Aptos"/>
        </w:rPr>
        <w:t>No queue item can be published automatically. Publication remains blocked until the owner approves the factual scope, the product-family evidence, the source links, the copy, metadata, internal links and any image rights.</w:t>
      </w:r>
    </w:p>
    <w:p>
      <w:pPr>
        <w:pStyle w:val="Heading1"/>
      </w:pPr>
      <w:r>
        <w:rPr>
          <w:rFonts w:ascii="Aptos" w:hAnsi="Aptos"/>
        </w:rPr>
        <w:t>2. Scope, monitoring window and methodology</w:t>
      </w:r>
    </w:p>
    <w:p>
      <w:r>
        <w:rPr>
          <w:rFonts w:ascii="Aptos" w:hAnsi="Aptos"/>
        </w:rPr>
        <w:t>The system aims to continuously collect relevant, citable global industry-news candidates from the preceding 90 days. It does not claim to collect all global news. This first research window runs from 16 May 2026 through 14 August 2026.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The candidate register preserves source URL, published date, discovery date, category and industry mapping, concise fact summaries, quality level, image-rights status and originality risk.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A recent source can add industry context; it does not validate a COWIN MACHINE model, performance, certification, price, delivery term or customer case.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Original drafts summarize a limited fact from each source, then provide independent operational and selection context. They do not translate, rewrite or reproduce source articles.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Third-party imagery, logos, PDFs, certificates, customer stories and hot-linked images are excluded from the workflow.</w:t>
      </w:r>
    </w:p>
    <w:p>
      <w:pPr>
        <w:pStyle w:val="Heading1"/>
      </w:pPr>
      <w:r>
        <w:rPr>
          <w:rFonts w:ascii="Aptos" w:hAnsi="Aptos"/>
        </w:rPr>
        <w:t>3. Current website relevance and content gate</w:t>
      </w:r>
    </w:p>
    <w:p>
      <w:r>
        <w:rPr>
          <w:rFonts w:ascii="Aptos" w:hAnsi="Aptos"/>
        </w:rPr>
        <w:t>The plan maps article briefs to existing COWIN MACHINE product-family routes only as internal navigation targets. Technical claims remain subject to the existing product evidence controls. A generic, duplicate, missing-specification or misclassified product family cannot be promoted by a news article.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1750"/>
        <w:gridCol w:w="4750"/>
        <w:gridCol w:w="2860"/>
      </w:tblGrid>
      <w:tr>
        <w:trPr>
          <w:tblHeader w:val="true"/>
        </w:trPr>
        <w:tc>
          <w:tcPr>
            <w:tcW w:type="dxa" w:w="175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6"/>
              </w:rPr>
              <w:t>Gate</w:t>
            </w:r>
          </w:p>
        </w:tc>
        <w:tc>
          <w:tcPr>
            <w:tcW w:type="dxa" w:w="475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6"/>
              </w:rPr>
              <w:t>Requirement</w:t>
            </w:r>
          </w:p>
        </w:tc>
        <w:tc>
          <w:tcPr>
            <w:tcW w:type="dxa" w:w="286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6"/>
              </w:rPr>
              <w:t>Outcome if not met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Product evidence</w:t>
            </w:r>
          </w:p>
        </w:tc>
        <w:tc>
          <w:tcPr>
            <w:tcW w:type="dxa" w:w="4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Verified family or approved category-level technical framing</w:t>
            </w:r>
          </w:p>
        </w:tc>
        <w:tc>
          <w:tcPr>
            <w:tcW w:type="dxa" w:w="2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Use a configuration-review CTA; do not claim model performance.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Recent reporting</w:t>
            </w:r>
          </w:p>
        </w:tc>
        <w:tc>
          <w:tcPr>
            <w:tcW w:type="dxa" w:w="4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At least two independent, eligible 90-day sources for a publishable research brief</w:t>
            </w:r>
          </w:p>
        </w:tc>
        <w:tc>
          <w:tcPr>
            <w:tcW w:type="dxa" w:w="2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Keep the topic research-pending.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Originality</w:t>
            </w:r>
          </w:p>
        </w:tc>
        <w:tc>
          <w:tcPr>
            <w:tcW w:type="dxa" w:w="4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New H1, summary, structure, FAQ, examples and internal-link context</w:t>
            </w:r>
          </w:p>
        </w:tc>
        <w:tc>
          <w:tcPr>
            <w:tcW w:type="dxa" w:w="2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Rewrite; do not use mechanical paraphrase.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Rights</w:t>
            </w:r>
          </w:p>
        </w:tc>
        <w:tc>
          <w:tcPr>
            <w:tcW w:type="dxa" w:w="4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No third-party protected image, PDF, logo or unapproved case asset</w:t>
            </w:r>
          </w:p>
        </w:tc>
        <w:tc>
          <w:tcPr>
            <w:tcW w:type="dxa" w:w="2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Use no image or an approved new asset.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Owner review</w:t>
            </w:r>
          </w:p>
        </w:tc>
        <w:tc>
          <w:tcPr>
            <w:tcW w:type="dxa" w:w="4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Approval of facts, claims, CTA, metadata and destination URLs</w:t>
            </w:r>
          </w:p>
        </w:tc>
        <w:tc>
          <w:tcPr>
            <w:tcW w:type="dxa" w:w="2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Remain local-draft-only.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</w:rPr>
        <w:t>4. Candidate-news inventory</w:t>
      </w:r>
    </w:p>
    <w:p>
      <w:r>
        <w:rPr>
          <w:rFonts w:ascii="Aptos" w:hAnsi="Aptos"/>
        </w:rPr>
        <w:t>The records below are research inputs, not COWIN MACHINE endorsements. Source summaries are intentionally concise and no external text or visual asset is copied.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800"/>
        <w:gridCol w:w="1800"/>
        <w:gridCol w:w="900"/>
        <w:gridCol w:w="2650"/>
        <w:gridCol w:w="900"/>
        <w:gridCol w:w="2310"/>
      </w:tblGrid>
      <w:tr>
        <w:trPr>
          <w:tblHeader w:val="true"/>
        </w:trPr>
        <w:tc>
          <w:tcPr>
            <w:tcW w:type="dxa" w:w="8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ID</w:t>
            </w:r>
          </w:p>
        </w:tc>
        <w:tc>
          <w:tcPr>
            <w:tcW w:type="dxa" w:w="18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Source</w:t>
            </w:r>
          </w:p>
        </w:tc>
        <w:tc>
          <w:tcPr>
            <w:tcW w:type="dxa" w:w="9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Date</w:t>
            </w:r>
          </w:p>
        </w:tc>
        <w:tc>
          <w:tcPr>
            <w:tcW w:type="dxa" w:w="265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Category / industry</w:t>
            </w:r>
          </w:p>
        </w:tc>
        <w:tc>
          <w:tcPr>
            <w:tcW w:type="dxa" w:w="9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Eligibility</w:t>
            </w:r>
          </w:p>
        </w:tc>
        <w:tc>
          <w:tcPr>
            <w:tcW w:type="dxa" w:w="231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Research decision</w:t>
            </w:r>
          </w:p>
        </w:tc>
      </w:tr>
      <w:tr>
        <w:trPr/>
        <w:tc>
          <w:tcPr>
            <w:tcW w:type="dxa" w:w="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NEWS-RING-2026-07-08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Ring Blog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2026-07-08</w:t>
            </w:r>
          </w:p>
        </w:tc>
        <w:tc>
          <w:tcPr>
            <w:tcW w:type="dxa" w:w="26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mobile-lighting-systems; construction sites; remote site security; events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Eligible</w:t>
            </w:r>
          </w:p>
        </w:tc>
        <w:tc>
          <w:tcPr>
            <w:tcW w:type="dxa" w:w="23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Use as context</w:t>
            </w:r>
          </w:p>
        </w:tc>
      </w:tr>
      <w:tr>
        <w:trPr/>
        <w:tc>
          <w:tcPr>
            <w:tcW w:type="dxa" w:w="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NEWS-COTEC-2026-06-22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CoTec Holdings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2026-06-22</w:t>
            </w:r>
          </w:p>
        </w:tc>
        <w:tc>
          <w:tcPr>
            <w:tcW w:type="dxa" w:w="26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magnetic-separators; recycling sorting; critical-mineral processing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Eligible</w:t>
            </w:r>
          </w:p>
        </w:tc>
        <w:tc>
          <w:tcPr>
            <w:tcW w:type="dxa" w:w="23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Use as context</w:t>
            </w:r>
          </w:p>
        </w:tc>
      </w:tr>
      <w:tr>
        <w:trPr/>
        <w:tc>
          <w:tcPr>
            <w:tcW w:type="dxa" w:w="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NEWS-GEOMEGA-2026-06-04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Metal Tech News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2026-06-04</w:t>
            </w:r>
          </w:p>
        </w:tc>
        <w:tc>
          <w:tcPr>
            <w:tcW w:type="dxa" w:w="26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magnetic-separators; recycling sorting; mineral processing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Eligible</w:t>
            </w:r>
          </w:p>
        </w:tc>
        <w:tc>
          <w:tcPr>
            <w:tcW w:type="dxa" w:w="23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Use as context</w:t>
            </w:r>
          </w:p>
        </w:tc>
      </w:tr>
      <w:tr>
        <w:trPr/>
        <w:tc>
          <w:tcPr>
            <w:tcW w:type="dxa" w:w="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NEWS-ALIEN-2026-07-03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Investegate / Alien Metals announcement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2026-07-03</w:t>
            </w:r>
          </w:p>
        </w:tc>
        <w:tc>
          <w:tcPr>
            <w:tcW w:type="dxa" w:w="26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drilling-equipment; drilling-consumables; mining and quarrying; exploration drilling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Eligible</w:t>
            </w:r>
          </w:p>
        </w:tc>
        <w:tc>
          <w:tcPr>
            <w:tcW w:type="dxa" w:w="23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Use as context</w:t>
            </w:r>
          </w:p>
        </w:tc>
      </w:tr>
      <w:tr>
        <w:trPr/>
        <w:tc>
          <w:tcPr>
            <w:tcW w:type="dxa" w:w="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NEWS-ADNOC-2026-06-25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ADNOC Drilling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2026-06-25</w:t>
            </w:r>
          </w:p>
        </w:tc>
        <w:tc>
          <w:tcPr>
            <w:tcW w:type="dxa" w:w="26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drilling-equipment; drilling; remote infrastructure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Eligible</w:t>
            </w:r>
          </w:p>
        </w:tc>
        <w:tc>
          <w:tcPr>
            <w:tcW w:type="dxa" w:w="23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Use as context</w:t>
            </w:r>
          </w:p>
        </w:tc>
      </w:tr>
      <w:tr>
        <w:trPr/>
        <w:tc>
          <w:tcPr>
            <w:tcW w:type="dxa" w:w="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NEWS-HONDA-2026-06-15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Honda Global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2026-06-15</w:t>
            </w:r>
          </w:p>
        </w:tc>
        <w:tc>
          <w:tcPr>
            <w:tcW w:type="dxa" w:w="26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generator-systems; mobile-lighting-systems; construction sites; remote power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Eligible</w:t>
            </w:r>
          </w:p>
        </w:tc>
        <w:tc>
          <w:tcPr>
            <w:tcW w:type="dxa" w:w="23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Use as context</w:t>
            </w:r>
          </w:p>
        </w:tc>
      </w:tr>
      <w:tr>
        <w:trPr/>
        <w:tc>
          <w:tcPr>
            <w:tcW w:type="dxa" w:w="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REJECT-ACAR-2026-07-07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Acar Kardesler Sondaj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2026-07-07</w:t>
            </w:r>
          </w:p>
        </w:tc>
        <w:tc>
          <w:tcPr>
            <w:tcW w:type="dxa" w:w="26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drilling-equipment; water well drilling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Rejected</w:t>
            </w:r>
          </w:p>
        </w:tc>
        <w:tc>
          <w:tcPr>
            <w:tcW w:type="dxa" w:w="23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Competitor marketing page cannot be the sole factual source.</w:t>
            </w:r>
          </w:p>
        </w:tc>
      </w:tr>
      <w:tr>
        <w:trPr/>
        <w:tc>
          <w:tcPr>
            <w:tcW w:type="dxa" w:w="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REJECT-YGNE-2026-05-28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YGNE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2026-05-28</w:t>
            </w:r>
          </w:p>
        </w:tc>
        <w:tc>
          <w:tcPr>
            <w:tcW w:type="dxa" w:w="26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mobile-lighting-systems; remote site security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Rejected</w:t>
            </w:r>
          </w:p>
        </w:tc>
        <w:tc>
          <w:tcPr>
            <w:tcW w:type="dxa" w:w="23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Competitor marketing content; no independent supporting evidence.</w:t>
            </w:r>
          </w:p>
        </w:tc>
      </w:tr>
      <w:tr>
        <w:trPr/>
        <w:tc>
          <w:tcPr>
            <w:tcW w:type="dxa" w:w="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REJECT-BIGLUX-2026-06-19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BIGLUX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2026-06-19</w:t>
            </w:r>
          </w:p>
        </w:tc>
        <w:tc>
          <w:tcPr>
            <w:tcW w:type="dxa" w:w="26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mobile-lighting-systems; remote site security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Rejected</w:t>
            </w:r>
          </w:p>
        </w:tc>
        <w:tc>
          <w:tcPr>
            <w:tcW w:type="dxa" w:w="23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Competitor marketing content; do not reuse claims, images or copy.</w:t>
            </w:r>
          </w:p>
        </w:tc>
      </w:tr>
      <w:tr>
        <w:trPr/>
        <w:tc>
          <w:tcPr>
            <w:tcW w:type="dxa" w:w="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REJECT-REDDIT-2026-06-29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Reddit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2026-06-29</w:t>
            </w:r>
          </w:p>
        </w:tc>
        <w:tc>
          <w:tcPr>
            <w:tcW w:type="dxa" w:w="26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drilling-equipment; water well drilling</w:t>
            </w:r>
          </w:p>
        </w:tc>
        <w:tc>
          <w:tcPr>
            <w:tcW w:type="dxa" w:w="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Rejected</w:t>
            </w:r>
          </w:p>
        </w:tc>
        <w:tc>
          <w:tcPr>
            <w:tcW w:type="dxa" w:w="23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No controlled sourcing, author verification or reliable publication standard.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</w:rPr>
        <w:t>5. Approved source directory</w:t>
      </w:r>
    </w:p>
    <w:p>
      <w:r>
        <w:rPr>
          <w:rFonts w:ascii="Aptos" w:hAnsi="Aptos"/>
        </w:rPr>
        <w:t>This directory includes primary announcements and durable government, association or technical references. The directory is a monitoring and fact-checking list; it is not a license to republish source material.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1750"/>
        <w:gridCol w:w="1250"/>
        <w:gridCol w:w="1750"/>
        <w:gridCol w:w="2800"/>
        <w:gridCol w:w="1810"/>
      </w:tblGrid>
      <w:tr>
        <w:trPr>
          <w:tblHeader w:val="true"/>
        </w:trPr>
        <w:tc>
          <w:tcPr>
            <w:tcW w:type="dxa" w:w="175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Source</w:t>
            </w:r>
          </w:p>
        </w:tc>
        <w:tc>
          <w:tcPr>
            <w:tcW w:type="dxa" w:w="125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Type</w:t>
            </w:r>
          </w:p>
        </w:tc>
        <w:tc>
          <w:tcPr>
            <w:tcW w:type="dxa" w:w="175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Topics</w:t>
            </w:r>
          </w:p>
        </w:tc>
        <w:tc>
          <w:tcPr>
            <w:tcW w:type="dxa" w:w="28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Use in workflow</w:t>
            </w:r>
          </w:p>
        </w:tc>
        <w:tc>
          <w:tcPr>
            <w:tcW w:type="dxa" w:w="181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Restrictions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U.S. Department of Energy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government</w:t>
            </w:r>
          </w:p>
        </w:tc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compressed-air-equipment; generator-systems; mobile-lighting-systems</w:t>
            </w:r>
          </w:p>
        </w:tc>
        <w:tc>
          <w:tcPr>
            <w:tcW w:type="dxa" w:w="2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Technical context; verify publication date per item.</w:t>
            </w:r>
          </w:p>
        </w:tc>
        <w:tc>
          <w:tcPr>
            <w:tcW w:type="dxa" w:w="18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Original source review required; no asset or copy reuse.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National Ground Water Association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association</w:t>
            </w:r>
          </w:p>
        </w:tc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drilling-equipment; drilling-consumables</w:t>
            </w:r>
          </w:p>
        </w:tc>
        <w:tc>
          <w:tcPr>
            <w:tcW w:type="dxa" w:w="2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Water-well industry developments and training context.</w:t>
            </w:r>
          </w:p>
        </w:tc>
        <w:tc>
          <w:tcPr>
            <w:tcW w:type="dxa" w:w="18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Original source review required; no asset or copy reuse.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U.S. Geological Survey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government</w:t>
            </w:r>
          </w:p>
        </w:tc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magnetic-separators</w:t>
            </w:r>
          </w:p>
        </w:tc>
        <w:tc>
          <w:tcPr>
            <w:tcW w:type="dxa" w:w="2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Minerals and processing context; not supplier performance evidence.</w:t>
            </w:r>
          </w:p>
        </w:tc>
        <w:tc>
          <w:tcPr>
            <w:tcW w:type="dxa" w:w="18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Original source review required; no asset or copy reuse.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Occupational Safety and Health Administration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government</w:t>
            </w:r>
          </w:p>
        </w:tc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compressed-air-equipment; drilling-equipment; mobile-lighting-systems</w:t>
            </w:r>
          </w:p>
        </w:tc>
        <w:tc>
          <w:tcPr>
            <w:tcW w:type="dxa" w:w="2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Safety context only.</w:t>
            </w:r>
          </w:p>
        </w:tc>
        <w:tc>
          <w:tcPr>
            <w:tcW w:type="dxa" w:w="18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Original source review required; no asset or copy reuse.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ADNOC Drilling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primary-company</w:t>
            </w:r>
          </w:p>
        </w:tc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</w:t>
            </w:r>
          </w:p>
        </w:tc>
        <w:tc>
          <w:tcPr>
            <w:tcW w:type="dxa" w:w="2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Project and drilling-industry developments; isolate company-specific claims.</w:t>
            </w:r>
          </w:p>
        </w:tc>
        <w:tc>
          <w:tcPr>
            <w:tcW w:type="dxa" w:w="18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Original source review required; no asset or copy reuse.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Honda Global Newsroom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primary-manufacturer</w:t>
            </w:r>
          </w:p>
        </w:tc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generator-systems; mobile-lighting-systems</w:t>
            </w:r>
          </w:p>
        </w:tc>
        <w:tc>
          <w:tcPr>
            <w:tcW w:type="dxa" w:w="2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Power-system market context; no product claim transfer.</w:t>
            </w:r>
          </w:p>
        </w:tc>
        <w:tc>
          <w:tcPr>
            <w:tcW w:type="dxa" w:w="18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Original source review required; no asset or copy reuse.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CoTec Holdings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primary-company</w:t>
            </w:r>
          </w:p>
        </w:tc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magnetic-separators</w:t>
            </w:r>
          </w:p>
        </w:tc>
        <w:tc>
          <w:tcPr>
            <w:tcW w:type="dxa" w:w="2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Recycling-sector developments only.</w:t>
            </w:r>
          </w:p>
        </w:tc>
        <w:tc>
          <w:tcPr>
            <w:tcW w:type="dxa" w:w="18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Original source review required; no asset or copy reuse.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Metal Tech News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authoritative-media</w:t>
            </w:r>
          </w:p>
        </w:tc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magnetic-separators</w:t>
            </w:r>
          </w:p>
        </w:tc>
        <w:tc>
          <w:tcPr>
            <w:tcW w:type="dxa" w:w="2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Independent mining and critical-minerals reporting.</w:t>
            </w:r>
          </w:p>
        </w:tc>
        <w:tc>
          <w:tcPr>
            <w:tcW w:type="dxa" w:w="18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Original source review required; no asset or copy reuse.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Investegate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listed-company-announcement</w:t>
            </w:r>
          </w:p>
        </w:tc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drilling-equipment; drilling-consumables</w:t>
            </w:r>
          </w:p>
        </w:tc>
        <w:tc>
          <w:tcPr>
            <w:tcW w:type="dxa" w:w="2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Original exchange announcement distribution; identify issuer and date.</w:t>
            </w:r>
          </w:p>
        </w:tc>
        <w:tc>
          <w:tcPr>
            <w:tcW w:type="dxa" w:w="18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Original source review required; no asset or copy reuse.</w:t>
            </w:r>
          </w:p>
        </w:tc>
      </w:tr>
      <w:tr>
        <w:trPr/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Ring Blog</w:t>
            </w:r>
          </w:p>
        </w:tc>
        <w:tc>
          <w:tcPr>
            <w:tcW w:type="dxa" w:w="12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primary-manufacturer</w:t>
            </w:r>
          </w:p>
        </w:tc>
        <w:tc>
          <w:tcPr>
            <w:tcW w:type="dxa" w:w="17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mobile-lighting-systems</w:t>
            </w:r>
          </w:p>
        </w:tc>
        <w:tc>
          <w:tcPr>
            <w:tcW w:type="dxa" w:w="2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Remote-site security context; do not transfer product claims.</w:t>
            </w:r>
          </w:p>
        </w:tc>
        <w:tc>
          <w:tcPr>
            <w:tcW w:type="dxa" w:w="18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Original source review required; no asset or copy reuse.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</w:rPr>
        <w:t>6. Original-content production system</w:t>
      </w:r>
    </w:p>
    <w:p>
      <w:r>
        <w:rPr>
          <w:rFonts w:ascii="Aptos" w:hAnsi="Aptos"/>
        </w:rPr>
        <w:t>A local draft generator accepts only research-ready queue items with two independent eligible sources. Each generated English draft targets approximately 1,200–1,800 words and is stored locally for review. It is never pushed to a route, CMS, deployment or social channel.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6"/>
              </w:rPr>
              <w:t>Module</w:t>
            </w:r>
          </w:p>
        </w:tc>
        <w:tc>
          <w:tcPr>
            <w:tcW w:type="dxa" w:w="676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6"/>
              </w:rPr>
              <w:t>Draft requirement</w:t>
            </w:r>
          </w:p>
        </w:tc>
      </w:tr>
      <w:tr>
        <w:trPr/>
        <w:tc>
          <w:tcPr>
            <w:tcW w:type="dxa" w:w="2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Answer-first introduction</w:t>
            </w:r>
          </w:p>
        </w:tc>
        <w:tc>
          <w:tcPr>
            <w:tcW w:type="dxa" w:w="67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50–70 words that answer the operational question without product promises.</w:t>
            </w:r>
          </w:p>
        </w:tc>
      </w:tr>
      <w:tr>
        <w:trPr/>
        <w:tc>
          <w:tcPr>
            <w:tcW w:type="dxa" w:w="2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Technical and application context</w:t>
            </w:r>
          </w:p>
        </w:tc>
        <w:tc>
          <w:tcPr>
            <w:tcW w:type="dxa" w:w="67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Equipment overview, workflow, pain points, selection considerations and practical benefits.</w:t>
            </w:r>
          </w:p>
        </w:tc>
      </w:tr>
      <w:tr>
        <w:trPr/>
        <w:tc>
          <w:tcPr>
            <w:tcW w:type="dxa" w:w="2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Recent developments</w:t>
            </w:r>
          </w:p>
        </w:tc>
        <w:tc>
          <w:tcPr>
            <w:tcW w:type="dxa" w:w="67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Short, attributed fact summaries with source links; no long quotations or copied paragraphs.</w:t>
            </w:r>
          </w:p>
        </w:tc>
      </w:tr>
      <w:tr>
        <w:trPr/>
        <w:tc>
          <w:tcPr>
            <w:tcW w:type="dxa" w:w="2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Buyer guidance</w:t>
            </w:r>
          </w:p>
        </w:tc>
        <w:tc>
          <w:tcPr>
            <w:tcW w:type="dxa" w:w="67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A concrete next-evaluation list, relevant FAQ and a configuration-review CTA.</w:t>
            </w:r>
          </w:p>
        </w:tc>
      </w:tr>
      <w:tr>
        <w:trPr/>
        <w:tc>
          <w:tcPr>
            <w:tcW w:type="dxa" w:w="2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SEO / GEO checks</w:t>
            </w:r>
          </w:p>
        </w:tc>
        <w:tc>
          <w:tcPr>
            <w:tcW w:type="dxa" w:w="67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Unique H1, title, description, canonical plan, Article/Breadcrumb/FAQ schema plan, and at least three internal links.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</w:rPr>
        <w:t>7. 36-topic original content calendar</w:t>
      </w:r>
    </w:p>
    <w:p>
      <w:r>
        <w:rPr>
          <w:rFonts w:ascii="Aptos" w:hAnsi="Aptos"/>
        </w:rPr>
        <w:t>Coverage: six briefs per category. Only the three research-ready topics have local review drafts; the other 33 remain research-pending until their source requirements are met.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700"/>
        <w:gridCol w:w="3150"/>
        <w:gridCol w:w="1600"/>
        <w:gridCol w:w="1450"/>
        <w:gridCol w:w="850"/>
        <w:gridCol w:w="1610"/>
      </w:tblGrid>
      <w:tr>
        <w:trPr>
          <w:tblHeader w:val="true"/>
        </w:trPr>
        <w:tc>
          <w:tcPr>
            <w:tcW w:type="dxa" w:w="7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ID</w:t>
            </w:r>
          </w:p>
        </w:tc>
        <w:tc>
          <w:tcPr>
            <w:tcW w:type="dxa" w:w="315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Original working title</w:t>
            </w:r>
          </w:p>
        </w:tc>
        <w:tc>
          <w:tcPr>
            <w:tcW w:type="dxa" w:w="16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Product category</w:t>
            </w:r>
          </w:p>
        </w:tc>
        <w:tc>
          <w:tcPr>
            <w:tcW w:type="dxa" w:w="145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Industry</w:t>
            </w:r>
          </w:p>
        </w:tc>
        <w:tc>
          <w:tcPr>
            <w:tcW w:type="dxa" w:w="85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Priority</w:t>
            </w:r>
          </w:p>
        </w:tc>
        <w:tc>
          <w:tcPr>
            <w:tcW w:type="dxa" w:w="161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4"/>
              </w:rPr>
              <w:t>Status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TOPIC-01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How Diesel Screw Air Compressors Support DTH Drilling in Remote Quarry Sites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compressed-air-equipment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mining and quarrying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TOPIC-02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How to Match Air Delivery and Pressure for Water-Well Drilling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compressed-air-equipment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water well drilling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TOPIC-03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Compressed-Air Leak Reviews for Industrial Workshops: What to Check First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compressed-air-equipment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manufacturing workshops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TOPIC-04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Portable vs Stationary Screw Air Compressors for Road Construction Crews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compressed-air-equipment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road construction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TOPIC-05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Air Quality and Condensate Management for Drilling and Pneumatic Tools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compressed-air-equipment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TOPIC-06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Selecting an Electric Screw Air Compressor for a Fixed Industrial Air System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compressed-air-equipment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manufacturing workshops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TOPIC-07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Generator Sizing Considerations for Temporary Construction Power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generator-systems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construction sites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TOPIC-08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Prime Power vs Standby Power: Questions Buyers Should Resolve Before Selection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generator-systems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remote infrastructure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TOPIC-09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Silent Diesel Generators for Remote Worksites: Installation and Service Planning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generator-systems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remote mining operations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TOPIC-10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Open-Frame Generator Constraints for Project-Site Power Planning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generator-systems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construction sites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TOPIC-11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Load Steps, Motor Starting and Generator Selection for Contractor Fleets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generator-systems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equipment rental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TOPIC-12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Fuel and Service Planning for Diesel Generator Use at Remote Sites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generator-systems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remote infrastructure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high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TOPIC-13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Choosing a Water-Well Drilling Rig for Agricultural Irrigation Projects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agricultural irrigation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TOPIC-14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Air Drilling vs Mud Drilling for Water-Well Project Planning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water well drilling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TOPIC-15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Crawler Drilling Rig Mobility: Terrain, Access and Setup Questions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road and railway construction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TOPIC-16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How Hole Diameter, Depth and Torque Shape Drilling-Rig Selection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foundation and anchoring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TOPIC-17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DTH Drilling Workflow for Quarry and Rock-Drilling Projects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mining and quarrying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research-ready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TOPIC-18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What a Phased Drilling Mobilisation Plan Should Include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drilling-equipment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mining exploration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TOPIC-19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DTH Hammer and Drill Bit Selection for Hard-Rock Drilling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drilling-consumables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mining and quarrying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TOPIC-20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 Pipe Matching for Air-Drilling and Water-Well Projects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drilling-consumables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water well drilling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TOPIC-21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Rock Drill Tool Replacement Planning: What to Confirm Before Ordering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drilling-consumables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road construction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TOPIC-22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How Flushing Method and Formation Affect Drill-Tool Wear Review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drilling-consumables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geotechnical investigation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TOPIC-23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Preparing a DTH Tooling List for a Remote Drilling Campaign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drilling-consumables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remote infrastructure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TOPIC-24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Thread, Shank and Interface Checks for Drilling-Tool Procurement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drilling-consumables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construction sites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medium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TOPIC-25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Solar Mobile Light Towers for Night Roadwork: Selection Factors and Operating Conditions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mobile-lighting-systems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roadworks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TOPIC-26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How Hybrid Light Towers Support Temporary Mining and Construction Sites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mobile-lighting-systems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mining and construction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TOPIC-27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Solar Security Towers for Remote Sites: Energy, Communications and Placement Questions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mobile-lighting-systems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remote site security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research-ready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TOPIC-28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Battery Capacity, Lighting Load and Night-Time Planning for Mobile Towers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mobile-lighting-systems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construction sites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TOPIC-29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Mast Height, Trailer Access and Deployment Planning for Remote Light Towers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mobile-lighting-systems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emergency response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TOPIC-30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CCTV and Lighting Integration for Temporary Worksite Security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mobile-lighting-systems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construction sites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TOPIC-31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How Suspended Magnetic Separators Protect Crushers in Aggregate Processing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magnetic-separators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aggregate and quarrying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TOPIC-32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Dry Drum vs Wet Drum Magnetic Separation in Mineral Processing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magnetic-separators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mineral processing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TOPIC-33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How Overband Magnets Support Ferrous Removal in Recycling Lines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magnetic-separators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recycling sorting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TOPIC-34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What Recycling Projects Reveal About Material Traceability Before Separation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magnetic-separators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recycling sorting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research-ready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TOPIC-35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Selecting Manual-Clean or Self-Cleaning Magnetic Separation for Bulk Handling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magnetic-separators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cement and bulk handling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  <w:tr>
        <w:trPr/>
        <w:tc>
          <w:tcPr>
            <w:tcW w:type="dxa" w:w="7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TOPIC-36</w:t>
            </w:r>
          </w:p>
        </w:tc>
        <w:tc>
          <w:tcPr>
            <w:tcW w:type="dxa" w:w="31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 Separation Questions for Scrap and Waste-Processing Feed Streams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magnetic-separators</w:t>
            </w:r>
          </w:p>
        </w:tc>
        <w:tc>
          <w:tcPr>
            <w:tcW w:type="dxa" w:w="14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waste processing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low</w:t>
            </w:r>
          </w:p>
        </w:tc>
        <w:tc>
          <w:tcPr>
            <w:tcW w:type="dxa" w:w="161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4"/>
              </w:rPr>
              <w:t>research-pending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</w:rPr>
        <w:t>8. Category coverage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3200"/>
        <w:gridCol w:w="1500"/>
        <w:gridCol w:w="4660"/>
      </w:tblGrid>
      <w:tr>
        <w:trPr>
          <w:tblHeader w:val="true"/>
        </w:trPr>
        <w:tc>
          <w:tcPr>
            <w:tcW w:type="dxa" w:w="32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6"/>
              </w:rPr>
              <w:t>Product category</w:t>
            </w:r>
          </w:p>
        </w:tc>
        <w:tc>
          <w:tcPr>
            <w:tcW w:type="dxa" w:w="15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6"/>
              </w:rPr>
              <w:t>Topic briefs</w:t>
            </w:r>
          </w:p>
        </w:tc>
        <w:tc>
          <w:tcPr>
            <w:tcW w:type="dxa" w:w="466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6"/>
              </w:rPr>
              <w:t>Editorial focus</w:t>
            </w:r>
          </w:p>
        </w:tc>
      </w:tr>
      <w:tr>
        <w:trPr/>
        <w:tc>
          <w:tcPr>
            <w:tcW w:type="dxa" w:w="3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compressed-air-equipment</w:t>
            </w:r>
          </w:p>
        </w:tc>
        <w:tc>
          <w:tcPr>
            <w:tcW w:type="dxa" w:w="1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6</w:t>
            </w:r>
          </w:p>
        </w:tc>
        <w:tc>
          <w:tcPr>
            <w:tcW w:type="dxa" w:w="46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Industry application, buyer selection and source-backed current context</w:t>
            </w:r>
          </w:p>
        </w:tc>
      </w:tr>
      <w:tr>
        <w:trPr/>
        <w:tc>
          <w:tcPr>
            <w:tcW w:type="dxa" w:w="3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drilling-consumables</w:t>
            </w:r>
          </w:p>
        </w:tc>
        <w:tc>
          <w:tcPr>
            <w:tcW w:type="dxa" w:w="1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6</w:t>
            </w:r>
          </w:p>
        </w:tc>
        <w:tc>
          <w:tcPr>
            <w:tcW w:type="dxa" w:w="46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Industry application, buyer selection and source-backed current context</w:t>
            </w:r>
          </w:p>
        </w:tc>
      </w:tr>
      <w:tr>
        <w:trPr/>
        <w:tc>
          <w:tcPr>
            <w:tcW w:type="dxa" w:w="3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drilling-equipment</w:t>
            </w:r>
          </w:p>
        </w:tc>
        <w:tc>
          <w:tcPr>
            <w:tcW w:type="dxa" w:w="1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6</w:t>
            </w:r>
          </w:p>
        </w:tc>
        <w:tc>
          <w:tcPr>
            <w:tcW w:type="dxa" w:w="46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Industry application, buyer selection and source-backed current context</w:t>
            </w:r>
          </w:p>
        </w:tc>
      </w:tr>
      <w:tr>
        <w:trPr/>
        <w:tc>
          <w:tcPr>
            <w:tcW w:type="dxa" w:w="3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generator-systems</w:t>
            </w:r>
          </w:p>
        </w:tc>
        <w:tc>
          <w:tcPr>
            <w:tcW w:type="dxa" w:w="1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6</w:t>
            </w:r>
          </w:p>
        </w:tc>
        <w:tc>
          <w:tcPr>
            <w:tcW w:type="dxa" w:w="46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Industry application, buyer selection and source-backed current context</w:t>
            </w:r>
          </w:p>
        </w:tc>
      </w:tr>
      <w:tr>
        <w:trPr/>
        <w:tc>
          <w:tcPr>
            <w:tcW w:type="dxa" w:w="3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magnetic-separators</w:t>
            </w:r>
          </w:p>
        </w:tc>
        <w:tc>
          <w:tcPr>
            <w:tcW w:type="dxa" w:w="1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6</w:t>
            </w:r>
          </w:p>
        </w:tc>
        <w:tc>
          <w:tcPr>
            <w:tcW w:type="dxa" w:w="46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Industry application, buyer selection and source-backed current context</w:t>
            </w:r>
          </w:p>
        </w:tc>
      </w:tr>
      <w:tr>
        <w:trPr/>
        <w:tc>
          <w:tcPr>
            <w:tcW w:type="dxa" w:w="3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mobile-lighting-systems</w:t>
            </w:r>
          </w:p>
        </w:tc>
        <w:tc>
          <w:tcPr>
            <w:tcW w:type="dxa" w:w="1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6</w:t>
            </w:r>
          </w:p>
        </w:tc>
        <w:tc>
          <w:tcPr>
            <w:tcW w:type="dxa" w:w="46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6"/>
              </w:rPr>
              <w:t>Industry application, buyer selection and source-backed current context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</w:rPr>
        <w:t>9. Rejections and quality controls</w:t>
      </w:r>
    </w:p>
    <w:p>
      <w:r>
        <w:rPr>
          <w:rFonts w:ascii="Aptos" w:hAnsi="Aptos"/>
        </w:rPr>
        <w:t>Rejected candidates remain in a dedicated register so that the research trail is auditable and the same low-quality source is not accidentally promoted later.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1500"/>
        <w:gridCol w:w="2100"/>
        <w:gridCol w:w="3900"/>
        <w:gridCol w:w="1860"/>
      </w:tblGrid>
      <w:tr>
        <w:trPr>
          <w:tblHeader w:val="true"/>
        </w:trPr>
        <w:tc>
          <w:tcPr>
            <w:tcW w:type="dxa" w:w="15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Candidate</w:t>
            </w:r>
          </w:p>
        </w:tc>
        <w:tc>
          <w:tcPr>
            <w:tcW w:type="dxa" w:w="21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Source</w:t>
            </w:r>
          </w:p>
        </w:tc>
        <w:tc>
          <w:tcPr>
            <w:tcW w:type="dxa" w:w="390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Reason for rejection</w:t>
            </w:r>
          </w:p>
        </w:tc>
        <w:tc>
          <w:tcPr>
            <w:tcW w:type="dxa" w:w="1860"/>
            <w:vAlign w:val="center"/>
            <w:shd w:fill="EAF0F5" w:val="clea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Control</w:t>
            </w:r>
          </w:p>
        </w:tc>
      </w:tr>
      <w:tr>
        <w:trPr/>
        <w:tc>
          <w:tcPr>
            <w:tcW w:type="dxa" w:w="1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REJECT-ACAR-2026-07-07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Acar Kardesler Sondaj</w:t>
            </w:r>
          </w:p>
        </w:tc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Competitor marketing page cannot be the sole factual source.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Not available to the draft generator</w:t>
            </w:r>
          </w:p>
        </w:tc>
      </w:tr>
      <w:tr>
        <w:trPr/>
        <w:tc>
          <w:tcPr>
            <w:tcW w:type="dxa" w:w="1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REJECT-YGNE-2026-05-28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YGNE</w:t>
            </w:r>
          </w:p>
        </w:tc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Competitor marketing content; no independent supporting evidence.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Not available to the draft generator</w:t>
            </w:r>
          </w:p>
        </w:tc>
      </w:tr>
      <w:tr>
        <w:trPr/>
        <w:tc>
          <w:tcPr>
            <w:tcW w:type="dxa" w:w="1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REJECT-BIGLUX-2026-06-19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BIGLUX</w:t>
            </w:r>
          </w:p>
        </w:tc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Competitor marketing content; do not reuse claims, images or copy.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Not available to the draft generator</w:t>
            </w:r>
          </w:p>
        </w:tc>
      </w:tr>
      <w:tr>
        <w:trPr/>
        <w:tc>
          <w:tcPr>
            <w:tcW w:type="dxa" w:w="1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REJECT-REDDIT-2026-06-29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Reddit</w:t>
            </w:r>
          </w:p>
        </w:tc>
        <w:tc>
          <w:tcPr>
            <w:tcW w:type="dxa" w:w="39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No controlled sourcing, author verification or reliable publication standard.</w:t>
            </w:r>
          </w:p>
        </w:tc>
        <w:tc>
          <w:tcPr>
            <w:tcW w:type="dxa" w:w="186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color w:val="172033"/>
                <w:sz w:val="15"/>
              </w:rPr>
              <w:t>Not available to the draft generator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Aptos" w:hAnsi="Aptos"/>
          <w:sz w:val="19"/>
        </w:rPr>
        <w:t>Reject sources without accountable authorship, date, provenance or usable evidence.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Reject any route that would make another company’s project appear to be a COWIN MACHINE customer case.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Block titles, descriptions, H2s, FAQ answers and image alt text that are mechanically similar to source material or another planned article.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Do not invent authors, experts, tests, product measurements, project outcomes, warranties, certifications or market claims.</w:t>
      </w:r>
    </w:p>
    <w:p>
      <w:pPr>
        <w:pStyle w:val="Heading1"/>
      </w:pPr>
      <w:r>
        <w:rPr>
          <w:rFonts w:ascii="Aptos" w:hAnsi="Aptos"/>
        </w:rPr>
        <w:t>10. Publishing queue and next actions</w:t>
      </w:r>
    </w:p>
    <w:p>
      <w:r>
        <w:rPr>
          <w:rFonts w:ascii="Aptos" w:hAnsi="Aptos"/>
        </w:rPr>
        <w:t>The system’s release state is intentionally local-only. `published-history.json` is empty and serves as the future duplicate-prevention ledger after a separately authorized publication workflow exists.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Review the three local drafts for product-family accuracy, legal/brand safety and source context before any implementation request.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Continue monitoring the approved source directory and add new candidates only after checking the original page, publication date and source quality.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For each research-pending topic, collect at least two independent, in-window sources or reframe it as an evergreen technical resource outside this news workflow.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Before future publication, run copy-similarity, claims, link, schema, canonical, accessibility and image-rights checks; then obtain explicit production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81" w:bottom="1152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color w:val="5B6878"/>
        <w:sz w:val="17"/>
      </w:rPr>
      <w:t xml:space="preserve">Local planning document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ptos" w:hAnsi="Aptos"/>
        <w:b/>
        <w:color w:val="5B6878"/>
        <w:sz w:val="17"/>
      </w:rPr>
      <w:t>COWIN MACHINE  |  NEWS RESEARCH &amp; ORIGINAL CONTENT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B4D7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COWIN MACHINE 90-Day News and Content Plan</dc:title>
  <dc:subject>Local-only research and original-content planning</dc:subject>
  <dc:creator>COWIN MACHINE content workflow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