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i w:val="0"/>
          <w:sz w:val="8"/>
        </w:rPr>
      </w:r>
    </w:p>
    <w:p>
      <w:r>
        <w:rPr>
          <w:rFonts w:ascii="Calibri" w:hAnsi="Calibri"/>
          <w:i w:val="0"/>
          <w:sz w:val="8"/>
        </w:rPr>
      </w:r>
    </w:p>
    <w:p>
      <w:r>
        <w:rPr>
          <w:rFonts w:ascii="Calibri" w:hAnsi="Calibri"/>
          <w:i w:val="0"/>
          <w:sz w:val="8"/>
        </w:rPr>
      </w:r>
    </w:p>
    <w:p>
      <w:r>
        <w:rPr>
          <w:rFonts w:ascii="Calibri" w:hAnsi="Calibri"/>
          <w:i w:val="0"/>
          <w:sz w:val="8"/>
        </w:rPr>
      </w:r>
    </w:p>
    <w:p>
      <w:r>
        <w:rPr>
          <w:rFonts w:ascii="Calibri" w:hAnsi="Calibri"/>
          <w:i w:val="0"/>
          <w:sz w:val="8"/>
        </w:rPr>
      </w:r>
    </w:p>
    <w:p>
      <w:r>
        <w:rPr>
          <w:rFonts w:ascii="Calibri" w:hAnsi="Calibri"/>
          <w:i w:val="0"/>
          <w:sz w:val="8"/>
        </w:rPr>
      </w:r>
    </w:p>
    <w:p>
      <w:pPr>
        <w:jc w:val="center"/>
      </w:pPr>
      <w:r>
        <w:rPr>
          <w:rFonts w:ascii="Calibri" w:hAnsi="Calibri"/>
          <w:i w:val="0"/>
          <w:color w:val="B26A00"/>
          <w:sz w:val="21"/>
        </w:rPr>
        <w:t>PRE-PRODUCTION AUDIT</w:t>
      </w:r>
    </w:p>
    <w:p>
      <w:pPr>
        <w:jc w:val="center"/>
      </w:pPr>
      <w:r>
        <w:rPr>
          <w:rFonts w:ascii="Calibri" w:hAnsi="Calibri"/>
          <w:i w:val="0"/>
          <w:color w:val="0B2545"/>
          <w:sz w:val="60"/>
        </w:rPr>
        <w:t>COWIN MACHINE</w:t>
      </w:r>
    </w:p>
    <w:p>
      <w:pPr>
        <w:jc w:val="center"/>
      </w:pPr>
      <w:r>
        <w:rPr>
          <w:rFonts w:ascii="Calibri" w:hAnsi="Calibri"/>
          <w:i w:val="0"/>
          <w:color w:val="1F4D78"/>
          <w:sz w:val="32"/>
        </w:rPr>
        <w:t>Website release readiness review</w:t>
      </w:r>
    </w:p>
    <w:p>
      <w:pPr>
        <w:jc w:val="center"/>
      </w:pPr>
      <w:r>
        <w:rPr>
          <w:rFonts w:ascii="Calibri" w:hAnsi="Calibri"/>
          <w:i/>
          <w:color w:val="667085"/>
          <w:sz w:val="21"/>
        </w:rPr>
        <w:t>Product data, content, SEO, accessibility, performance, security and publishing controls</w:t>
      </w:r>
    </w:p>
    <w:p>
      <w:pPr>
        <w:jc w:val="center"/>
      </w:pPr>
      <w:r>
        <w:rPr>
          <w:rFonts w:ascii="Calibri" w:hAnsi="Calibri"/>
          <w:i w:val="0"/>
          <w:color w:val="0B2545"/>
          <w:sz w:val="23"/>
        </w:rPr>
        <w:t>14 August 2026</w:t>
      </w:r>
    </w:p>
    <w:p>
      <w:pPr>
        <w:jc w:val="center"/>
        <w:shd w:fill="FDECEC" w:val="clear"/>
      </w:pPr>
      <w:r>
        <w:rPr>
          <w:rFonts w:ascii="Calibri" w:hAnsi="Calibri"/>
          <w:i w:val="0"/>
          <w:color w:val="9B1C1C"/>
          <w:sz w:val="24"/>
        </w:rPr>
        <w:t>Release decision: BLOCKED — P0 and P1 remediation required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i w:val="0"/>
        </w:rPr>
        <w:t>The local application builds successfully and its core information architecture is implemented. It has six product categories, 202 product-detail routes, product navigation drawers, inquiry prefill, sitemap, robots, RSS, structured-data components, research records, and a draft-only content workflow. It is not ready for production: three P0 risks can expose unverified technical claims or unsupported image-rights claims, and six P1 issues affect product-page reliability, inquiry handling, security posture, or mobile conversion behavior.</w:t>
      </w:r>
    </w:p>
    <w:p>
      <w:r>
        <w:rPr>
          <w:rFonts w:ascii="Calibri" w:hAnsi="Calibri"/>
          <w:b/>
        </w:rPr>
        <w:t>No production deployment</w:t>
      </w:r>
      <w:r>
        <w:rPr>
          <w:rFonts w:ascii="Calibri" w:hAnsi="Calibri"/>
          <w:i w:val="0"/>
        </w:rPr>
        <w:t>, publication, data deletion, or Git push was performed during this review.</w:t>
      </w:r>
    </w:p>
    <w:p>
      <w:pPr>
        <w:pStyle w:val="Heading1"/>
      </w:pPr>
      <w:r>
        <w:t>Scope and methodology</w:t>
      </w:r>
    </w:p>
    <w:p>
      <w:r>
        <w:rPr>
          <w:rFonts w:ascii="Calibri" w:hAnsi="Calibri"/>
          <w:i w:val="0"/>
        </w:rPr>
        <w:t>The review covered the requested product, fact, duplicate/canonical, image, inquiry, navigation, mobile, form, Word-report, content-workflow, SEO/GEO, schema, sitemap, robots, RSS, performance, accessibility, and security areas. Evidence was collected from local JSON/CSV datasets, application source and configuration, a local production build, a local route crawl, inquiry-route tests, and document-audit scripts.</w:t>
      </w:r>
    </w:p>
    <w:p>
      <w:pPr>
        <w:shd w:fill="F4F6F9" w:val="clear"/>
      </w:pPr>
      <w:r>
        <w:rPr>
          <w:rFonts w:ascii="Calibri" w:hAnsi="Calibri"/>
          <w:b/>
        </w:rPr>
        <w:t xml:space="preserve">Limitations: </w:t>
      </w:r>
      <w:r>
        <w:rPr>
          <w:rFonts w:ascii="Calibri" w:hAnsi="Calibri"/>
          <w:i w:val="0"/>
        </w:rPr>
        <w:t>This is a technical and evidence-availability audit. It cannot grant copyright permissions, validate undocumented supplier facts, guarantee search indexing, or replace a real-device browser acceptance test.</w:t>
      </w:r>
    </w:p>
    <w:p>
      <w:pPr>
        <w:pStyle w:val="Heading1"/>
      </w:pPr>
      <w:r>
        <w:t>Evidence dashboard</w:t>
      </w:r>
    </w:p>
    <w:tbl>
      <w:tblPr>
        <w:tblStyle w:val="TableGrid"/>
        <w:tblW w:type="dxa" w:w="594360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8760"/>
        <w:gridCol w:w="2331720"/>
        <w:gridCol w:w="2103120"/>
      </w:tblGrid>
      <w:tr>
        <w:trPr>
          <w:tblHeader w:val="true"/>
        </w:trPr>
        <w:tc>
          <w:tcPr>
            <w:tcW w:type="dxa" w:w="15087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Measure</w:t>
            </w:r>
          </w:p>
        </w:tc>
        <w:tc>
          <w:tcPr>
            <w:tcW w:type="dxa" w:w="233172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210312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Current product records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202 across six categories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raw-product-inventory.json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Canonical families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135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canonical-product-master.json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Duplicate raw records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87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canonical master and issue report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Verified-model families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68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canonical master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Review/generic/misclassification families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67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canonical master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Detail-page states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68 full technical; 134 configuration review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product-detail-content.json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Route crawl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218 seeds; 624 unique internal hrefs; all HTTP 200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local production crawl</w:t>
            </w:r>
          </w:p>
        </w:tc>
      </w:tr>
      <w:tr>
        <w:trPr/>
        <w:tc>
          <w:tcPr>
            <w:tcW w:type="dxa" w:w="1508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News workflow</w:t>
            </w:r>
          </w:p>
        </w:tc>
        <w:tc>
          <w:tcPr>
            <w:tcW w:type="dxa" w:w="23317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6 eligible candidates; 3 pending review; 0 published</w:t>
            </w:r>
          </w:p>
        </w:tc>
        <w:tc>
          <w:tcPr>
            <w:tcW w:type="dxa" w:w="21031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content-state.json</w:t>
            </w:r>
          </w:p>
        </w:tc>
      </w:tr>
    </w:tbl>
    <w:p>
      <w:pPr>
        <w:pStyle w:val="Heading2"/>
      </w:pPr>
      <w:r>
        <w:t>Current records by category</w:t>
      </w:r>
    </w:p>
    <w:tbl>
      <w:tblPr>
        <w:tblStyle w:val="TableGrid"/>
        <w:tblW w:type="dxa" w:w="594360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97680"/>
        <w:gridCol w:w="1645920"/>
      </w:tblGrid>
      <w:tr>
        <w:trPr>
          <w:tblHeader w:val="true"/>
        </w:trPr>
        <w:tc>
          <w:tcPr>
            <w:tcW w:type="dxa" w:w="429768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Category</w:t>
            </w:r>
          </w:p>
        </w:tc>
        <w:tc>
          <w:tcPr>
            <w:tcW w:type="dxa" w:w="164592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Current records</w:t>
            </w:r>
          </w:p>
        </w:tc>
      </w:tr>
      <w:tr>
        <w:trPr/>
        <w:tc>
          <w:tcPr>
            <w:tcW w:type="dxa" w:w="42976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Compressed air equipment</w:t>
            </w:r>
          </w:p>
        </w:tc>
        <w:tc>
          <w:tcPr>
            <w:tcW w:type="dxa" w:w="16459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36</w:t>
            </w:r>
          </w:p>
        </w:tc>
      </w:tr>
      <w:tr>
        <w:trPr/>
        <w:tc>
          <w:tcPr>
            <w:tcW w:type="dxa" w:w="42976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Generator systems</w:t>
            </w:r>
          </w:p>
        </w:tc>
        <w:tc>
          <w:tcPr>
            <w:tcW w:type="dxa" w:w="16459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10</w:t>
            </w:r>
          </w:p>
        </w:tc>
      </w:tr>
      <w:tr>
        <w:trPr/>
        <w:tc>
          <w:tcPr>
            <w:tcW w:type="dxa" w:w="42976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Drilling equipment</w:t>
            </w:r>
          </w:p>
        </w:tc>
        <w:tc>
          <w:tcPr>
            <w:tcW w:type="dxa" w:w="16459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12</w:t>
            </w:r>
          </w:p>
        </w:tc>
      </w:tr>
      <w:tr>
        <w:trPr/>
        <w:tc>
          <w:tcPr>
            <w:tcW w:type="dxa" w:w="42976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Drilling consumables</w:t>
            </w:r>
          </w:p>
        </w:tc>
        <w:tc>
          <w:tcPr>
            <w:tcW w:type="dxa" w:w="16459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16</w:t>
            </w:r>
          </w:p>
        </w:tc>
      </w:tr>
      <w:tr>
        <w:trPr/>
        <w:tc>
          <w:tcPr>
            <w:tcW w:type="dxa" w:w="42976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Mobile lighting systems</w:t>
            </w:r>
          </w:p>
        </w:tc>
        <w:tc>
          <w:tcPr>
            <w:tcW w:type="dxa" w:w="16459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39</w:t>
            </w:r>
          </w:p>
        </w:tc>
      </w:tr>
      <w:tr>
        <w:trPr/>
        <w:tc>
          <w:tcPr>
            <w:tcW w:type="dxa" w:w="42976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Magnetic separators</w:t>
            </w:r>
          </w:p>
        </w:tc>
        <w:tc>
          <w:tcPr>
            <w:tcW w:type="dxa" w:w="16459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89</w:t>
            </w:r>
          </w:p>
        </w:tc>
      </w:tr>
      <w:tr>
        <w:trPr/>
        <w:tc>
          <w:tcPr>
            <w:tcW w:type="dxa" w:w="42976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Total</w:t>
            </w:r>
          </w:p>
        </w:tc>
        <w:tc>
          <w:tcPr>
            <w:tcW w:type="dxa" w:w="16459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202</w:t>
            </w:r>
          </w:p>
        </w:tc>
      </w:tr>
    </w:tbl>
    <w:p>
      <w:pPr>
        <w:pStyle w:val="Heading1"/>
      </w:pPr>
      <w:r>
        <w:t>Priority summary</w:t>
      </w:r>
    </w:p>
    <w:tbl>
      <w:tblPr>
        <w:tblStyle w:val="TableGrid"/>
        <w:tblW w:type="dxa" w:w="594360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4400"/>
        <w:gridCol w:w="1234440"/>
        <w:gridCol w:w="3794760"/>
      </w:tblGrid>
      <w:tr>
        <w:trPr>
          <w:tblHeader w:val="true"/>
        </w:trPr>
        <w:tc>
          <w:tcPr>
            <w:tcW w:type="dxa" w:w="9144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12344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Open issues</w:t>
            </w:r>
          </w:p>
        </w:tc>
        <w:tc>
          <w:tcPr>
            <w:tcW w:type="dxa" w:w="37947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Release effect</w:t>
            </w:r>
          </w:p>
        </w:tc>
      </w:tr>
      <w:tr>
        <w:trPr/>
        <w:tc>
          <w:tcPr>
            <w:tcW w:type="dxa" w:w="914400"/>
            <w:vAlign w:val="top"/>
            <w:shd w:fill="FDECE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P0</w:t>
            </w:r>
          </w:p>
        </w:tc>
        <w:tc>
          <w:tcPr>
            <w:tcW w:type="dxa" w:w="1234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3794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Blocks release: accuracy, schema, and image-rights risk</w:t>
            </w:r>
          </w:p>
        </w:tc>
      </w:tr>
      <w:tr>
        <w:trPr/>
        <w:tc>
          <w:tcPr>
            <w:tcW w:type="dxa" w:w="914400"/>
            <w:vAlign w:val="top"/>
            <w:shd w:fill="FFF4E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P1</w:t>
            </w:r>
          </w:p>
        </w:tc>
        <w:tc>
          <w:tcPr>
            <w:tcW w:type="dxa" w:w="1234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3794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Resolve before any production recommendation</w:t>
            </w:r>
          </w:p>
        </w:tc>
      </w:tr>
      <w:tr>
        <w:trPr/>
        <w:tc>
          <w:tcPr>
            <w:tcW w:type="dxa" w:w="914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P2</w:t>
            </w:r>
          </w:p>
        </w:tc>
        <w:tc>
          <w:tcPr>
            <w:tcW w:type="dxa" w:w="1234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3794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Improve before or immediately after controlled launch</w:t>
            </w:r>
          </w:p>
        </w:tc>
      </w:tr>
      <w:tr>
        <w:trPr/>
        <w:tc>
          <w:tcPr>
            <w:tcW w:type="dxa" w:w="914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7"/>
              </w:rPr>
              <w:t>P3</w:t>
            </w:r>
          </w:p>
        </w:tc>
        <w:tc>
          <w:tcPr>
            <w:tcW w:type="dxa" w:w="1234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3794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B2545"/>
                <w:sz w:val="17"/>
              </w:rPr>
              <w:t>Operational and growth maturity</w:t>
            </w:r>
          </w:p>
        </w:tc>
      </w:tr>
    </w:tbl>
    <w:p>
      <w:pPr>
        <w:pStyle w:val="Heading1"/>
      </w:pPr>
      <w:r>
        <w:t>P0 — release blockers</w:t>
      </w:r>
    </w:p>
    <w:p>
      <w:pPr>
        <w:pStyle w:val="Heading2"/>
      </w:pPr>
      <w:r>
        <w:t>P0-01 — Review-state cards expose technical values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134 product profiles are marked configuration review, but category cards still render key specifications. At least 41 review-state records include values beyond model identity and configuration.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The public site can make technical commitments for records that its own product master says require confirmation.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Render only non-technical identity/context and Request Configuration Review for every review-state record. Require source evidence before any technical value is displayed, then re-crawl every category.</w:t>
      </w:r>
    </w:p>
    <w:p>
      <w:pPr>
        <w:pStyle w:val="Heading2"/>
      </w:pPr>
      <w:r>
        <w:t>P0-02 — Product schema uses specifications without independent evidence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The 68 verified-model families have Product JSON-LD and technical values, but their recorded evidence is current-site only. No attached owner-approved datasheet, manufacturer document, or equivalent independent source supports the field values.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Unsupported technical values can be surfaced in page content and machine-readable schema.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Attach field-level source evidence or remove the affected page content and schema additional properties. Do not output offers, ratings, warranties, performance, capacity, or certification claims without evidence.</w:t>
      </w:r>
    </w:p>
    <w:p>
      <w:pPr>
        <w:pStyle w:val="Heading2"/>
      </w:pPr>
      <w:r>
        <w:t>P0-03 — Image authorization is asserted but not auditable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All 202 product detail profiles label images as authorized, but the image-asset manifest has no per-asset source, permission, watermark review, or approval record. The mag-series-080-080 route has no configured hero image.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The site can make an unsupported rights claim or publish an old-brand, watermarked, or unlicensed image.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Create a versioned rights manifest for every public asset and hide authorization labels until supported. Replace or omit undocumented assets and provide a compliant image/no-image state for the missing hero.</w:t>
      </w:r>
    </w:p>
    <w:p>
      <w:pPr>
        <w:pStyle w:val="Heading1"/>
      </w:pPr>
      <w:r>
        <w:t>P1 — resolve before deployment recommendation</w:t>
      </w:r>
    </w:p>
    <w:p>
      <w:pPr>
        <w:pStyle w:val="Heading2"/>
      </w:pPr>
      <w:r>
        <w:t>P1-01 — Visible undefined product overview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Review-state pages render copy beginning with 'undefined is retained as a …'; it was reproduced locally on a magnetic-separator review route.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Broken public product copy reduces trust and can be indexed.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Use a safe status template that never interpolates an absent model field; route-test all 134 review pages.</w:t>
      </w:r>
    </w:p>
    <w:p>
      <w:pPr>
        <w:pStyle w:val="Heading2"/>
      </w:pPr>
      <w:r>
        <w:t>P1-02 — Unsupported 24-hour inquiry promise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The inquiry API success response promises a 24-hour reply, but no configured response SLA, email service, CRM, or database delivery workflow exists.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The site makes an operational commitment that cannot be proven or monitored.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Use a non-committal receipt message, or implement and owner-approve a real response workflow and service commitment.</w:t>
      </w:r>
    </w:p>
    <w:p>
      <w:pPr>
        <w:pStyle w:val="Heading2"/>
      </w:pPr>
      <w:r>
        <w:t>P1-03 — No production-safe inquiry persistence or rate limiting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The form validation and honeypot work locally, but submissions are not durably stored and the endpoint lacks deployable rate control. Local file storage intentionally blocks writes on Vercel.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Spam and repeated requests can reach the handler; valid inquiries cannot be reliably routed to sales.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Add server-side rate limiting and a production-safe storage/CRM adapter configured solely via environment variables. Test success, retry, and failure states.</w:t>
      </w:r>
    </w:p>
    <w:p>
      <w:pPr>
        <w:pStyle w:val="Heading2"/>
      </w:pPr>
      <w:r>
        <w:t>P1-04 — Security headers are absent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No CSP, Permissions-Policy, Referrer-Policy, X-Content-Type-Options, frame-ancestor policy, or HTTPS-edge HSTS configuration was found.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A public lead-generation site has a weaker default browser-security posture.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Add and validate a tested policy on preview. Configure HSTS at the HTTPS edge only after redirect/domain validation.</w:t>
      </w:r>
    </w:p>
    <w:p>
      <w:pPr>
        <w:pStyle w:val="Heading2"/>
      </w:pPr>
      <w:r>
        <w:t>P1-05 — Mobile quote CTA appears after navigation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The mobile menu presents Products and other links before Get a Quote, contrary to the stated conversion requirement.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Primary conversion is less discoverable and the mobile requirement is not met.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Move Request a Quote to the top of the mobile drawer and manually test all breakpoints.</w:t>
      </w:r>
    </w:p>
    <w:p>
      <w:pPr>
        <w:pStyle w:val="Heading2"/>
      </w:pPr>
      <w:r>
        <w:t>P1-06 — No independent visual acceptance evidence</w:t>
      </w:r>
    </w:p>
    <w:p>
      <w:r>
        <w:rPr>
          <w:rFonts w:ascii="Calibri" w:hAnsi="Calibri"/>
          <w:b/>
        </w:rPr>
        <w:t xml:space="preserve">Finding: </w:t>
      </w:r>
      <w:r>
        <w:rPr>
          <w:rFonts w:ascii="Calibri" w:hAnsi="Calibri"/>
          <w:i w:val="0"/>
        </w:rPr>
        <w:t>Code review indicates intended focus, escape, overlay, scroll-lock, reduced-motion, and responsive behavior, but Chrome headless visual capture failed in this environment during GPU startup.</w:t>
      </w:r>
    </w:p>
    <w:p>
      <w:r>
        <w:rPr>
          <w:rFonts w:ascii="Calibri" w:hAnsi="Calibri"/>
          <w:b/>
        </w:rPr>
        <w:t xml:space="preserve">Impact: </w:t>
      </w:r>
      <w:r>
        <w:rPr>
          <w:rFonts w:ascii="Calibri" w:hAnsi="Calibri"/>
          <w:i w:val="0"/>
        </w:rPr>
        <w:t>Real-browser layout, focus visibility, and touch interaction remain unverified.</w:t>
      </w:r>
    </w:p>
    <w:p>
      <w:r>
        <w:rPr>
          <w:rFonts w:ascii="Calibri" w:hAnsi="Calibri"/>
          <w:b/>
        </w:rPr>
        <w:t xml:space="preserve">Required resolution: </w:t>
      </w:r>
      <w:r>
        <w:rPr>
          <w:rFonts w:ascii="Calibri" w:hAnsi="Calibri"/>
          <w:i w:val="0"/>
        </w:rPr>
        <w:t>Record manual acceptance on Chrome, Safari/iOS, and Android Chrome at 320 px, 768 px, 1024 px, and desktop widths.</w:t>
      </w:r>
    </w:p>
    <w:p>
      <w:pPr>
        <w:pStyle w:val="Heading1"/>
      </w:pPr>
      <w:r>
        <w:t>P2 — completeness and operational improvements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Use true content-update timestamps for sitemap lastmod values instead of the generation 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Explicitly disallow internal operational paths and non-public API routes in robots policy.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Validate the first approved news article end-to-end: RSS, Article JSON-LD, visible FAQ, canonical, and sitemap inclusion.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Re-run all quality gates for the three pending-review drafts created before the latest quality-gate changes.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Render and visually inspect the three existing Word research reports on an environment with a LibreOffice-compatible renderer.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Add link, accessibility, schema, review-state, drawer keyboard-flow, and 320 px smoke tests to CI.</w:t>
      </w:r>
    </w:p>
    <w:p>
      <w:pPr>
        <w:pStyle w:val="Heading1"/>
      </w:pPr>
      <w:r>
        <w:t>P3 — growth and governance opportunities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Add a Search Console adapter only after verified credentials and ownership are configured; report unknown or pending states honestly.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Create a controlled asset-review workflow for alt text, crops, AI-generated assets, stock licences, and supplier approvals.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Define product-owner evidence-refresh intervals and a supplier-document intake checklist.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Use preview deployments and versioned content snapshots for every product, schema, sitemap, and news release.</w:t>
      </w:r>
    </w:p>
    <w:p>
      <w:pPr>
        <w:pStyle w:val="Heading1"/>
      </w:pPr>
      <w:r>
        <w:t>Confirmed controls and positive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The reviewed public application scope contained no prohibited competitor/legacy company names, logos, addresses, telephone numbers, tracking identifiers, or external image hotlinks. The supplied COWIN MACHINE contact email includes cowinmagnet.com as its domain, but it is not displayed as a competing brand.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Organization schema is limited to the supplied identity fields, and local canonical spot checks point to COWIN MACHINE route paths.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Configuration-review detail pages omit Product JSON-LD; this is correct, though their category-card leak and copy defect must still be fixed.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The local route crawl found 624 unique internal href targets; every tested target returned HTTP 200. The build generated all 202 product detail routes.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The inquiry route handled valid, validation-error, and honeypot paths locally without exposing secrets.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Products and site menu drawers are separate mutually exclusive client components; mobile Products uses an accordion.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Content automation defaults to draft mode with auto-publish disabled. Current state contains three pending-review items and zero published articles.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Local lint, TypeScript checking, content-automation validation, and production build completed successfully.</w:t>
      </w:r>
    </w:p>
    <w:p>
      <w:pPr>
        <w:pStyle w:val="Heading1"/>
      </w:pPr>
      <w:r>
        <w:t>News, SEO, GEO, and documents</w:t>
      </w:r>
    </w:p>
    <w:p>
      <w:r>
        <w:rPr>
          <w:rFonts w:ascii="Calibri" w:hAnsi="Calibri"/>
          <w:i w:val="0"/>
        </w:rPr>
        <w:t>The news system is an internal source-candidate and original-draft workflow, not a published article corpus. It tracks source quality, date eligibility, originality risk, internal-link requirements, and draft/publish controls. It is a useful operating baseline, not proof that future articles will automatically be original or accurate. Human approval must remain in place for source facts, product evidence, image rights, and similarity checks.</w:t>
      </w:r>
    </w:p>
    <w:p>
      <w:r>
        <w:rPr>
          <w:rFonts w:ascii="Calibri" w:hAnsi="Calibri"/>
          <w:i w:val="0"/>
        </w:rPr>
        <w:t>Sitemap, robots, RSS, canonical, Open Graph, Product, BreadcrumbList, Article, and conditional FAQ structured-data components are implemented. They improve discovery and machine readability but cannot guarantee inclusion in Google, AI systems, or any other search surface.</w:t>
      </w:r>
    </w:p>
    <w:p>
      <w:r>
        <w:rPr>
          <w:rFonts w:ascii="Calibri" w:hAnsi="Calibri"/>
          <w:i w:val="0"/>
        </w:rPr>
        <w:t>The product research, industry/application research, and 90-day news plan Word reports passed their structural heading/accessibility scripts with zero reported findings. They are internal evidence baselines, not legal authorization for images, data sheets, certifications, or unverified product parameters.</w:t>
      </w:r>
    </w:p>
    <w:p>
      <w:pPr>
        <w:pStyle w:val="Heading1"/>
      </w:pPr>
      <w:r>
        <w:t>Release sequence and rollback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Resolve and regression-test every P0 and P1 item before preparing a release candidate.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Create a product-data snapshot, field-evidence bundle, image-rights manifest, and owner sign-off record.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Deploy only to preview first, then test forms, routes, drawers, schema, sitemap, RSS, security headers, and mobile layouts.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Tag the approved Git commit and retain the prior deployment ID plus the prior content-state/evidence snapshot.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For rollback, promote the prior deployment, restore the prior approved content state, keep draft mode and auto-publish disabled, then re-check public discovery files.</w:t>
      </w:r>
    </w:p>
    <w:p>
      <w:pPr>
        <w:pStyle w:val="Heading1"/>
      </w:pPr>
      <w:r>
        <w:t>Deployment decision</w:t>
      </w:r>
    </w:p>
    <w:p>
      <w:pPr>
        <w:shd w:fill="FDECEC" w:val="clear"/>
      </w:pPr>
      <w:r>
        <w:rPr>
          <w:rFonts w:ascii="Calibri" w:hAnsi="Calibri"/>
          <w:i w:val="0"/>
          <w:color w:val="9B1C1C"/>
          <w:sz w:val="23"/>
        </w:rPr>
        <w:t>DO NOT DEPLOY. P0 and P1 issues are open. Recommend production deployment only after the required evidence, technical-content gates, inquiry delivery and rate controls, security headers, mobile CTA ordering, and real-device acceptance checks are complete and documented.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7085"/>
        <w:sz w:val="17"/>
      </w:rPr>
      <w:t xml:space="preserve">Internal release review  |  Page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COWIN MACHINE  |  Pre-Production Site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mall">
    <w:name w:val="Audit Small"/>
    <w:basedOn w:val="Normal"/>
    <w:pPr>
      <w:spacing w:after="80" w:line="252" w:lineRule="auto"/>
    </w:pPr>
    <w:rPr>
      <w:color w:val="667085"/>
      <w:sz w:val="17"/>
    </w:rPr>
  </w:style>
  <w:style w:type="paragraph" w:customStyle="1" w:styleId="AuditCaption">
    <w:name w:val="Audit Caption"/>
    <w:basedOn w:val="Normal"/>
    <w:pPr>
      <w:spacing w:after="80" w:line="252" w:lineRule="auto"/>
    </w:pPr>
    <w:rPr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