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a466542db4c59cc4dee513eecfe75b6ffc29f50"/>
    <w:p>
      <w:pPr>
        <w:pStyle w:val="Heading1"/>
      </w:pPr>
      <w:r>
        <w:t xml:space="preserve">SlabGen: Systematic Surface Generation, Screening, and DFT Preparation</w:t>
      </w:r>
    </w:p>
    <w:p>
      <w:pPr>
        <w:pStyle w:val="FirstParagraph"/>
      </w:pPr>
      <w:r>
        <w:t xml:space="preserve">Shahab Afsharghoochani and Zeinab Hajali Fard</w:t>
      </w:r>
      <w:r>
        <w:t xml:space="preserve"> </w:t>
      </w:r>
      <w:r>
        <w:t xml:space="preserve">Iowa State University, Materials Science and Engineering</w:t>
      </w:r>
    </w:p>
    <w:p>
      <w:pPr>
        <w:pStyle w:val="BodyText"/>
      </w:pPr>
      <w:r>
        <w:t xml:space="preserve">14th Annual GPSS Research Conference | February 20, 2026</w:t>
      </w:r>
    </w:p>
    <w:p>
      <w:r>
        <w:pict>
          <v:rect style="width:0;height:1.5pt" o:hralign="center" o:hrstd="t" o:hr="t"/>
        </w:pict>
      </w:r>
    </w:p>
    <w:bookmarkStart w:id="9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Surfaces govern much of how materials interact with their environment, including catalytic activity, corrosion, coatings, and film growth.</w:t>
      </w:r>
    </w:p>
    <w:p>
      <w:pPr>
        <w:pStyle w:val="BodyText"/>
      </w:pPr>
      <w:r>
        <w:t xml:space="preserve">Studying surfaces from first principles means building slab models: periodic structures cut from a bulk crystal along a chosen plane, then relaxed with DFT. The idea is straightforward.</w:t>
      </w:r>
      <w:r>
        <w:t xml:space="preserve"> </w:t>
      </w:r>
      <w:r>
        <w:rPr>
          <w:b/>
          <w:bCs/>
        </w:rPr>
        <w:t xml:space="preserve">The practical workflow is not.</w:t>
      </w:r>
    </w:p>
    <w:p>
      <w:pPr>
        <w:pStyle w:val="Compact"/>
        <w:numPr>
          <w:ilvl w:val="0"/>
          <w:numId w:val="1001"/>
        </w:numPr>
      </w:pPr>
      <w:r>
        <w:t xml:space="preserve">Each material and orientation demands its own script</w:t>
      </w:r>
    </w:p>
    <w:p>
      <w:pPr>
        <w:pStyle w:val="Compact"/>
        <w:numPr>
          <w:ilvl w:val="0"/>
          <w:numId w:val="1001"/>
        </w:numPr>
      </w:pPr>
      <w:r>
        <w:t xml:space="preserve">Unphysical polar terminations and missing surface cuts go unnoticed</w:t>
      </w:r>
    </w:p>
    <w:p>
      <w:pPr>
        <w:pStyle w:val="Compact"/>
        <w:numPr>
          <w:ilvl w:val="0"/>
          <w:numId w:val="1001"/>
        </w:numPr>
      </w:pPr>
      <w:r>
        <w:t xml:space="preserve">Geometric distortion at high-index planes</w:t>
      </w:r>
    </w:p>
    <w:p>
      <w:pPr>
        <w:pStyle w:val="Compact"/>
        <w:numPr>
          <w:ilvl w:val="0"/>
          <w:numId w:val="1001"/>
        </w:numPr>
      </w:pPr>
      <w:r>
        <w:t xml:space="preserve">Fragmented toolchain: Materials Project → pymatgen scripts → VESTA → manual VASP input prep</w:t>
      </w:r>
    </w:p>
    <w:p>
      <w:r>
        <w:pict>
          <v:rect style="width:0;height:1.5pt" o:hralign="center" o:hrstd="t" o:hr="t"/>
        </w:pict>
      </w:r>
    </w:p>
    <w:bookmarkEnd w:id="9"/>
    <w:bookmarkStart w:id="10" w:name="slabgen"/>
    <w:p>
      <w:pPr>
        <w:pStyle w:val="Heading2"/>
      </w:pPr>
      <w:r>
        <w:t xml:space="preserve">SlabGen</w:t>
      </w:r>
    </w:p>
    <w:p>
      <w:pPr>
        <w:pStyle w:val="FirstParagraph"/>
      </w:pPr>
      <w:r>
        <w:t xml:space="preserve">An open-source GUI that handles the full surface workflow in one place.</w:t>
      </w:r>
    </w:p>
    <w:p>
      <w:pPr>
        <w:pStyle w:val="BodyText"/>
      </w:pPr>
      <w:r>
        <w:rPr>
          <w:b/>
          <w:bCs/>
        </w:rPr>
        <w:t xml:space="preserve">Load</w:t>
      </w:r>
      <w:r>
        <w:t xml:space="preserve"> </w:t>
      </w:r>
      <w:r>
        <w:t xml:space="preserve">a crystal from the Materials Project or a local file</w:t>
      </w:r>
      <w:r>
        <w:t xml:space="preserve"> </w:t>
      </w:r>
      <w:r>
        <w:rPr>
          <w:b/>
          <w:bCs/>
        </w:rPr>
        <w:t xml:space="preserve">Generate</w:t>
      </w:r>
      <w:r>
        <w:t xml:space="preserve"> </w:t>
      </w:r>
      <w:r>
        <w:t xml:space="preserve">slabs for any Miller index using a two-step orient-then-replicate strategy that avoids distortion</w:t>
      </w:r>
      <w:r>
        <w:t xml:space="preserve"> </w:t>
      </w:r>
      <w:r>
        <w:rPr>
          <w:b/>
          <w:bCs/>
        </w:rPr>
        <w:t xml:space="preserve">Visualize</w:t>
      </w:r>
      <w:r>
        <w:t xml:space="preserve"> </w:t>
      </w:r>
      <w:r>
        <w:t xml:space="preserve">in interactive 3D: rotate, zoom, compare terminations</w:t>
      </w:r>
      <w:r>
        <w:t xml:space="preserve"> </w:t>
      </w:r>
      <w:r>
        <w:rPr>
          <w:b/>
          <w:bCs/>
        </w:rPr>
        <w:t xml:space="preserve">Screen</w:t>
      </w:r>
      <w:r>
        <w:t xml:space="preserve"> </w:t>
      </w:r>
      <w:r>
        <w:t xml:space="preserve">all symmetrically distinct orientations at once. Catalogs every termination, flags symmetric vs. asymmetric</w:t>
      </w:r>
      <w:r>
        <w:t xml:space="preserve"> </w:t>
      </w:r>
      <w:r>
        <w:rPr>
          <w:b/>
          <w:bCs/>
        </w:rPr>
        <w:t xml:space="preserve">Prepare</w:t>
      </w:r>
      <w:r>
        <w:t xml:space="preserve"> </w:t>
      </w:r>
      <w:r>
        <w:t xml:space="preserve">ready-to-submit VASP file sets (INCAR, KPOINTS, POSCAR, job script) with automatic dipole corrections</w:t>
      </w:r>
    </w:p>
    <w:p>
      <w:pPr>
        <w:pStyle w:val="BodyText"/>
      </w:pPr>
      <w:r>
        <w:t xml:space="preserve">Built with Python, PyQt5, and pymatgen. Open source, MIT license.</w:t>
      </w:r>
    </w:p>
    <w:p>
      <w:r>
        <w:pict>
          <v:rect style="width:0;height:1.5pt" o:hralign="center" o:hrstd="t" o:hr="t"/>
        </w:pict>
      </w:r>
    </w:p>
    <w:bookmarkEnd w:id="10"/>
    <w:bookmarkStart w:id="11" w:name="case-study-pt-validation-mo₂c"/>
    <w:p>
      <w:pPr>
        <w:pStyle w:val="Heading2"/>
      </w:pPr>
      <w:r>
        <w:t xml:space="preserve">Case Study: Pt Validation + Mo₂C</w:t>
      </w:r>
    </w:p>
    <w:p>
      <w:pPr>
        <w:pStyle w:val="FirstParagraph"/>
      </w:pPr>
      <w:r>
        <w:rPr>
          <w:b/>
          <w:bCs/>
        </w:rPr>
        <w:t xml:space="preserve">Platinum (validation):</w:t>
      </w:r>
    </w:p>
    <w:p>
      <w:pPr>
        <w:pStyle w:val="Compact"/>
        <w:numPr>
          <w:ilvl w:val="0"/>
          <w:numId w:val="1002"/>
        </w:numPr>
      </w:pPr>
      <w:r>
        <w:t xml:space="preserve">Predicted surface energy ordering γ(111) &lt; γ(100) &lt; γ(110), consistent with experiment and prior computational work</w:t>
      </w:r>
    </w:p>
    <w:p>
      <w:pPr>
        <w:pStyle w:val="Compact"/>
        <w:numPr>
          <w:ilvl w:val="0"/>
          <w:numId w:val="1002"/>
        </w:numPr>
      </w:pPr>
      <w:r>
        <w:t xml:space="preserve">9 orientations, 1 termination each, all symmetric, as expected for FCC</w:t>
      </w:r>
    </w:p>
    <w:p>
      <w:pPr>
        <w:pStyle w:val="FirstParagraph"/>
      </w:pPr>
      <w:r>
        <w:rPr>
          <w:b/>
          <w:bCs/>
        </w:rPr>
        <w:t xml:space="preserve">Mo₂C (where SlabGen’s screening power matters):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</w:t>
      </w:r>
      <w:r>
        <w:t xml:space="preserve"> </w:t>
      </w:r>
      <w:r>
        <w:t xml:space="preserve">orientations,</w:t>
      </w:r>
      <w:r>
        <w:t xml:space="preserve"> </w:t>
      </w:r>
      <w:r>
        <w:rPr>
          <w:b/>
          <w:bCs/>
        </w:rPr>
        <w:t xml:space="preserve">44</w:t>
      </w:r>
      <w:r>
        <w:t xml:space="preserve"> </w:t>
      </w:r>
      <w:r>
        <w:t xml:space="preserve">unique terminations: 34 symmetric, 10 asymmetric</w:t>
      </w:r>
    </w:p>
    <w:p>
      <w:pPr>
        <w:pStyle w:val="Compact"/>
        <w:numPr>
          <w:ilvl w:val="0"/>
          <w:numId w:val="1003"/>
        </w:numPr>
      </w:pPr>
      <w:r>
        <w:t xml:space="preserve">(1,1,1) alone has 6 distinct terminations. The Miller index doesn’t fully define a surface</w:t>
      </w:r>
    </w:p>
    <w:p>
      <w:pPr>
        <w:pStyle w:val="Compact"/>
        <w:numPr>
          <w:ilvl w:val="0"/>
          <w:numId w:val="1003"/>
        </w:numPr>
      </w:pPr>
      <w:r>
        <w:t xml:space="preserve">All 44 terminations screened and VASP inputs generated in a single interactive session</w:t>
      </w:r>
    </w:p>
    <w:p>
      <w:pPr>
        <w:pStyle w:val="FirstParagraph"/>
      </w:pPr>
      <w:r>
        <w:t xml:space="preserve">Surface energy: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s</m:t>
            </m:r>
            <m:r>
              <m:t>l</m:t>
            </m:r>
            <m:r>
              <m:t>a</m:t>
            </m:r>
            <m:r>
              <m:t>b</m:t>
            </m:r>
          </m:sub>
        </m:sSub>
        <m:r>
          <m:rPr>
            <m:sty m:val="p"/>
          </m:rPr>
          <m:t>−</m:t>
        </m:r>
        <m:r>
          <m:t>n</m:t>
        </m:r>
        <m:r>
          <m:rPr>
            <m:sty m:val="p"/>
          </m:rPr>
          <m:t>⋅</m:t>
        </m:r>
        <m:sSub>
          <m:e>
            <m:r>
              <m:t>E</m:t>
            </m:r>
          </m:e>
          <m:sub>
            <m:r>
              <m:t>b</m:t>
            </m:r>
            <m:r>
              <m:t>u</m:t>
            </m:r>
            <m:r>
              <m:t>l</m:t>
            </m:r>
            <m:r>
              <m:t>k</m:t>
            </m:r>
          </m:sub>
        </m:sSub>
        <m:r>
          <m:rPr>
            <m:sty m:val="p"/>
          </m:rPr>
          <m:t>)</m:t>
        </m:r>
        <m:r>
          <m:t> </m:t>
        </m:r>
        <m:r>
          <m:rPr>
            <m:sty m:val="p"/>
          </m:rPr>
          <m:t>/</m:t>
        </m:r>
        <m:r>
          <m:t> </m:t>
        </m:r>
        <m:r>
          <m:t>2</m:t>
        </m:r>
        <m:r>
          <m:t>A</m:t>
        </m:r>
      </m:oMath>
    </w:p>
    <w:p>
      <w:r>
        <w:pict>
          <v:rect style="width:0;height:1.5pt" o:hralign="center" o:hrstd="t" o:hr="t"/>
        </w:pict>
      </w:r>
    </w:p>
    <w:bookmarkEnd w:id="11"/>
    <w:bookmarkStart w:id="12" w:name="takeaway"/>
    <w:p>
      <w:pPr>
        <w:pStyle w:val="Heading2"/>
      </w:pPr>
      <w:r>
        <w:t xml:space="preserve">Takeaway</w:t>
      </w:r>
    </w:p>
    <w:p>
      <w:pPr>
        <w:pStyle w:val="FirstParagraph"/>
      </w:pPr>
      <w:r>
        <w:rPr>
          <w:b/>
          <w:bCs/>
        </w:rPr>
        <w:t xml:space="preserve">SlabGen turns days of scripting into minutes of guided interaction.</w:t>
      </w:r>
    </w:p>
    <w:p>
      <w:pPr>
        <w:pStyle w:val="BodyText"/>
      </w:pPr>
      <w:r>
        <w:t xml:space="preserve">It makes systematic surface studies practical. Screen every surface of a material, visualize them, and go straight to DFT, all without writing a single line of code.</w:t>
      </w:r>
    </w:p>
    <w:p>
      <w:pPr>
        <w:pStyle w:val="BodyText"/>
      </w:pPr>
      <w:r>
        <w:rPr>
          <w:b/>
          <w:bCs/>
        </w:rPr>
        <w:t xml:space="preserve">Open source:</w:t>
      </w:r>
      <w:r>
        <w:t xml:space="preserve"> </w:t>
      </w:r>
      <w:r>
        <w:t xml:space="preserve">github.com/shahabafshar/SlabGen</w:t>
      </w:r>
    </w:p>
    <w:p>
      <w:pPr>
        <w:pStyle w:val="BodyText"/>
      </w:pPr>
      <w:r>
        <w:t xml:space="preserve">Thank you.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2026-02-10T02:26:37Z</dcterms:created>
  <dcterms:modified xsi:type="dcterms:W3CDTF">2026-02-10T02:26:37Z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