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BDE71" w14:textId="77777777" w:rsidR="000C53D6" w:rsidRDefault="00000000">
      <w:pPr>
        <w:spacing w:before="120" w:after="120"/>
      </w:pPr>
      <w:r>
        <w:rPr>
          <w:b/>
          <w:bCs/>
          <w:sz w:val="28"/>
          <w:szCs w:val="28"/>
        </w:rPr>
        <w:t>Q4. Validation Risk Register &amp; Compliance Evidence</w:t>
      </w:r>
    </w:p>
    <w:p w14:paraId="23917D21" w14:textId="77777777" w:rsidR="000C53D6" w:rsidRDefault="00000000">
      <w:pPr>
        <w:spacing w:before="120" w:after="120"/>
      </w:pPr>
      <w:r>
        <w:rPr>
          <w:b/>
          <w:bCs/>
          <w:sz w:val="24"/>
          <w:szCs w:val="24"/>
        </w:rPr>
        <w:t>Part 1: Validation Risk Register</w:t>
      </w:r>
    </w:p>
    <w:p w14:paraId="1F7A19EE" w14:textId="77777777" w:rsidR="000C53D6" w:rsidRDefault="00000000">
      <w:pPr>
        <w:spacing w:after="200"/>
      </w:pPr>
      <w:r>
        <w:t xml:space="preserve">A mini validation risk </w:t>
      </w:r>
      <w:proofErr w:type="gramStart"/>
      <w:r>
        <w:t>register</w:t>
      </w:r>
      <w:proofErr w:type="gramEnd"/>
      <w:r>
        <w:t xml:space="preserve"> for the software project, recording key validation risks, their impact, mitigation actions, and linked evidence references.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1128"/>
        <w:gridCol w:w="1584"/>
        <w:gridCol w:w="985"/>
        <w:gridCol w:w="1933"/>
        <w:gridCol w:w="3730"/>
      </w:tblGrid>
      <w:tr w:rsidR="000C53D6" w14:paraId="51B8F97F" w14:textId="77777777" w:rsidTr="009435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14:paraId="2A41891E" w14:textId="77777777" w:rsidR="000C53D6" w:rsidRDefault="00000000">
            <w:r>
              <w:rPr>
                <w:color w:val="FFFFFF"/>
                <w:sz w:val="20"/>
                <w:szCs w:val="20"/>
              </w:rPr>
              <w:t>Risk ID</w:t>
            </w:r>
          </w:p>
        </w:tc>
        <w:tc>
          <w:tcPr>
            <w:tcW w:w="1584" w:type="dxa"/>
          </w:tcPr>
          <w:p w14:paraId="2F360C95" w14:textId="77777777" w:rsidR="000C53D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Validation Risk Description</w:t>
            </w:r>
          </w:p>
        </w:tc>
        <w:tc>
          <w:tcPr>
            <w:tcW w:w="985" w:type="dxa"/>
          </w:tcPr>
          <w:p w14:paraId="478D6AF3" w14:textId="77777777" w:rsidR="000C53D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Impact Level</w:t>
            </w:r>
          </w:p>
        </w:tc>
        <w:tc>
          <w:tcPr>
            <w:tcW w:w="1933" w:type="dxa"/>
          </w:tcPr>
          <w:p w14:paraId="174CB64F" w14:textId="77777777" w:rsidR="000C53D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Mitigation Action</w:t>
            </w:r>
          </w:p>
        </w:tc>
        <w:tc>
          <w:tcPr>
            <w:tcW w:w="3730" w:type="dxa"/>
          </w:tcPr>
          <w:p w14:paraId="74FAB9DB" w14:textId="77777777" w:rsidR="000C53D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Evidence Reference</w:t>
            </w:r>
          </w:p>
        </w:tc>
      </w:tr>
      <w:tr w:rsidR="000C53D6" w14:paraId="5B25CBC3" w14:textId="77777777" w:rsidTr="00943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14:paraId="40486F8D" w14:textId="77777777" w:rsidR="000C53D6" w:rsidRDefault="00000000">
            <w:r>
              <w:rPr>
                <w:sz w:val="20"/>
                <w:szCs w:val="20"/>
              </w:rPr>
              <w:t>R1</w:t>
            </w:r>
          </w:p>
        </w:tc>
        <w:tc>
          <w:tcPr>
            <w:tcW w:w="1584" w:type="dxa"/>
          </w:tcPr>
          <w:p w14:paraId="35EC5C13" w14:textId="77777777" w:rsidR="000C53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Incomplete test coverage leaves hidden defects undetected</w:t>
            </w:r>
          </w:p>
        </w:tc>
        <w:tc>
          <w:tcPr>
            <w:tcW w:w="985" w:type="dxa"/>
          </w:tcPr>
          <w:p w14:paraId="4795154D" w14:textId="77777777" w:rsidR="000C53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933" w:type="dxa"/>
          </w:tcPr>
          <w:p w14:paraId="3D5F00FE" w14:textId="77777777" w:rsidR="000C53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Increase test coverage to 90% and add automated tests</w:t>
            </w:r>
          </w:p>
        </w:tc>
        <w:tc>
          <w:tcPr>
            <w:tcW w:w="3730" w:type="dxa"/>
          </w:tcPr>
          <w:p w14:paraId="00B5D7D6" w14:textId="77777777" w:rsidR="000C53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evidence/coverage-report.pdf</w:t>
            </w:r>
          </w:p>
        </w:tc>
      </w:tr>
      <w:tr w:rsidR="000C53D6" w14:paraId="2ACB3B02" w14:textId="77777777" w:rsidTr="009435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14:paraId="5406D952" w14:textId="77777777" w:rsidR="000C53D6" w:rsidRDefault="00000000">
            <w:r>
              <w:rPr>
                <w:sz w:val="20"/>
                <w:szCs w:val="20"/>
              </w:rPr>
              <w:t>R2</w:t>
            </w:r>
          </w:p>
        </w:tc>
        <w:tc>
          <w:tcPr>
            <w:tcW w:w="1584" w:type="dxa"/>
          </w:tcPr>
          <w:p w14:paraId="25CC1028" w14:textId="77777777" w:rsidR="000C53D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Sensitive patient data may be exposed during validation</w:t>
            </w:r>
          </w:p>
        </w:tc>
        <w:tc>
          <w:tcPr>
            <w:tcW w:w="985" w:type="dxa"/>
          </w:tcPr>
          <w:p w14:paraId="2094A18E" w14:textId="77777777" w:rsidR="000C53D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933" w:type="dxa"/>
          </w:tcPr>
          <w:p w14:paraId="010681F5" w14:textId="77777777" w:rsidR="000C53D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Use masked/dummy test data and encrypt all records</w:t>
            </w:r>
          </w:p>
        </w:tc>
        <w:tc>
          <w:tcPr>
            <w:tcW w:w="3730" w:type="dxa"/>
          </w:tcPr>
          <w:p w14:paraId="71B43E69" w14:textId="77777777" w:rsidR="000C53D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evidence/Q3_ZAP_Report.html</w:t>
            </w:r>
          </w:p>
        </w:tc>
      </w:tr>
      <w:tr w:rsidR="000C53D6" w14:paraId="1BCAC64D" w14:textId="77777777" w:rsidTr="00943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14:paraId="51A37A4A" w14:textId="77777777" w:rsidR="000C53D6" w:rsidRDefault="00000000">
            <w:r>
              <w:rPr>
                <w:sz w:val="20"/>
                <w:szCs w:val="20"/>
              </w:rPr>
              <w:t>R3</w:t>
            </w:r>
          </w:p>
        </w:tc>
        <w:tc>
          <w:tcPr>
            <w:tcW w:w="1584" w:type="dxa"/>
          </w:tcPr>
          <w:p w14:paraId="07975C6D" w14:textId="77777777" w:rsidR="000C53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CI pipeline fails to catch failing builds before merge</w:t>
            </w:r>
          </w:p>
        </w:tc>
        <w:tc>
          <w:tcPr>
            <w:tcW w:w="985" w:type="dxa"/>
          </w:tcPr>
          <w:p w14:paraId="54C17885" w14:textId="77777777" w:rsidR="000C53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933" w:type="dxa"/>
          </w:tcPr>
          <w:p w14:paraId="1D3965A1" w14:textId="77777777" w:rsidR="000C53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Enforce a mandatory test gate before any merge</w:t>
            </w:r>
          </w:p>
        </w:tc>
        <w:tc>
          <w:tcPr>
            <w:tcW w:w="3730" w:type="dxa"/>
          </w:tcPr>
          <w:p w14:paraId="3DFC86C3" w14:textId="77777777" w:rsidR="000C53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evidence/Q2_workflow_screenshot.png</w:t>
            </w:r>
          </w:p>
        </w:tc>
      </w:tr>
      <w:tr w:rsidR="000C53D6" w14:paraId="70A784D2" w14:textId="77777777" w:rsidTr="009435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14:paraId="4D263B2F" w14:textId="77777777" w:rsidR="000C53D6" w:rsidRDefault="00000000">
            <w:r>
              <w:rPr>
                <w:sz w:val="20"/>
                <w:szCs w:val="20"/>
              </w:rPr>
              <w:t>R4</w:t>
            </w:r>
          </w:p>
        </w:tc>
        <w:tc>
          <w:tcPr>
            <w:tcW w:w="1584" w:type="dxa"/>
          </w:tcPr>
          <w:p w14:paraId="4EB9514A" w14:textId="77777777" w:rsidR="000C53D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Requirements misunderstood, leading to wrong feature being validated</w:t>
            </w:r>
          </w:p>
        </w:tc>
        <w:tc>
          <w:tcPr>
            <w:tcW w:w="985" w:type="dxa"/>
          </w:tcPr>
          <w:p w14:paraId="36706E35" w14:textId="77777777" w:rsidR="000C53D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933" w:type="dxa"/>
          </w:tcPr>
          <w:p w14:paraId="1240B76E" w14:textId="77777777" w:rsidR="000C53D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Maintain a traceability matrix linking requirement to test case</w:t>
            </w:r>
          </w:p>
        </w:tc>
        <w:tc>
          <w:tcPr>
            <w:tcW w:w="3730" w:type="dxa"/>
          </w:tcPr>
          <w:p w14:paraId="57C9B813" w14:textId="77777777" w:rsidR="000C53D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evidence/traceability.xlsx</w:t>
            </w:r>
          </w:p>
        </w:tc>
      </w:tr>
      <w:tr w:rsidR="000C53D6" w14:paraId="54D97FF7" w14:textId="77777777" w:rsidTr="00943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14:paraId="659F56E9" w14:textId="77777777" w:rsidR="000C53D6" w:rsidRDefault="00000000">
            <w:r>
              <w:rPr>
                <w:sz w:val="20"/>
                <w:szCs w:val="20"/>
              </w:rPr>
              <w:t>R5</w:t>
            </w:r>
          </w:p>
        </w:tc>
        <w:tc>
          <w:tcPr>
            <w:tcW w:w="1584" w:type="dxa"/>
          </w:tcPr>
          <w:p w14:paraId="2CD614C4" w14:textId="77777777" w:rsidR="000C53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Manual validation steps are not recorded for audit</w:t>
            </w:r>
          </w:p>
        </w:tc>
        <w:tc>
          <w:tcPr>
            <w:tcW w:w="985" w:type="dxa"/>
          </w:tcPr>
          <w:p w14:paraId="2BE7812A" w14:textId="77777777" w:rsidR="000C53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933" w:type="dxa"/>
          </w:tcPr>
          <w:p w14:paraId="6B52F98D" w14:textId="77777777" w:rsidR="000C53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Maintain a signed validation checklist for each cycle</w:t>
            </w:r>
          </w:p>
        </w:tc>
        <w:tc>
          <w:tcPr>
            <w:tcW w:w="3730" w:type="dxa"/>
          </w:tcPr>
          <w:p w14:paraId="693C997F" w14:textId="77777777" w:rsidR="000C53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evidence/Q1_Validation_Checklist.docx</w:t>
            </w:r>
          </w:p>
        </w:tc>
      </w:tr>
    </w:tbl>
    <w:p w14:paraId="370F16F9" w14:textId="77777777" w:rsidR="000C53D6" w:rsidRDefault="00000000">
      <w:pPr>
        <w:spacing w:before="320" w:after="120"/>
      </w:pPr>
      <w:r>
        <w:rPr>
          <w:b/>
          <w:bCs/>
          <w:sz w:val="24"/>
          <w:szCs w:val="24"/>
        </w:rPr>
        <w:t>Part 2: GitHub Evidence Upload</w:t>
      </w:r>
    </w:p>
    <w:p w14:paraId="58F12C0B" w14:textId="77777777" w:rsidR="000C53D6" w:rsidRDefault="00000000">
      <w:pPr>
        <w:spacing w:after="120"/>
      </w:pPr>
      <w:r>
        <w:t>All validation evidence, reports, risk registers, CI artifacts, and compliance-related documents are uploaded to a GitHub repository for traceability and audit purposes. The repository is organized as follows:</w:t>
      </w:r>
    </w:p>
    <w:p w14:paraId="373376D1" w14:textId="77777777" w:rsidR="000C53D6" w:rsidRDefault="00000000">
      <w:pPr>
        <w:spacing w:after="2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SVV-Quiz-Validation/</w:t>
      </w:r>
    </w:p>
    <w:p w14:paraId="4C61FB14" w14:textId="77777777" w:rsidR="000C53D6" w:rsidRDefault="00000000">
      <w:pPr>
        <w:spacing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github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/workflows/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validation.yml</w:t>
      </w:r>
      <w:proofErr w:type="spellEnd"/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CI workflow - Q2)</w:t>
      </w:r>
    </w:p>
    <w:p w14:paraId="65EA0F39" w14:textId="77777777" w:rsidR="000C53D6" w:rsidRDefault="00000000">
      <w:pPr>
        <w:spacing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evidence/Q1_Validation_Checklist.docx</w:t>
      </w:r>
    </w:p>
    <w:p w14:paraId="5F56D931" w14:textId="77777777" w:rsidR="000C53D6" w:rsidRDefault="00000000">
      <w:pPr>
        <w:spacing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evidence/Q2_workflow_screenshot.png</w:t>
      </w:r>
    </w:p>
    <w:p w14:paraId="21D724B0" w14:textId="77777777" w:rsidR="000C53D6" w:rsidRDefault="00000000">
      <w:pPr>
        <w:spacing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evidence/Q3_ZAP_Report.html</w:t>
      </w:r>
    </w:p>
    <w:p w14:paraId="55A73F64" w14:textId="77777777" w:rsidR="000C53D6" w:rsidRDefault="00000000">
      <w:pPr>
        <w:spacing w:after="200"/>
      </w:pPr>
      <w:r>
        <w:rPr>
          <w:rFonts w:ascii="Courier New" w:eastAsia="Courier New" w:hAnsi="Courier New" w:cs="Courier New"/>
          <w:sz w:val="20"/>
          <w:szCs w:val="20"/>
        </w:rPr>
        <w:t xml:space="preserve">  evidence/Q4_Risk_Register.docx</w:t>
      </w:r>
    </w:p>
    <w:p w14:paraId="0C37B5CD" w14:textId="77777777" w:rsidR="000C53D6" w:rsidRDefault="00000000">
      <w:pPr>
        <w:spacing w:before="200" w:after="120"/>
      </w:pPr>
      <w:r>
        <w:rPr>
          <w:b/>
          <w:bCs/>
          <w:sz w:val="24"/>
          <w:szCs w:val="24"/>
        </w:rPr>
        <w:t>Part 3: How GitHub Evidence Supports Compliance Audits &amp; Validation Review</w:t>
      </w:r>
    </w:p>
    <w:p w14:paraId="50461E1D" w14:textId="77777777" w:rsidR="000C53D6" w:rsidRDefault="00000000">
      <w:pPr>
        <w:spacing w:after="120"/>
      </w:pPr>
      <w:r>
        <w:t xml:space="preserve">Uploading all validation artifacts to a GitHub repository creates a central, traceable, and time-stamped record of the entire validation process. Every commit </w:t>
      </w:r>
      <w:proofErr w:type="gramStart"/>
      <w:r>
        <w:t>records</w:t>
      </w:r>
      <w:proofErr w:type="gramEnd"/>
      <w:r>
        <w:t xml:space="preserve"> who changed what and when, so auditors can verify the complete validation history and confirm that activities actually took place.</w:t>
      </w:r>
    </w:p>
    <w:p w14:paraId="2CFE118F" w14:textId="77777777" w:rsidR="000C53D6" w:rsidRDefault="00000000">
      <w:pPr>
        <w:spacing w:after="120"/>
      </w:pPr>
      <w:r>
        <w:lastRenderedPageBreak/>
        <w:t>Version control proves that evidence was not altered after testing, making the records tamper-evident. CI artifacts generated automatically by the workflow prove that validation tests were genuinely executed rather than only claimed. The risk register links each identified risk to a specific evidence file, providing full traceability from requirement to test to fix to proof.</w:t>
      </w:r>
    </w:p>
    <w:p w14:paraId="29F45851" w14:textId="77777777" w:rsidR="000C53D6" w:rsidRDefault="00000000">
      <w:pPr>
        <w:spacing w:after="120"/>
      </w:pPr>
      <w:r>
        <w:t>As a result, compliance audits become faster, more transparent, and reliable, because reviewers can independently inspect every piece of evidence in one organized, version-controlled location.</w:t>
      </w:r>
    </w:p>
    <w:sectPr w:rsidR="000C53D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47F17"/>
    <w:multiLevelType w:val="hybridMultilevel"/>
    <w:tmpl w:val="CDACDA6C"/>
    <w:lvl w:ilvl="0" w:tplc="E3EC9840">
      <w:start w:val="1"/>
      <w:numFmt w:val="bullet"/>
      <w:lvlText w:val="●"/>
      <w:lvlJc w:val="left"/>
      <w:pPr>
        <w:ind w:left="720" w:hanging="360"/>
      </w:pPr>
    </w:lvl>
    <w:lvl w:ilvl="1" w:tplc="520E4AC6">
      <w:start w:val="1"/>
      <w:numFmt w:val="bullet"/>
      <w:lvlText w:val="○"/>
      <w:lvlJc w:val="left"/>
      <w:pPr>
        <w:ind w:left="1440" w:hanging="360"/>
      </w:pPr>
    </w:lvl>
    <w:lvl w:ilvl="2" w:tplc="1E32D8F4">
      <w:start w:val="1"/>
      <w:numFmt w:val="bullet"/>
      <w:lvlText w:val="■"/>
      <w:lvlJc w:val="left"/>
      <w:pPr>
        <w:ind w:left="2160" w:hanging="360"/>
      </w:pPr>
    </w:lvl>
    <w:lvl w:ilvl="3" w:tplc="C4463BBA">
      <w:start w:val="1"/>
      <w:numFmt w:val="bullet"/>
      <w:lvlText w:val="●"/>
      <w:lvlJc w:val="left"/>
      <w:pPr>
        <w:ind w:left="2880" w:hanging="360"/>
      </w:pPr>
    </w:lvl>
    <w:lvl w:ilvl="4" w:tplc="D1EE3314">
      <w:start w:val="1"/>
      <w:numFmt w:val="bullet"/>
      <w:lvlText w:val="○"/>
      <w:lvlJc w:val="left"/>
      <w:pPr>
        <w:ind w:left="3600" w:hanging="360"/>
      </w:pPr>
    </w:lvl>
    <w:lvl w:ilvl="5" w:tplc="0FB85AFC">
      <w:start w:val="1"/>
      <w:numFmt w:val="bullet"/>
      <w:lvlText w:val="■"/>
      <w:lvlJc w:val="left"/>
      <w:pPr>
        <w:ind w:left="4320" w:hanging="360"/>
      </w:pPr>
    </w:lvl>
    <w:lvl w:ilvl="6" w:tplc="0388C22E">
      <w:start w:val="1"/>
      <w:numFmt w:val="bullet"/>
      <w:lvlText w:val="●"/>
      <w:lvlJc w:val="left"/>
      <w:pPr>
        <w:ind w:left="5040" w:hanging="360"/>
      </w:pPr>
    </w:lvl>
    <w:lvl w:ilvl="7" w:tplc="E7320EC2">
      <w:start w:val="1"/>
      <w:numFmt w:val="bullet"/>
      <w:lvlText w:val="●"/>
      <w:lvlJc w:val="left"/>
      <w:pPr>
        <w:ind w:left="5760" w:hanging="360"/>
      </w:pPr>
    </w:lvl>
    <w:lvl w:ilvl="8" w:tplc="A760B108">
      <w:start w:val="1"/>
      <w:numFmt w:val="bullet"/>
      <w:lvlText w:val="●"/>
      <w:lvlJc w:val="left"/>
      <w:pPr>
        <w:ind w:left="6480" w:hanging="360"/>
      </w:pPr>
    </w:lvl>
  </w:abstractNum>
  <w:num w:numId="1" w16cid:durableId="7311928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3D6"/>
    <w:rsid w:val="000C53D6"/>
    <w:rsid w:val="009435C6"/>
    <w:rsid w:val="00CB2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53D65"/>
  <w15:docId w15:val="{AD5E3E97-25E7-40DF-AD20-64C632371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GridTable4">
    <w:name w:val="Grid Table 4"/>
    <w:basedOn w:val="TableNormal"/>
    <w:uiPriority w:val="49"/>
    <w:rsid w:val="009435C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372</Words>
  <Characters>2123</Characters>
  <Application>Microsoft Office Word</Application>
  <DocSecurity>0</DocSecurity>
  <Lines>17</Lines>
  <Paragraphs>4</Paragraphs>
  <ScaleCrop>false</ScaleCrop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Mian Ahmad Saleemi</cp:lastModifiedBy>
  <cp:revision>3</cp:revision>
  <dcterms:created xsi:type="dcterms:W3CDTF">2026-06-02T05:35:00Z</dcterms:created>
  <dcterms:modified xsi:type="dcterms:W3CDTF">2026-06-02T05:37:00Z</dcterms:modified>
</cp:coreProperties>
</file>