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4"/>
          <w:szCs w:val="44"/>
        </w:rPr>
        <w:t xml:space="preserve">AQI Predictor for Rawalpindi, Pakistan</w:t>
      </w:r>
    </w:p>
    <w:p>
      <w:pPr>
        <w:spacing w:after="600"/>
        <w:jc w:val="center"/>
      </w:pPr>
      <w:r>
        <w:rPr>
          <w:i/>
          <w:iCs/>
          <w:sz w:val="28"/>
          <w:szCs w:val="28"/>
        </w:rPr>
        <w:t xml:space="preserve">A Serverless Machine Learning System for 3-Day Air Quality Forecasting</w:t>
      </w:r>
    </w:p>
    <w:p>
      <w:pPr>
        <w:spacing w:after="800"/>
        <w:jc w:val="center"/>
      </w:pPr>
      <w:r>
        <w:rPr>
          <w:sz w:val="24"/>
          <w:szCs w:val="24"/>
        </w:rPr>
        <w:t xml:space="preserve">10Pearls Data Science Internship — Final Project Report</w:t>
      </w:r>
    </w:p>
    <w:p>
      <w:pPr>
        <w:spacing w:after="200"/>
        <w:jc w:val="center"/>
      </w:pPr>
      <w:r>
        <w:rPr>
          <w:sz w:val="24"/>
          <w:szCs w:val="24"/>
        </w:rPr>
        <w:t xml:space="preserve">Prepared by: Shahab Uddin</w:t>
      </w:r>
    </w:p>
    <w:p>
      <w:pPr>
        <w:spacing w:after="200"/>
        <w:jc w:val="center"/>
      </w:pPr>
      <w:r>
        <w:rPr>
          <w:sz w:val="24"/>
          <w:szCs w:val="24"/>
        </w:rPr>
        <w:t xml:space="preserve">Mentors: Hafsa Imtiaz, Umema Ashar</w:t>
      </w:r>
    </w:p>
    <w:p>
      <w:pPr>
        <w:spacing w:after="3000"/>
        <w:jc w:val="center"/>
      </w:pPr>
      <w:r>
        <w:rPr>
          <w:sz w:val="24"/>
          <w:szCs w:val="24"/>
        </w:rPr>
        <w:t xml:space="preserve">August 13, 2026</w:t>
      </w:r>
    </w:p>
    <w:p>
      <w:r>
        <w:br w:type="page"/>
      </w:r>
    </w:p>
    <w:p>
      <w:pPr>
        <w:pStyle w:val="Heading1"/>
        <w:spacing w:after="120" w:before="240"/>
      </w:pPr>
      <w:r>
        <w:t xml:space="preserve">Executive Summary</w:t>
      </w:r>
    </w:p>
    <w:p>
      <w:pPr>
        <w:spacing w:after="160"/>
      </w:pPr>
      <w:r>
        <w:t xml:space="preserve">This project delivers an end-to-end, fully serverless machine learning system that forecasts the Air Quality Index (AQI) for Rawalpindi, Pakistan, three days into the future. The system pulls live pollution and weather data, engineers time-series features, trains Random Forest models, and serves predictions through an interactive Streamlit dashboard — all automated via GitHub Actions with no servers to manage.</w:t>
      </w:r>
    </w:p>
    <w:p>
      <w:pPr>
        <w:spacing w:after="160"/>
      </w:pPr>
      <w:r>
        <w:t xml:space="preserve">The final system uses three separate models, one for each forecast day, rather than a single combined model. The Day 1 (24-hour-ahead) model performs strongly, reaching an R² of 0.710, meeting the project's target. Day 2 and Day 3 models are notably weaker, which is an honest and explainable characteristic of the problem rather than a flaw in the approach — this is discussed in detail in Section 5.</w:t>
      </w:r>
    </w:p>
    <w:p>
      <w:pPr>
        <w:spacing w:after="160"/>
      </w:pPr>
      <w:r>
        <w:t xml:space="preserve">Model explainability (SHAP) and exploratory data analysis both confirm that the model has learned real, physically sensible patterns in air pollution behavior, including the dominant role of recent AQI trends, the cleansing effect of rainfall, and Rawalpindi's strong winter smog season.</w:t>
      </w:r>
    </w:p>
    <w:p>
      <w:pPr>
        <w:pStyle w:val="Heading1"/>
        <w:spacing w:after="120" w:before="240"/>
      </w:pPr>
      <w:r>
        <w:t xml:space="preserve">1. Introduction</w:t>
      </w:r>
    </w:p>
    <w:p>
      <w:pPr>
        <w:spacing w:after="160"/>
      </w:pPr>
      <w:r>
        <w:t xml:space="preserve">Air pollution is a persistent public health concern in Rawalpindi and the wider Islamabad-Rawalpindi region. Across the roughly three years of hourly data collected for this project, the average AQI was 165 — solidly in the "Unhealthy" range — and only 2.5% of all recorded hours fell into the "Good" category. The goal of this project was to build a practical, low-cost forecasting system that could give residents and decision-makers advance warning of worsening air quality, specifically over the next three days.</w:t>
      </w:r>
    </w:p>
    <w:p>
      <w:pPr>
        <w:spacing w:after="160"/>
      </w:pPr>
      <w:r>
        <w:t xml:space="preserve">The project was built end-to-end: from raw data collection, through feature engineering and model experimentation, to a fully automated production pipeline and a live-facing dashboard.</w:t>
      </w:r>
    </w:p>
    <w:p>
      <w:pPr>
        <w:pStyle w:val="Heading1"/>
        <w:spacing w:after="120" w:before="240"/>
      </w:pPr>
      <w:r>
        <w:t xml:space="preserve">2. System Architecture and Tech Stack</w:t>
      </w:r>
    </w:p>
    <w:p>
      <w:pPr>
        <w:spacing w:after="160"/>
      </w:pPr>
      <w:r>
        <w:t xml:space="preserve">The system is composed of the following components, chosen deliberately to keep the project 100% serverless and free to run:</w:t>
      </w:r>
    </w:p>
    <w:p>
      <w:pPr>
        <w:pStyle w:val="ListParagraph"/>
        <w:numPr>
          <w:ilvl w:val="0"/>
          <w:numId w:val="1"/>
        </w:numPr>
        <w:spacing w:after="80"/>
      </w:pPr>
      <w:r>
        <w:t xml:space="preserve">Python and Scikit-learn (RandomForestRegressor) — model training</w:t>
      </w:r>
    </w:p>
    <w:p>
      <w:pPr>
        <w:pStyle w:val="ListParagraph"/>
        <w:numPr>
          <w:ilvl w:val="0"/>
          <w:numId w:val="1"/>
        </w:numPr>
        <w:spacing w:after="80"/>
      </w:pPr>
      <w:r>
        <w:t xml:space="preserve">Hopsworks — Feature Store and Model Registry</w:t>
      </w:r>
    </w:p>
    <w:p>
      <w:pPr>
        <w:pStyle w:val="ListParagraph"/>
        <w:numPr>
          <w:ilvl w:val="0"/>
          <w:numId w:val="1"/>
        </w:numPr>
        <w:spacing w:after="80"/>
      </w:pPr>
      <w:r>
        <w:t xml:space="preserve">GitHub Actions — CI/CD automation for both the hourly feature pipeline and the daily training pipeline (chosen over Airflow to avoid running a server)</w:t>
      </w:r>
    </w:p>
    <w:p>
      <w:pPr>
        <w:pStyle w:val="ListParagraph"/>
        <w:numPr>
          <w:ilvl w:val="0"/>
          <w:numId w:val="1"/>
        </w:numPr>
        <w:spacing w:after="80"/>
      </w:pPr>
      <w:r>
        <w:t xml:space="preserve">Streamlit — the live-facing forecast dashboard</w:t>
      </w:r>
    </w:p>
    <w:p>
      <w:pPr>
        <w:pStyle w:val="ListParagraph"/>
        <w:numPr>
          <w:ilvl w:val="0"/>
          <w:numId w:val="1"/>
        </w:numPr>
        <w:spacing w:after="80"/>
      </w:pPr>
      <w:r>
        <w:t xml:space="preserve">OpenWeather Air Pollution API — live and historical pollution data</w:t>
      </w:r>
    </w:p>
    <w:p>
      <w:pPr>
        <w:pStyle w:val="ListParagraph"/>
        <w:numPr>
          <w:ilvl w:val="0"/>
          <w:numId w:val="1"/>
        </w:numPr>
        <w:spacing w:after="80"/>
      </w:pPr>
      <w:r>
        <w:t xml:space="preserve">Open-Meteo API — free historical weather data (temperature, humidity, wind, precipitation)</w:t>
      </w:r>
    </w:p>
    <w:p>
      <w:pPr>
        <w:pStyle w:val="ListParagraph"/>
        <w:numPr>
          <w:ilvl w:val="0"/>
          <w:numId w:val="1"/>
        </w:numPr>
        <w:spacing w:after="80"/>
      </w:pPr>
      <w:r>
        <w:t xml:space="preserve">SHAP — model explainability</w:t>
      </w:r>
    </w:p>
    <w:p>
      <w:pPr>
        <w:spacing w:after="160"/>
      </w:pPr>
      <w:r>
        <w:t xml:space="preserve">The pipeline runs in two automated stages: a feature pipeline that fetches and stores new pollution readings every hour, and a training pipeline that retrains all models daily using the latest available data.</w:t>
      </w:r>
    </w:p>
    <w:p>
      <w:pPr>
        <w:pStyle w:val="Heading1"/>
        <w:spacing w:after="120" w:before="240"/>
      </w:pPr>
      <w:r>
        <w:t xml:space="preserve">3. Data Collection and Preparation</w:t>
      </w:r>
    </w:p>
    <w:p>
      <w:pPr>
        <w:pStyle w:val="Heading2"/>
        <w:spacing w:after="120" w:before="240"/>
      </w:pPr>
      <w:r>
        <w:t xml:space="preserve">3.1 Data Source</w:t>
      </w:r>
    </w:p>
    <w:p>
      <w:pPr>
        <w:spacing w:after="160"/>
      </w:pPr>
      <w:r>
        <w:t xml:space="preserve">Air quality data was originally sourced from AQICN, but this was discontinued after the US State Department shut down its embassy air-quality monitoring in Pakistan in March 2025, which caused AQICN's local stations to go offline. The project switched to OpenWeather's Air Pollution API, which provides global coverage by latitude/longitude and has remained reliable throughout the project (Rawalpindi coordinates: 33.6007, 73.0679).</w:t>
      </w:r>
    </w:p>
    <w:p>
      <w:pPr>
        <w:spacing w:after="160"/>
      </w:pPr>
      <w:r>
        <w:t xml:space="preserve">Because OpenWeather reports pollutant concentrations on its own 1–5 scale rather than the standard 0–500 AQI scale used globally, AQI values were calculated manually from PM2.5 concentrations using the official EPA breakpoint formula.</w:t>
      </w:r>
    </w:p>
    <w:p>
      <w:pPr>
        <w:pStyle w:val="Heading2"/>
        <w:spacing w:after="120" w:before="240"/>
      </w:pPr>
      <w:r>
        <w:t xml:space="preserve">3.2 A Real Bug Found and Fixed</w:t>
      </w:r>
    </w:p>
    <w:p>
      <w:pPr>
        <w:spacing w:after="160"/>
      </w:pPr>
      <w:r>
        <w:t xml:space="preserve">During development, a boundary gap was discovered in the initial EPA breakpoint implementation (between 35.4 and 35.5), which caused any PM2.5 reading landing exactly in that gap to be incorrectly scored as AQI 500 (the maximum possible value). This was corrected by adjusting the breakpoint boundaries so every possible PM2.5 value is captured by exactly one range, with no gaps. This is a good example of the kind of subtle correctness bug that only surfaces with enough data volume — it did not appear during small-scale testing.</w:t>
      </w:r>
    </w:p>
    <w:p>
      <w:pPr>
        <w:pStyle w:val="Heading2"/>
        <w:spacing w:after="120" w:before="240"/>
      </w:pPr>
      <w:r>
        <w:t xml:space="preserve">3.3 Historical Backfill</w:t>
      </w:r>
    </w:p>
    <w:p>
      <w:pPr>
        <w:spacing w:after="160"/>
      </w:pPr>
      <w:r>
        <w:t xml:space="preserve">An early version of the project used only one year of historical data, which produced negative R² scores across every model tested (Ridge, Random Forest, and XGBoost). The root cause was that one year provides only a single example of each season, giving the models no way to learn recurring seasonal patterns. Backfilling to three years of hourly data (roughly 25,000+ rows) resolved this directly — with no other changes, 24-hour-ahead R² improved from approximately 0.09 to 0.52. This was the single most impactful fix in the entire project, and it is a useful lesson: for time-series problems with seasonal behavior, data volume across multiple cycles can matter more than model choice or tuning.</w:t>
      </w:r>
    </w:p>
    <w:p>
      <w:pPr>
        <w:pStyle w:val="Heading1"/>
        <w:spacing w:after="120" w:before="240"/>
      </w:pPr>
      <w:r>
        <w:t xml:space="preserve">4. Model Development</w:t>
      </w:r>
    </w:p>
    <w:p>
      <w:pPr>
        <w:pStyle w:val="Heading2"/>
        <w:spacing w:after="120" w:before="240"/>
      </w:pPr>
      <w:r>
        <w:t xml:space="preserve">4.1 Algorithm Selection</w:t>
      </w:r>
    </w:p>
    <w:p>
      <w:pPr>
        <w:spacing w:after="160"/>
      </w:pPr>
      <w:r>
        <w:t xml:space="preserve">Three algorithms were compared during experimentation: Ridge Regression, Random Forest, and XGBoost. Ridge Regression underperformed because AQI behavior is non-linear. XGBoost, even after tuning, did not outperform Random Forest. Random Forest, combined with three years of data and a well-engineered feature set, produced the best and most stable results, and was selected as the final model type.</w:t>
      </w:r>
    </w:p>
    <w:p>
      <w:pPr>
        <w:pStyle w:val="Heading2"/>
        <w:spacing w:after="120" w:before="240"/>
      </w:pPr>
      <w:r>
        <w:t xml:space="preserve">4.2 Feature Engineering</w:t>
      </w:r>
    </w:p>
    <w:p>
      <w:pPr>
        <w:spacing w:after="160"/>
      </w:pPr>
      <w:r>
        <w:t xml:space="preserve">In addition to the six raw pollutant readings (PM2.5, PM10, CO, NO2, O3, SO2), the following engineered features were used to give the model time-series context:</w:t>
      </w:r>
    </w:p>
    <w:p>
      <w:pPr>
        <w:pStyle w:val="ListParagraph"/>
        <w:numPr>
          <w:ilvl w:val="0"/>
          <w:numId w:val="1"/>
        </w:numPr>
        <w:spacing w:after="80"/>
      </w:pPr>
      <w:r>
        <w:t xml:space="preserve">Lag features: AQI value 24, 48, and 72 hours prior</w:t>
      </w:r>
    </w:p>
    <w:p>
      <w:pPr>
        <w:pStyle w:val="ListParagraph"/>
        <w:numPr>
          <w:ilvl w:val="0"/>
          <w:numId w:val="1"/>
        </w:numPr>
        <w:spacing w:after="80"/>
      </w:pPr>
      <w:r>
        <w:t xml:space="preserve">Rolling statistics: 24-hour rolling mean and standard deviation of AQI</w:t>
      </w:r>
    </w:p>
    <w:p>
      <w:pPr>
        <w:pStyle w:val="ListParagraph"/>
        <w:numPr>
          <w:ilvl w:val="0"/>
          <w:numId w:val="1"/>
        </w:numPr>
        <w:spacing w:after="80"/>
      </w:pPr>
      <w:r>
        <w:t xml:space="preserve">Weather trend features: 24-hour humidity change, rolling mean wind speed, and rolling sum of precipitation</w:t>
      </w:r>
    </w:p>
    <w:p>
      <w:pPr>
        <w:pStyle w:val="ListParagraph"/>
        <w:numPr>
          <w:ilvl w:val="0"/>
          <w:numId w:val="1"/>
        </w:numPr>
        <w:spacing w:after="80"/>
      </w:pPr>
      <w:r>
        <w:t xml:space="preserve">Cyclical time features: month and hour encoded as sine/cosine pairs, so the model correctly understands that December and January are adjacent, and 11pm and midnight are adjacent</w:t>
      </w:r>
    </w:p>
    <w:p>
      <w:pPr>
        <w:pStyle w:val="Heading2"/>
        <w:spacing w:after="120" w:before="240"/>
      </w:pPr>
      <w:r>
        <w:t xml:space="preserve">4.3 From a Single Model to Three Day-Specific Models</w:t>
      </w:r>
    </w:p>
    <w:p>
      <w:pPr>
        <w:spacing w:after="160"/>
      </w:pPr>
      <w:r>
        <w:t xml:space="preserve">The system originally used a single model that predicted one combined "3-day-ahead" average AQI value. This was restructured into three separate models — one predicting Day 1 (24 hours ahead), one predicting Day 2 (48 hours ahead), and one predicting Day 3 (72 hours ahead) — each trained independently using the same Random Forest configuration (100 trees, max depth 10). This change allows the dashboard to show a genuine day-by-day forecast rather than a single blended number, and makes each day's reliability visible and measurable on its own.</w:t>
      </w:r>
    </w:p>
    <w:p>
      <w:pPr>
        <w:pStyle w:val="Heading1"/>
        <w:spacing w:after="120" w:before="240"/>
      </w:pPr>
      <w:r>
        <w:t xml:space="preserve">5. Model Performance and Results</w:t>
      </w:r>
    </w:p>
    <w:p>
      <w:pPr>
        <w:spacing w:after="160"/>
      </w:pPr>
      <w:r>
        <w:t xml:space="preserve">The table below summarizes the final performance of each of the three day-specific models, evaluated on a held-out 15% test split: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2200"/>
      </w:tblGrid>
      <w:tr>
        <w:tc>
          <w:tcPr>
            <w:tcW w:type="dxa" w:w="2400"/>
            <w:shd w:fill="2C4870" w:val="clear"/>
          </w:tcPr>
          <w:p>
            <w:r>
              <w:rPr>
                <w:b/>
                <w:bCs/>
                <w:color w:val="FFFFFF"/>
              </w:rPr>
              <w:t xml:space="preserve">Model</w:t>
            </w:r>
          </w:p>
        </w:tc>
        <w:tc>
          <w:tcPr>
            <w:tcW w:type="dxa" w:w="1800"/>
            <w:shd w:fill="2C4870" w:val="clear"/>
          </w:tcPr>
          <w:p>
            <w:r>
              <w:rPr>
                <w:b/>
                <w:bCs/>
                <w:color w:val="FFFFFF"/>
              </w:rPr>
              <w:t xml:space="preserve">RMSE</w:t>
            </w:r>
          </w:p>
        </w:tc>
        <w:tc>
          <w:tcPr>
            <w:tcW w:type="dxa" w:w="1800"/>
            <w:shd w:fill="2C4870" w:val="clear"/>
          </w:tcPr>
          <w:p>
            <w:r>
              <w:rPr>
                <w:b/>
                <w:bCs/>
                <w:color w:val="FFFFFF"/>
              </w:rPr>
              <w:t xml:space="preserve">MAE</w:t>
            </w:r>
          </w:p>
        </w:tc>
        <w:tc>
          <w:tcPr>
            <w:tcW w:type="dxa" w:w="1800"/>
            <w:shd w:fill="2C4870" w:val="clear"/>
          </w:tcPr>
          <w:p>
            <w:r>
              <w:rPr>
                <w:b/>
                <w:bCs/>
                <w:color w:val="FFFFFF"/>
              </w:rPr>
              <w:t xml:space="preserve">R²</w:t>
            </w:r>
          </w:p>
        </w:tc>
        <w:tc>
          <w:tcPr>
            <w:tcW w:type="dxa" w:w="2200"/>
            <w:shd w:fill="2C4870" w:val="clear"/>
          </w:tcPr>
          <w:p>
            <w:r>
              <w:rPr>
                <w:b/>
                <w:bCs/>
                <w:color w:val="FFFFFF"/>
              </w:rPr>
              <w:t xml:space="preserve">Notes</w:t>
            </w:r>
          </w:p>
        </w:tc>
      </w:tr>
      <w:tr>
        <w:tc>
          <w:tcPr>
            <w:tcW w:type="dxa" w:w="2400"/>
          </w:tcPr>
          <w:p>
            <w:r>
              <w:rPr>
                <w:b w:val="false"/>
                <w:bCs w:val="false"/>
                <w:color w:val="000000"/>
              </w:rPr>
              <w:t xml:space="preserve">Day 1 (24h ahead)</w:t>
            </w:r>
          </w:p>
        </w:tc>
        <w:tc>
          <w:tcPr>
            <w:tcW w:type="dxa" w:w="1800"/>
          </w:tcPr>
          <w:p>
            <w:r>
              <w:rPr>
                <w:b w:val="false"/>
                <w:bCs w:val="false"/>
                <w:color w:val="000000"/>
              </w:rPr>
              <w:t xml:space="preserve">19.06</w:t>
            </w:r>
          </w:p>
        </w:tc>
        <w:tc>
          <w:tcPr>
            <w:tcW w:type="dxa" w:w="1800"/>
          </w:tcPr>
          <w:p>
            <w:r>
              <w:rPr>
                <w:b w:val="false"/>
                <w:bCs w:val="false"/>
                <w:color w:val="000000"/>
              </w:rPr>
              <w:t xml:space="preserve">15.21</w:t>
            </w:r>
          </w:p>
        </w:tc>
        <w:tc>
          <w:tcPr>
            <w:tcW w:type="dxa" w:w="1800"/>
          </w:tcPr>
          <w:p>
            <w:r>
              <w:rPr>
                <w:b w:val="false"/>
                <w:bCs w:val="false"/>
                <w:color w:val="000000"/>
              </w:rPr>
              <w:t xml:space="preserve">0.710</w:t>
            </w:r>
          </w:p>
        </w:tc>
        <w:tc>
          <w:tcPr>
            <w:tcW w:type="dxa" w:w="2200"/>
          </w:tcPr>
          <w:p>
            <w:r>
              <w:rPr>
                <w:b w:val="false"/>
                <w:bCs w:val="false"/>
                <w:color w:val="000000"/>
              </w:rPr>
              <w:t xml:space="preserve">Strong — meets mentor's ~0.7 target</w:t>
            </w:r>
          </w:p>
        </w:tc>
      </w:tr>
      <w:tr>
        <w:tc>
          <w:tcPr>
            <w:tcW w:type="dxa" w:w="2400"/>
          </w:tcPr>
          <w:p>
            <w:r>
              <w:rPr>
                <w:b w:val="false"/>
                <w:bCs w:val="false"/>
                <w:color w:val="000000"/>
              </w:rPr>
              <w:t xml:space="preserve">Day 2 (48h ahead)</w:t>
            </w:r>
          </w:p>
        </w:tc>
        <w:tc>
          <w:tcPr>
            <w:tcW w:type="dxa" w:w="1800"/>
          </w:tcPr>
          <w:p>
            <w:r>
              <w:rPr>
                <w:b w:val="false"/>
                <w:bCs w:val="false"/>
                <w:color w:val="000000"/>
              </w:rPr>
              <w:t xml:space="preserve">35.13</w:t>
            </w:r>
          </w:p>
        </w:tc>
        <w:tc>
          <w:tcPr>
            <w:tcW w:type="dxa" w:w="1800"/>
          </w:tcPr>
          <w:p>
            <w:r>
              <w:rPr>
                <w:b w:val="false"/>
                <w:bCs w:val="false"/>
                <w:color w:val="000000"/>
              </w:rPr>
              <w:t xml:space="preserve">28.32</w:t>
            </w:r>
          </w:p>
        </w:tc>
        <w:tc>
          <w:tcPr>
            <w:tcW w:type="dxa" w:w="1800"/>
          </w:tcPr>
          <w:p>
            <w:r>
              <w:rPr>
                <w:b w:val="false"/>
                <w:bCs w:val="false"/>
                <w:color w:val="000000"/>
              </w:rPr>
              <w:t xml:space="preserve">0.000</w:t>
            </w:r>
          </w:p>
        </w:tc>
        <w:tc>
          <w:tcPr>
            <w:tcW w:type="dxa" w:w="2200"/>
          </w:tcPr>
          <w:p>
            <w:r>
              <w:rPr>
                <w:b w:val="false"/>
                <w:bCs w:val="false"/>
                <w:color w:val="000000"/>
              </w:rPr>
              <w:t xml:space="preserve">Weak — near the level of predicting the average</w:t>
            </w:r>
          </w:p>
        </w:tc>
      </w:tr>
      <w:tr>
        <w:tc>
          <w:tcPr>
            <w:tcW w:type="dxa" w:w="2400"/>
          </w:tcPr>
          <w:p>
            <w:r>
              <w:rPr>
                <w:b w:val="false"/>
                <w:bCs w:val="false"/>
                <w:color w:val="000000"/>
              </w:rPr>
              <w:t xml:space="preserve">Day 3 (72h ahead)</w:t>
            </w:r>
          </w:p>
        </w:tc>
        <w:tc>
          <w:tcPr>
            <w:tcW w:type="dxa" w:w="1800"/>
          </w:tcPr>
          <w:p>
            <w:r>
              <w:rPr>
                <w:b w:val="false"/>
                <w:bCs w:val="false"/>
                <w:color w:val="000000"/>
              </w:rPr>
              <w:t xml:space="preserve">37.59</w:t>
            </w:r>
          </w:p>
        </w:tc>
        <w:tc>
          <w:tcPr>
            <w:tcW w:type="dxa" w:w="1800"/>
          </w:tcPr>
          <w:p>
            <w:r>
              <w:rPr>
                <w:b w:val="false"/>
                <w:bCs w:val="false"/>
                <w:color w:val="000000"/>
              </w:rPr>
              <w:t xml:space="preserve">31.71</w:t>
            </w:r>
          </w:p>
        </w:tc>
        <w:tc>
          <w:tcPr>
            <w:tcW w:type="dxa" w:w="1800"/>
          </w:tcPr>
          <w:p>
            <w:r>
              <w:rPr>
                <w:b w:val="false"/>
                <w:bCs w:val="false"/>
                <w:color w:val="000000"/>
              </w:rPr>
              <w:t xml:space="preserve">-0.174</w:t>
            </w:r>
          </w:p>
        </w:tc>
        <w:tc>
          <w:tcPr>
            <w:tcW w:type="dxa" w:w="2200"/>
          </w:tcPr>
          <w:p>
            <w:r>
              <w:rPr>
                <w:b w:val="false"/>
                <w:bCs w:val="false"/>
                <w:color w:val="000000"/>
              </w:rPr>
              <w:t xml:space="preserve">Weak — consistent with earlier single 72h model</w:t>
            </w:r>
          </w:p>
        </w:tc>
      </w:tr>
    </w:tbl>
    <w:p>
      <w:pPr>
        <w:spacing w:after="200"/>
      </w:pPr>
    </w:p>
    <w:p>
      <w:pPr>
        <w:spacing w:after="160"/>
      </w:pPr>
      <w:r>
        <w:t xml:space="preserve">The Day 1 model performs strongly and meets the project's target R² of approximately 0.7. Day 2 and Day 3 performance drops off substantially. This is an expected characteristic of forecasting problems, not a defect in the modeling approach: the further into the future a prediction reaches, the more time there is for unpredictable factors (sudden wind shifts, unexpected rainfall, localized events) to change outcomes.</w:t>
      </w:r>
    </w:p>
    <w:p>
      <w:pPr>
        <w:spacing w:after="160"/>
      </w:pPr>
      <w:r>
        <w:t xml:space="preserve">It is also worth noting that R² itself varies considerably by time period. Multi-period validation during experimentation showed R² ranging from about -1.98 during calm, low-variance periods, up to 0.685 during volatile, smoggy periods — where R² is a harsh metric during calm periods specifically because there is very little variance for the model to explain in the first place, not because predictions are unusually poor. Mean Absolute Error (MAE) proved to be a more stable metric across seasons, ranging roughly between 22 and 55 AQI points depending on the period. Encouragingly, model performance is best precisely during the volatile, high-pollution episodes where accurate warnings matter the most.</w:t>
      </w:r>
    </w:p>
    <w:p>
      <w:pPr>
        <w:pStyle w:val="Heading1"/>
        <w:spacing w:after="120" w:before="240"/>
      </w:pPr>
      <w:r>
        <w:t xml:space="preserve">6. Exploratory Data Analysis</w:t>
      </w:r>
    </w:p>
    <w:p>
      <w:pPr>
        <w:pStyle w:val="Heading2"/>
        <w:spacing w:after="120" w:before="240"/>
      </w:pPr>
      <w:r>
        <w:t xml:space="preserve">6.1 AQI Category Distribution</w:t>
      </w:r>
    </w:p>
    <w:p>
      <w:pPr>
        <w:spacing w:after="160"/>
      </w:pPr>
      <w:r>
        <w:t xml:space="preserve">Across all 23,071 hourly readings used in the final dataset, air quality in Rawalpindi rarely reaches "Good" levels: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tblGrid>
      <w:tr>
        <w:tc>
          <w:tcPr>
            <w:tcW w:type="dxa" w:w="4000"/>
            <w:shd w:fill="2C4870" w:val="clear"/>
          </w:tcPr>
          <w:p>
            <w:r>
              <w:rPr>
                <w:b/>
                <w:bCs/>
                <w:color w:val="FFFFFF"/>
              </w:rPr>
              <w:t xml:space="preserve">AQI Category</w:t>
            </w:r>
          </w:p>
        </w:tc>
        <w:tc>
          <w:tcPr>
            <w:tcW w:type="dxa" w:w="2000"/>
            <w:shd w:fill="2C4870" w:val="clear"/>
          </w:tcPr>
          <w:p>
            <w:r>
              <w:rPr>
                <w:b/>
                <w:bCs/>
                <w:color w:val="FFFFFF"/>
              </w:rPr>
              <w:t xml:space="preserve">Hours</w:t>
            </w:r>
          </w:p>
        </w:tc>
        <w:tc>
          <w:tcPr>
            <w:tcW w:type="dxa" w:w="2000"/>
            <w:shd w:fill="2C4870" w:val="clear"/>
          </w:tcPr>
          <w:p>
            <w:r>
              <w:rPr>
                <w:b/>
                <w:bCs/>
                <w:color w:val="FFFFFF"/>
              </w:rPr>
              <w:t xml:space="preserve">% of Data</w:t>
            </w:r>
          </w:p>
        </w:tc>
      </w:tr>
      <w:tr>
        <w:tc>
          <w:tcPr>
            <w:tcW w:type="dxa" w:w="4000"/>
          </w:tcPr>
          <w:p>
            <w:r>
              <w:rPr>
                <w:b w:val="false"/>
                <w:bCs w:val="false"/>
                <w:color w:val="000000"/>
              </w:rPr>
              <w:t xml:space="preserve">Good</w:t>
            </w:r>
          </w:p>
        </w:tc>
        <w:tc>
          <w:tcPr>
            <w:tcW w:type="dxa" w:w="2000"/>
          </w:tcPr>
          <w:p>
            <w:r>
              <w:rPr>
                <w:b w:val="false"/>
                <w:bCs w:val="false"/>
                <w:color w:val="000000"/>
              </w:rPr>
              <w:t xml:space="preserve">574</w:t>
            </w:r>
          </w:p>
        </w:tc>
        <w:tc>
          <w:tcPr>
            <w:tcW w:type="dxa" w:w="2000"/>
          </w:tcPr>
          <w:p>
            <w:r>
              <w:rPr>
                <w:b w:val="false"/>
                <w:bCs w:val="false"/>
                <w:color w:val="000000"/>
              </w:rPr>
              <w:t xml:space="preserve">2.5%</w:t>
            </w:r>
          </w:p>
        </w:tc>
      </w:tr>
      <w:tr>
        <w:tc>
          <w:tcPr>
            <w:tcW w:type="dxa" w:w="4000"/>
          </w:tcPr>
          <w:p>
            <w:r>
              <w:rPr>
                <w:b w:val="false"/>
                <w:bCs w:val="false"/>
                <w:color w:val="000000"/>
              </w:rPr>
              <w:t xml:space="preserve">Moderate</w:t>
            </w:r>
          </w:p>
        </w:tc>
        <w:tc>
          <w:tcPr>
            <w:tcW w:type="dxa" w:w="2000"/>
          </w:tcPr>
          <w:p>
            <w:r>
              <w:rPr>
                <w:b w:val="false"/>
                <w:bCs w:val="false"/>
                <w:color w:val="000000"/>
              </w:rPr>
              <w:t xml:space="preserve">5,198</w:t>
            </w:r>
          </w:p>
        </w:tc>
        <w:tc>
          <w:tcPr>
            <w:tcW w:type="dxa" w:w="2000"/>
          </w:tcPr>
          <w:p>
            <w:r>
              <w:rPr>
                <w:b w:val="false"/>
                <w:bCs w:val="false"/>
                <w:color w:val="000000"/>
              </w:rPr>
              <w:t xml:space="preserve">22.5%</w:t>
            </w:r>
          </w:p>
        </w:tc>
      </w:tr>
      <w:tr>
        <w:tc>
          <w:tcPr>
            <w:tcW w:type="dxa" w:w="4000"/>
          </w:tcPr>
          <w:p>
            <w:r>
              <w:rPr>
                <w:b w:val="false"/>
                <w:bCs w:val="false"/>
                <w:color w:val="000000"/>
              </w:rPr>
              <w:t xml:space="preserve">Unhealthy for Sensitive Groups</w:t>
            </w:r>
          </w:p>
        </w:tc>
        <w:tc>
          <w:tcPr>
            <w:tcW w:type="dxa" w:w="2000"/>
          </w:tcPr>
          <w:p>
            <w:r>
              <w:rPr>
                <w:b w:val="false"/>
                <w:bCs w:val="false"/>
                <w:color w:val="000000"/>
              </w:rPr>
              <w:t xml:space="preserve">4,740</w:t>
            </w:r>
          </w:p>
        </w:tc>
        <w:tc>
          <w:tcPr>
            <w:tcW w:type="dxa" w:w="2000"/>
          </w:tcPr>
          <w:p>
            <w:r>
              <w:rPr>
                <w:b w:val="false"/>
                <w:bCs w:val="false"/>
                <w:color w:val="000000"/>
              </w:rPr>
              <w:t xml:space="preserve">20.5%</w:t>
            </w:r>
          </w:p>
        </w:tc>
      </w:tr>
      <w:tr>
        <w:tc>
          <w:tcPr>
            <w:tcW w:type="dxa" w:w="4000"/>
          </w:tcPr>
          <w:p>
            <w:r>
              <w:rPr>
                <w:b w:val="false"/>
                <w:bCs w:val="false"/>
                <w:color w:val="000000"/>
              </w:rPr>
              <w:t xml:space="preserve">Unhealthy</w:t>
            </w:r>
          </w:p>
        </w:tc>
        <w:tc>
          <w:tcPr>
            <w:tcW w:type="dxa" w:w="2000"/>
          </w:tcPr>
          <w:p>
            <w:r>
              <w:rPr>
                <w:b w:val="false"/>
                <w:bCs w:val="false"/>
                <w:color w:val="000000"/>
              </w:rPr>
              <w:t xml:space="preserve">7,950</w:t>
            </w:r>
          </w:p>
        </w:tc>
        <w:tc>
          <w:tcPr>
            <w:tcW w:type="dxa" w:w="2000"/>
          </w:tcPr>
          <w:p>
            <w:r>
              <w:rPr>
                <w:b w:val="false"/>
                <w:bCs w:val="false"/>
                <w:color w:val="000000"/>
              </w:rPr>
              <w:t xml:space="preserve">34.5%</w:t>
            </w:r>
          </w:p>
        </w:tc>
      </w:tr>
      <w:tr>
        <w:tc>
          <w:tcPr>
            <w:tcW w:type="dxa" w:w="4000"/>
          </w:tcPr>
          <w:p>
            <w:r>
              <w:rPr>
                <w:b w:val="false"/>
                <w:bCs w:val="false"/>
                <w:color w:val="000000"/>
              </w:rPr>
              <w:t xml:space="preserve">Very Unhealthy</w:t>
            </w:r>
          </w:p>
        </w:tc>
        <w:tc>
          <w:tcPr>
            <w:tcW w:type="dxa" w:w="2000"/>
          </w:tcPr>
          <w:p>
            <w:r>
              <w:rPr>
                <w:b w:val="false"/>
                <w:bCs w:val="false"/>
                <w:color w:val="000000"/>
              </w:rPr>
              <w:t xml:space="preserve">2,423</w:t>
            </w:r>
          </w:p>
        </w:tc>
        <w:tc>
          <w:tcPr>
            <w:tcW w:type="dxa" w:w="2000"/>
          </w:tcPr>
          <w:p>
            <w:r>
              <w:rPr>
                <w:b w:val="false"/>
                <w:bCs w:val="false"/>
                <w:color w:val="000000"/>
              </w:rPr>
              <w:t xml:space="preserve">10.5%</w:t>
            </w:r>
          </w:p>
        </w:tc>
      </w:tr>
      <w:tr>
        <w:tc>
          <w:tcPr>
            <w:tcW w:type="dxa" w:w="4000"/>
          </w:tcPr>
          <w:p>
            <w:r>
              <w:rPr>
                <w:b w:val="false"/>
                <w:bCs w:val="false"/>
                <w:color w:val="000000"/>
              </w:rPr>
              <w:t xml:space="preserve">Hazardous</w:t>
            </w:r>
          </w:p>
        </w:tc>
        <w:tc>
          <w:tcPr>
            <w:tcW w:type="dxa" w:w="2000"/>
          </w:tcPr>
          <w:p>
            <w:r>
              <w:rPr>
                <w:b w:val="false"/>
                <w:bCs w:val="false"/>
                <w:color w:val="000000"/>
              </w:rPr>
              <w:t xml:space="preserve">2,186</w:t>
            </w:r>
          </w:p>
        </w:tc>
        <w:tc>
          <w:tcPr>
            <w:tcW w:type="dxa" w:w="2000"/>
          </w:tcPr>
          <w:p>
            <w:r>
              <w:rPr>
                <w:b w:val="false"/>
                <w:bCs w:val="false"/>
                <w:color w:val="000000"/>
              </w:rPr>
              <w:t xml:space="preserve">9.5%</w:t>
            </w:r>
          </w:p>
        </w:tc>
      </w:tr>
    </w:tbl>
    <w:p>
      <w:pPr>
        <w:spacing w:after="200"/>
      </w:pPr>
    </w:p>
    <w:p>
      <w:pPr>
        <w:spacing w:after="160"/>
      </w:pPr>
      <w:r>
        <w:t xml:space="preserve">Only 2.5% of all hours were categorized as "Good." Roughly 75% of all hours fell into "Unhealthy for Sensitive Groups" or worse. The overall mean AQI across the full dataset was 165.1 (median 154.0), which itself falls in the "Unhealthy" range. This underlines the practical importance of a reliable early-warning forecast system for the region.</w:t>
      </w:r>
    </w:p>
    <w:p>
      <w:pPr>
        <w:pStyle w:val="Heading2"/>
        <w:spacing w:after="120" w:before="240"/>
      </w:pPr>
      <w:r>
        <w:t xml:space="preserve">6.2 Seasonal Pattern</w:t>
      </w:r>
    </w:p>
    <w:p>
      <w:pPr>
        <w:spacing w:after="160"/>
      </w:pPr>
      <w:r>
        <w:t xml:space="preserve">Average AQI by month reveals a strong and consistent seasonal pattern: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1500"/>
      </w:tblGrid>
      <w:tr>
        <w:tc>
          <w:tcPr>
            <w:tcW w:type="dxa" w:w="2500"/>
            <w:shd w:fill="2C4870" w:val="clear"/>
          </w:tcPr>
          <w:p>
            <w:r>
              <w:rPr>
                <w:b/>
                <w:bCs/>
                <w:color w:val="FFFFFF"/>
              </w:rPr>
              <w:t xml:space="preserve">Month</w:t>
            </w:r>
          </w:p>
        </w:tc>
        <w:tc>
          <w:tcPr>
            <w:tcW w:type="dxa" w:w="1500"/>
            <w:shd w:fill="2C4870" w:val="clear"/>
          </w:tcPr>
          <w:p>
            <w:r>
              <w:rPr>
                <w:b/>
                <w:bCs/>
                <w:color w:val="FFFFFF"/>
              </w:rPr>
              <w:t xml:space="preserve">Avg AQI</w:t>
            </w:r>
          </w:p>
        </w:tc>
        <w:tc>
          <w:tcPr>
            <w:tcW w:type="dxa" w:w="2500"/>
            <w:shd w:fill="2C4870" w:val="clear"/>
          </w:tcPr>
          <w:p>
            <w:r>
              <w:rPr>
                <w:b/>
                <w:bCs/>
                <w:color w:val="FFFFFF"/>
              </w:rPr>
              <w:t xml:space="preserve">Month</w:t>
            </w:r>
          </w:p>
        </w:tc>
        <w:tc>
          <w:tcPr>
            <w:tcW w:type="dxa" w:w="1500"/>
            <w:shd w:fill="2C4870" w:val="clear"/>
          </w:tcPr>
          <w:p>
            <w:r>
              <w:rPr>
                <w:b/>
                <w:bCs/>
                <w:color w:val="FFFFFF"/>
              </w:rPr>
              <w:t xml:space="preserve">Avg AQI</w:t>
            </w:r>
          </w:p>
        </w:tc>
      </w:tr>
      <w:tr>
        <w:tc>
          <w:tcPr>
            <w:tcW w:type="dxa" w:w="2500"/>
          </w:tcPr>
          <w:p>
            <w:r>
              <w:rPr>
                <w:b w:val="false"/>
                <w:bCs w:val="false"/>
                <w:color w:val="000000"/>
              </w:rPr>
              <w:t xml:space="preserve">January</w:t>
            </w:r>
          </w:p>
        </w:tc>
        <w:tc>
          <w:tcPr>
            <w:tcW w:type="dxa" w:w="1500"/>
          </w:tcPr>
          <w:p>
            <w:r>
              <w:rPr>
                <w:b w:val="false"/>
                <w:bCs w:val="false"/>
                <w:color w:val="000000"/>
              </w:rPr>
              <w:t xml:space="preserve">300.0</w:t>
            </w:r>
          </w:p>
        </w:tc>
        <w:tc>
          <w:tcPr>
            <w:tcW w:type="dxa" w:w="2500"/>
          </w:tcPr>
          <w:p>
            <w:r>
              <w:rPr>
                <w:b w:val="false"/>
                <w:bCs w:val="false"/>
                <w:color w:val="000000"/>
              </w:rPr>
              <w:t xml:space="preserve">July</w:t>
            </w:r>
          </w:p>
        </w:tc>
        <w:tc>
          <w:tcPr>
            <w:tcW w:type="dxa" w:w="1500"/>
          </w:tcPr>
          <w:p>
            <w:r>
              <w:rPr>
                <w:b w:val="false"/>
                <w:bCs w:val="false"/>
                <w:color w:val="000000"/>
              </w:rPr>
              <w:t xml:space="preserve">124.3</w:t>
            </w:r>
          </w:p>
        </w:tc>
      </w:tr>
      <w:tr>
        <w:tc>
          <w:tcPr>
            <w:tcW w:type="dxa" w:w="2500"/>
          </w:tcPr>
          <w:p>
            <w:r>
              <w:rPr>
                <w:b w:val="false"/>
                <w:bCs w:val="false"/>
                <w:color w:val="000000"/>
              </w:rPr>
              <w:t xml:space="preserve">February</w:t>
            </w:r>
          </w:p>
        </w:tc>
        <w:tc>
          <w:tcPr>
            <w:tcW w:type="dxa" w:w="1500"/>
          </w:tcPr>
          <w:p>
            <w:r>
              <w:rPr>
                <w:b w:val="false"/>
                <w:bCs w:val="false"/>
                <w:color w:val="000000"/>
              </w:rPr>
              <w:t xml:space="preserve">175.8</w:t>
            </w:r>
          </w:p>
        </w:tc>
        <w:tc>
          <w:tcPr>
            <w:tcW w:type="dxa" w:w="2500"/>
          </w:tcPr>
          <w:p>
            <w:r>
              <w:rPr>
                <w:b w:val="false"/>
                <w:bCs w:val="false"/>
                <w:color w:val="000000"/>
              </w:rPr>
              <w:t xml:space="preserve">August</w:t>
            </w:r>
          </w:p>
        </w:tc>
        <w:tc>
          <w:tcPr>
            <w:tcW w:type="dxa" w:w="1500"/>
          </w:tcPr>
          <w:p>
            <w:r>
              <w:rPr>
                <w:b w:val="false"/>
                <w:bCs w:val="false"/>
                <w:color w:val="000000"/>
              </w:rPr>
              <w:t xml:space="preserve">119.2</w:t>
            </w:r>
          </w:p>
        </w:tc>
      </w:tr>
      <w:tr>
        <w:tc>
          <w:tcPr>
            <w:tcW w:type="dxa" w:w="2500"/>
          </w:tcPr>
          <w:p>
            <w:r>
              <w:rPr>
                <w:b w:val="false"/>
                <w:bCs w:val="false"/>
                <w:color w:val="000000"/>
              </w:rPr>
              <w:t xml:space="preserve">March</w:t>
            </w:r>
          </w:p>
        </w:tc>
        <w:tc>
          <w:tcPr>
            <w:tcW w:type="dxa" w:w="1500"/>
          </w:tcPr>
          <w:p>
            <w:r>
              <w:rPr>
                <w:b w:val="false"/>
                <w:bCs w:val="false"/>
                <w:color w:val="000000"/>
              </w:rPr>
              <w:t xml:space="preserve">127.7</w:t>
            </w:r>
          </w:p>
        </w:tc>
        <w:tc>
          <w:tcPr>
            <w:tcW w:type="dxa" w:w="2500"/>
          </w:tcPr>
          <w:p>
            <w:r>
              <w:rPr>
                <w:b w:val="false"/>
                <w:bCs w:val="false"/>
                <w:color w:val="000000"/>
              </w:rPr>
              <w:t xml:space="preserve">September</w:t>
            </w:r>
          </w:p>
        </w:tc>
        <w:tc>
          <w:tcPr>
            <w:tcW w:type="dxa" w:w="1500"/>
          </w:tcPr>
          <w:p>
            <w:r>
              <w:rPr>
                <w:b w:val="false"/>
                <w:bCs w:val="false"/>
                <w:color w:val="000000"/>
              </w:rPr>
              <w:t xml:space="preserve">144.6</w:t>
            </w:r>
          </w:p>
        </w:tc>
      </w:tr>
      <w:tr>
        <w:tc>
          <w:tcPr>
            <w:tcW w:type="dxa" w:w="2500"/>
          </w:tcPr>
          <w:p>
            <w:r>
              <w:rPr>
                <w:b w:val="false"/>
                <w:bCs w:val="false"/>
                <w:color w:val="000000"/>
              </w:rPr>
              <w:t xml:space="preserve">April</w:t>
            </w:r>
          </w:p>
        </w:tc>
        <w:tc>
          <w:tcPr>
            <w:tcW w:type="dxa" w:w="1500"/>
          </w:tcPr>
          <w:p>
            <w:r>
              <w:rPr>
                <w:b w:val="false"/>
                <w:bCs w:val="false"/>
                <w:color w:val="000000"/>
              </w:rPr>
              <w:t xml:space="preserve">91.2</w:t>
            </w:r>
          </w:p>
        </w:tc>
        <w:tc>
          <w:tcPr>
            <w:tcW w:type="dxa" w:w="2500"/>
          </w:tcPr>
          <w:p>
            <w:r>
              <w:rPr>
                <w:b w:val="false"/>
                <w:bCs w:val="false"/>
                <w:color w:val="000000"/>
              </w:rPr>
              <w:t xml:space="preserve">October</w:t>
            </w:r>
          </w:p>
        </w:tc>
        <w:tc>
          <w:tcPr>
            <w:tcW w:type="dxa" w:w="1500"/>
          </w:tcPr>
          <w:p>
            <w:r>
              <w:rPr>
                <w:b w:val="false"/>
                <w:bCs w:val="false"/>
                <w:color w:val="000000"/>
              </w:rPr>
              <w:t xml:space="preserve">158.4</w:t>
            </w:r>
          </w:p>
        </w:tc>
      </w:tr>
      <w:tr>
        <w:tc>
          <w:tcPr>
            <w:tcW w:type="dxa" w:w="2500"/>
          </w:tcPr>
          <w:p>
            <w:r>
              <w:rPr>
                <w:b w:val="false"/>
                <w:bCs w:val="false"/>
                <w:color w:val="000000"/>
              </w:rPr>
              <w:t xml:space="preserve">May</w:t>
            </w:r>
          </w:p>
        </w:tc>
        <w:tc>
          <w:tcPr>
            <w:tcW w:type="dxa" w:w="1500"/>
          </w:tcPr>
          <w:p>
            <w:r>
              <w:rPr>
                <w:b w:val="false"/>
                <w:bCs w:val="false"/>
                <w:color w:val="000000"/>
              </w:rPr>
              <w:t xml:space="preserve">110.8</w:t>
            </w:r>
          </w:p>
        </w:tc>
        <w:tc>
          <w:tcPr>
            <w:tcW w:type="dxa" w:w="2500"/>
          </w:tcPr>
          <w:p>
            <w:r>
              <w:rPr>
                <w:b w:val="false"/>
                <w:bCs w:val="false"/>
                <w:color w:val="000000"/>
              </w:rPr>
              <w:t xml:space="preserve">November</w:t>
            </w:r>
          </w:p>
        </w:tc>
        <w:tc>
          <w:tcPr>
            <w:tcW w:type="dxa" w:w="1500"/>
          </w:tcPr>
          <w:p>
            <w:r>
              <w:rPr>
                <w:b w:val="false"/>
                <w:bCs w:val="false"/>
                <w:color w:val="000000"/>
              </w:rPr>
              <w:t xml:space="preserve">221.5</w:t>
            </w:r>
          </w:p>
        </w:tc>
      </w:tr>
      <w:tr>
        <w:tc>
          <w:tcPr>
            <w:tcW w:type="dxa" w:w="2500"/>
          </w:tcPr>
          <w:p>
            <w:r>
              <w:rPr>
                <w:b w:val="false"/>
                <w:bCs w:val="false"/>
                <w:color w:val="000000"/>
              </w:rPr>
              <w:t xml:space="preserve">June</w:t>
            </w:r>
          </w:p>
        </w:tc>
        <w:tc>
          <w:tcPr>
            <w:tcW w:type="dxa" w:w="1500"/>
          </w:tcPr>
          <w:p>
            <w:r>
              <w:rPr>
                <w:b w:val="false"/>
                <w:bCs w:val="false"/>
                <w:color w:val="000000"/>
              </w:rPr>
              <w:t xml:space="preserve">118.4</w:t>
            </w:r>
          </w:p>
        </w:tc>
        <w:tc>
          <w:tcPr>
            <w:tcW w:type="dxa" w:w="2500"/>
          </w:tcPr>
          <w:p>
            <w:r>
              <w:rPr>
                <w:b w:val="false"/>
                <w:bCs w:val="false"/>
                <w:color w:val="000000"/>
              </w:rPr>
              <w:t xml:space="preserve">December</w:t>
            </w:r>
          </w:p>
        </w:tc>
        <w:tc>
          <w:tcPr>
            <w:tcW w:type="dxa" w:w="1500"/>
          </w:tcPr>
          <w:p>
            <w:r>
              <w:rPr>
                <w:b w:val="false"/>
                <w:bCs w:val="false"/>
                <w:color w:val="000000"/>
              </w:rPr>
              <w:t xml:space="preserve">266.9</w:t>
            </w:r>
          </w:p>
        </w:tc>
      </w:tr>
    </w:tbl>
    <w:p>
      <w:pPr>
        <w:spacing w:after="200"/>
      </w:pPr>
    </w:p>
    <w:p>
      <w:pPr>
        <w:spacing w:after="160"/>
      </w:pPr>
      <w:r>
        <w:t xml:space="preserve">Winter months are dramatically worse than spring and summer. January averages 300 (Hazardous), while April — the cleanest month — averages only 91.2, a difference of roughly 3.3x. This matches the well-documented winter smog pattern in the Islamabad-Rawalpindi region, driven by temperature inversions that trap pollution close to the ground, combined with regional crop-residue burning in the surrounding Punjab area during the October-November period. This seasonal pattern also explains why model accuracy (R²) varies so much by test period: winter's larger swings in AQI are easier for the model to explain than summer's relatively flat, stable conditions.</w:t>
      </w:r>
    </w:p>
    <w:p>
      <w:pPr>
        <w:pStyle w:val="Heading2"/>
        <w:spacing w:after="120" w:before="240"/>
      </w:pPr>
      <w:r>
        <w:t xml:space="preserve">6.3 Correlation with AQI</w:t>
      </w:r>
    </w:p>
    <w:p>
      <w:pPr>
        <w:spacing w:after="160"/>
      </w:pPr>
      <w:r>
        <w:t xml:space="preserve">The correlation of each raw pollutant and weather variable with AQI is shown below:</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tblGrid>
      <w:tr>
        <w:tc>
          <w:tcPr>
            <w:tcW w:type="dxa" w:w="3000"/>
            <w:shd w:fill="2C4870" w:val="clear"/>
          </w:tcPr>
          <w:p>
            <w:r>
              <w:rPr>
                <w:b/>
                <w:bCs/>
                <w:color w:val="FFFFFF"/>
              </w:rPr>
              <w:t xml:space="preserve">Variable</w:t>
            </w:r>
          </w:p>
        </w:tc>
        <w:tc>
          <w:tcPr>
            <w:tcW w:type="dxa" w:w="2000"/>
            <w:shd w:fill="2C4870" w:val="clear"/>
          </w:tcPr>
          <w:p>
            <w:r>
              <w:rPr>
                <w:b/>
                <w:bCs/>
                <w:color w:val="FFFFFF"/>
              </w:rPr>
              <w:t xml:space="preserve">Correlation with AQI</w:t>
            </w:r>
          </w:p>
        </w:tc>
      </w:tr>
      <w:tr>
        <w:tc>
          <w:tcPr>
            <w:tcW w:type="dxa" w:w="3000"/>
          </w:tcPr>
          <w:p>
            <w:r>
              <w:rPr>
                <w:b w:val="false"/>
                <w:bCs w:val="false"/>
                <w:color w:val="000000"/>
              </w:rPr>
              <w:t xml:space="preserve">PM2.5</w:t>
            </w:r>
          </w:p>
        </w:tc>
        <w:tc>
          <w:tcPr>
            <w:tcW w:type="dxa" w:w="2000"/>
          </w:tcPr>
          <w:p>
            <w:r>
              <w:rPr>
                <w:b w:val="false"/>
                <w:bCs w:val="false"/>
                <w:color w:val="000000"/>
              </w:rPr>
              <w:t xml:space="preserve">0.980</w:t>
            </w:r>
          </w:p>
        </w:tc>
      </w:tr>
      <w:tr>
        <w:tc>
          <w:tcPr>
            <w:tcW w:type="dxa" w:w="3000"/>
          </w:tcPr>
          <w:p>
            <w:r>
              <w:rPr>
                <w:b w:val="false"/>
                <w:bCs w:val="false"/>
                <w:color w:val="000000"/>
              </w:rPr>
              <w:t xml:space="preserve">PM10</w:t>
            </w:r>
          </w:p>
        </w:tc>
        <w:tc>
          <w:tcPr>
            <w:tcW w:type="dxa" w:w="2000"/>
          </w:tcPr>
          <w:p>
            <w:r>
              <w:rPr>
                <w:b w:val="false"/>
                <w:bCs w:val="false"/>
                <w:color w:val="000000"/>
              </w:rPr>
              <w:t xml:space="preserve">0.849</w:t>
            </w:r>
          </w:p>
        </w:tc>
      </w:tr>
      <w:tr>
        <w:tc>
          <w:tcPr>
            <w:tcW w:type="dxa" w:w="3000"/>
          </w:tcPr>
          <w:p>
            <w:r>
              <w:rPr>
                <w:b w:val="false"/>
                <w:bCs w:val="false"/>
                <w:color w:val="000000"/>
              </w:rPr>
              <w:t xml:space="preserve">CO</w:t>
            </w:r>
          </w:p>
        </w:tc>
        <w:tc>
          <w:tcPr>
            <w:tcW w:type="dxa" w:w="2000"/>
          </w:tcPr>
          <w:p>
            <w:r>
              <w:rPr>
                <w:b w:val="false"/>
                <w:bCs w:val="false"/>
                <w:color w:val="000000"/>
              </w:rPr>
              <w:t xml:space="preserve">0.749</w:t>
            </w:r>
          </w:p>
        </w:tc>
      </w:tr>
      <w:tr>
        <w:tc>
          <w:tcPr>
            <w:tcW w:type="dxa" w:w="3000"/>
          </w:tcPr>
          <w:p>
            <w:r>
              <w:rPr>
                <w:b w:val="false"/>
                <w:bCs w:val="false"/>
                <w:color w:val="000000"/>
              </w:rPr>
              <w:t xml:space="preserve">SO2</w:t>
            </w:r>
          </w:p>
        </w:tc>
        <w:tc>
          <w:tcPr>
            <w:tcW w:type="dxa" w:w="2000"/>
          </w:tcPr>
          <w:p>
            <w:r>
              <w:rPr>
                <w:b w:val="false"/>
                <w:bCs w:val="false"/>
                <w:color w:val="000000"/>
              </w:rPr>
              <w:t xml:space="preserve">0.533</w:t>
            </w:r>
          </w:p>
        </w:tc>
      </w:tr>
      <w:tr>
        <w:tc>
          <w:tcPr>
            <w:tcW w:type="dxa" w:w="3000"/>
          </w:tcPr>
          <w:p>
            <w:r>
              <w:rPr>
                <w:b w:val="false"/>
                <w:bCs w:val="false"/>
                <w:color w:val="000000"/>
              </w:rPr>
              <w:t xml:space="preserve">NO2</w:t>
            </w:r>
          </w:p>
        </w:tc>
        <w:tc>
          <w:tcPr>
            <w:tcW w:type="dxa" w:w="2000"/>
          </w:tcPr>
          <w:p>
            <w:r>
              <w:rPr>
                <w:b w:val="false"/>
                <w:bCs w:val="false"/>
                <w:color w:val="000000"/>
              </w:rPr>
              <w:t xml:space="preserve">0.321</w:t>
            </w:r>
          </w:p>
        </w:tc>
      </w:tr>
      <w:tr>
        <w:tc>
          <w:tcPr>
            <w:tcW w:type="dxa" w:w="3000"/>
          </w:tcPr>
          <w:p>
            <w:r>
              <w:rPr>
                <w:b w:val="false"/>
                <w:bCs w:val="false"/>
                <w:color w:val="000000"/>
              </w:rPr>
              <w:t xml:space="preserve">Humidity</w:t>
            </w:r>
          </w:p>
        </w:tc>
        <w:tc>
          <w:tcPr>
            <w:tcW w:type="dxa" w:w="2000"/>
          </w:tcPr>
          <w:p>
            <w:r>
              <w:rPr>
                <w:b w:val="false"/>
                <w:bCs w:val="false"/>
                <w:color w:val="000000"/>
              </w:rPr>
              <w:t xml:space="preserve">0.239</w:t>
            </w:r>
          </w:p>
        </w:tc>
      </w:tr>
      <w:tr>
        <w:tc>
          <w:tcPr>
            <w:tcW w:type="dxa" w:w="3000"/>
          </w:tcPr>
          <w:p>
            <w:r>
              <w:rPr>
                <w:b w:val="false"/>
                <w:bCs w:val="false"/>
                <w:color w:val="000000"/>
              </w:rPr>
              <w:t xml:space="preserve">Precipitation</w:t>
            </w:r>
          </w:p>
        </w:tc>
        <w:tc>
          <w:tcPr>
            <w:tcW w:type="dxa" w:w="2000"/>
          </w:tcPr>
          <w:p>
            <w:r>
              <w:rPr>
                <w:b w:val="false"/>
                <w:bCs w:val="false"/>
                <w:color w:val="000000"/>
              </w:rPr>
              <w:t xml:space="preserve">-0.097</w:t>
            </w:r>
          </w:p>
        </w:tc>
      </w:tr>
      <w:tr>
        <w:tc>
          <w:tcPr>
            <w:tcW w:type="dxa" w:w="3000"/>
          </w:tcPr>
          <w:p>
            <w:r>
              <w:rPr>
                <w:b w:val="false"/>
                <w:bCs w:val="false"/>
                <w:color w:val="000000"/>
              </w:rPr>
              <w:t xml:space="preserve">Wind Speed</w:t>
            </w:r>
          </w:p>
        </w:tc>
        <w:tc>
          <w:tcPr>
            <w:tcW w:type="dxa" w:w="2000"/>
          </w:tcPr>
          <w:p>
            <w:r>
              <w:rPr>
                <w:b w:val="false"/>
                <w:bCs w:val="false"/>
                <w:color w:val="000000"/>
              </w:rPr>
              <w:t xml:space="preserve">-0.258</w:t>
            </w:r>
          </w:p>
        </w:tc>
      </w:tr>
      <w:tr>
        <w:tc>
          <w:tcPr>
            <w:tcW w:type="dxa" w:w="3000"/>
          </w:tcPr>
          <w:p>
            <w:r>
              <w:rPr>
                <w:b w:val="false"/>
                <w:bCs w:val="false"/>
                <w:color w:val="000000"/>
              </w:rPr>
              <w:t xml:space="preserve">O3 (Ozone)</w:t>
            </w:r>
          </w:p>
        </w:tc>
        <w:tc>
          <w:tcPr>
            <w:tcW w:type="dxa" w:w="2000"/>
          </w:tcPr>
          <w:p>
            <w:r>
              <w:rPr>
                <w:b w:val="false"/>
                <w:bCs w:val="false"/>
                <w:color w:val="000000"/>
              </w:rPr>
              <w:t xml:space="preserve">-0.389</w:t>
            </w:r>
          </w:p>
        </w:tc>
      </w:tr>
      <w:tr>
        <w:tc>
          <w:tcPr>
            <w:tcW w:type="dxa" w:w="3000"/>
          </w:tcPr>
          <w:p>
            <w:r>
              <w:rPr>
                <w:b w:val="false"/>
                <w:bCs w:val="false"/>
                <w:color w:val="000000"/>
              </w:rPr>
              <w:t xml:space="preserve">Temperature</w:t>
            </w:r>
          </w:p>
        </w:tc>
        <w:tc>
          <w:tcPr>
            <w:tcW w:type="dxa" w:w="2000"/>
          </w:tcPr>
          <w:p>
            <w:r>
              <w:rPr>
                <w:b w:val="false"/>
                <w:bCs w:val="false"/>
                <w:color w:val="000000"/>
              </w:rPr>
              <w:t xml:space="preserve">-0.568</w:t>
            </w:r>
          </w:p>
        </w:tc>
      </w:tr>
    </w:tbl>
    <w:p>
      <w:pPr>
        <w:spacing w:after="200"/>
      </w:pPr>
    </w:p>
    <w:p>
      <w:pPr>
        <w:spacing w:after="160"/>
      </w:pPr>
      <w:r>
        <w:t xml:space="preserve">PM2.5 correlates almost perfectly with AQI (0.980), which is expected since AQI is calculated directly from PM2.5 — this also served as a useful sanity check that the AQI calculation function behaves correctly across the full dataset. PM10, CO, and SO2 (all combustion/particulate-related pollutants) show strong positive correlation, consistent with a smog-and-burning-driven pollution profile. Temperature shows a notably strong negative correlation (-0.568), directly reflecting the winter-inversion pattern described above. Wind speed and precipitation are both negatively correlated, consistent with wind dispersing pollutants and rain washing them out of the air.</w:t>
      </w:r>
    </w:p>
    <w:p>
      <w:pPr>
        <w:pStyle w:val="Heading1"/>
        <w:spacing w:after="120" w:before="240"/>
      </w:pPr>
      <w:r>
        <w:t xml:space="preserve">7. Model Explainability (SHAP)</w:t>
      </w:r>
    </w:p>
    <w:p>
      <w:pPr>
        <w:spacing w:after="160"/>
      </w:pPr>
      <w:r>
        <w:t xml:space="preserve">To understand what the strongest model (Day 1) is actually learning, SHAP (SHapley Additive exPlanations) was used to rank features by their average impact on individual predictions. Day 1 was chosen for this analysis since it is the only model with strong enough performance (R² 0.710) for its internal reasoning to be meaningfully interpreted — attempting to explain a near-zero or negative R² model would mostly be interpreting noise.</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tblGrid>
      <w:tr>
        <w:tc>
          <w:tcPr>
            <w:tcW w:type="dxa" w:w="3200"/>
            <w:shd w:fill="2C4870" w:val="clear"/>
          </w:tcPr>
          <w:p>
            <w:r>
              <w:rPr>
                <w:b/>
                <w:bCs/>
                <w:color w:val="FFFFFF"/>
              </w:rPr>
              <w:t xml:space="preserve">Feature</w:t>
            </w:r>
          </w:p>
        </w:tc>
        <w:tc>
          <w:tcPr>
            <w:tcW w:type="dxa" w:w="2400"/>
            <w:shd w:fill="2C4870" w:val="clear"/>
          </w:tcPr>
          <w:p>
            <w:r>
              <w:rPr>
                <w:b/>
                <w:bCs/>
                <w:color w:val="FFFFFF"/>
              </w:rPr>
              <w:t xml:space="preserve">Avg SHAP Impact</w:t>
            </w:r>
          </w:p>
        </w:tc>
      </w:tr>
      <w:tr>
        <w:tc>
          <w:tcPr>
            <w:tcW w:type="dxa" w:w="3200"/>
          </w:tcPr>
          <w:p>
            <w:r>
              <w:rPr>
                <w:b w:val="false"/>
                <w:bCs w:val="false"/>
                <w:color w:val="000000"/>
              </w:rPr>
              <w:t xml:space="preserve">aqi_rolling_mean_24h</w:t>
            </w:r>
          </w:p>
        </w:tc>
        <w:tc>
          <w:tcPr>
            <w:tcW w:type="dxa" w:w="2400"/>
          </w:tcPr>
          <w:p>
            <w:r>
              <w:rPr>
                <w:b w:val="false"/>
                <w:bCs w:val="false"/>
                <w:color w:val="000000"/>
              </w:rPr>
              <w:t xml:space="preserve">46.01</w:t>
            </w:r>
          </w:p>
        </w:tc>
      </w:tr>
      <w:tr>
        <w:tc>
          <w:tcPr>
            <w:tcW w:type="dxa" w:w="3200"/>
          </w:tcPr>
          <w:p>
            <w:r>
              <w:rPr>
                <w:b w:val="false"/>
                <w:bCs w:val="false"/>
                <w:color w:val="000000"/>
              </w:rPr>
              <w:t xml:space="preserve">pm2_5</w:t>
            </w:r>
          </w:p>
        </w:tc>
        <w:tc>
          <w:tcPr>
            <w:tcW w:type="dxa" w:w="2400"/>
          </w:tcPr>
          <w:p>
            <w:r>
              <w:rPr>
                <w:b w:val="false"/>
                <w:bCs w:val="false"/>
                <w:color w:val="000000"/>
              </w:rPr>
              <w:t xml:space="preserve">8.47</w:t>
            </w:r>
          </w:p>
        </w:tc>
      </w:tr>
      <w:tr>
        <w:tc>
          <w:tcPr>
            <w:tcW w:type="dxa" w:w="3200"/>
          </w:tcPr>
          <w:p>
            <w:r>
              <w:rPr>
                <w:b w:val="false"/>
                <w:bCs w:val="false"/>
                <w:color w:val="000000"/>
              </w:rPr>
              <w:t xml:space="preserve">precipitation_sum_24h</w:t>
            </w:r>
          </w:p>
        </w:tc>
        <w:tc>
          <w:tcPr>
            <w:tcW w:type="dxa" w:w="2400"/>
          </w:tcPr>
          <w:p>
            <w:r>
              <w:rPr>
                <w:b w:val="false"/>
                <w:bCs w:val="false"/>
                <w:color w:val="000000"/>
              </w:rPr>
              <w:t xml:space="preserve">7.08</w:t>
            </w:r>
          </w:p>
        </w:tc>
      </w:tr>
      <w:tr>
        <w:tc>
          <w:tcPr>
            <w:tcW w:type="dxa" w:w="3200"/>
          </w:tcPr>
          <w:p>
            <w:r>
              <w:rPr>
                <w:b w:val="false"/>
                <w:bCs w:val="false"/>
                <w:color w:val="000000"/>
              </w:rPr>
              <w:t xml:space="preserve">month_cos</w:t>
            </w:r>
          </w:p>
        </w:tc>
        <w:tc>
          <w:tcPr>
            <w:tcW w:type="dxa" w:w="2400"/>
          </w:tcPr>
          <w:p>
            <w:r>
              <w:rPr>
                <w:b w:val="false"/>
                <w:bCs w:val="false"/>
                <w:color w:val="000000"/>
              </w:rPr>
              <w:t xml:space="preserve">5.91</w:t>
            </w:r>
          </w:p>
        </w:tc>
      </w:tr>
      <w:tr>
        <w:tc>
          <w:tcPr>
            <w:tcW w:type="dxa" w:w="3200"/>
          </w:tcPr>
          <w:p>
            <w:r>
              <w:rPr>
                <w:b w:val="false"/>
                <w:bCs w:val="false"/>
                <w:color w:val="000000"/>
              </w:rPr>
              <w:t xml:space="preserve">day_of_week</w:t>
            </w:r>
          </w:p>
        </w:tc>
        <w:tc>
          <w:tcPr>
            <w:tcW w:type="dxa" w:w="2400"/>
          </w:tcPr>
          <w:p>
            <w:r>
              <w:rPr>
                <w:b w:val="false"/>
                <w:bCs w:val="false"/>
                <w:color w:val="000000"/>
              </w:rPr>
              <w:t xml:space="preserve">1.80</w:t>
            </w:r>
          </w:p>
        </w:tc>
      </w:tr>
      <w:tr>
        <w:tc>
          <w:tcPr>
            <w:tcW w:type="dxa" w:w="3200"/>
          </w:tcPr>
          <w:p>
            <w:r>
              <w:rPr>
                <w:b w:val="false"/>
                <w:bCs w:val="false"/>
                <w:color w:val="000000"/>
              </w:rPr>
              <w:t xml:space="preserve">so2</w:t>
            </w:r>
          </w:p>
        </w:tc>
        <w:tc>
          <w:tcPr>
            <w:tcW w:type="dxa" w:w="2400"/>
          </w:tcPr>
          <w:p>
            <w:r>
              <w:rPr>
                <w:b w:val="false"/>
                <w:bCs w:val="false"/>
                <w:color w:val="000000"/>
              </w:rPr>
              <w:t xml:space="preserve">1.57</w:t>
            </w:r>
          </w:p>
        </w:tc>
      </w:tr>
      <w:tr>
        <w:tc>
          <w:tcPr>
            <w:tcW w:type="dxa" w:w="3200"/>
          </w:tcPr>
          <w:p>
            <w:r>
              <w:rPr>
                <w:b w:val="false"/>
                <w:bCs w:val="false"/>
                <w:color w:val="000000"/>
              </w:rPr>
              <w:t xml:space="preserve">pm10</w:t>
            </w:r>
          </w:p>
        </w:tc>
        <w:tc>
          <w:tcPr>
            <w:tcW w:type="dxa" w:w="2400"/>
          </w:tcPr>
          <w:p>
            <w:r>
              <w:rPr>
                <w:b w:val="false"/>
                <w:bCs w:val="false"/>
                <w:color w:val="000000"/>
              </w:rPr>
              <w:t xml:space="preserve">1.46</w:t>
            </w:r>
          </w:p>
        </w:tc>
      </w:tr>
      <w:tr>
        <w:tc>
          <w:tcPr>
            <w:tcW w:type="dxa" w:w="3200"/>
          </w:tcPr>
          <w:p>
            <w:r>
              <w:rPr>
                <w:b w:val="false"/>
                <w:bCs w:val="false"/>
                <w:color w:val="000000"/>
              </w:rPr>
              <w:t xml:space="preserve">wind_speed_rolling_mean_24h</w:t>
            </w:r>
          </w:p>
        </w:tc>
        <w:tc>
          <w:tcPr>
            <w:tcW w:type="dxa" w:w="2400"/>
          </w:tcPr>
          <w:p>
            <w:r>
              <w:rPr>
                <w:b w:val="false"/>
                <w:bCs w:val="false"/>
                <w:color w:val="000000"/>
              </w:rPr>
              <w:t xml:space="preserve">1.32</w:t>
            </w:r>
          </w:p>
        </w:tc>
      </w:tr>
      <w:tr>
        <w:tc>
          <w:tcPr>
            <w:tcW w:type="dxa" w:w="3200"/>
          </w:tcPr>
          <w:p>
            <w:r>
              <w:rPr>
                <w:b w:val="false"/>
                <w:bCs w:val="false"/>
                <w:color w:val="000000"/>
              </w:rPr>
              <w:t xml:space="preserve">aqi_rolling_std_24h</w:t>
            </w:r>
          </w:p>
        </w:tc>
        <w:tc>
          <w:tcPr>
            <w:tcW w:type="dxa" w:w="2400"/>
          </w:tcPr>
          <w:p>
            <w:r>
              <w:rPr>
                <w:b w:val="false"/>
                <w:bCs w:val="false"/>
                <w:color w:val="000000"/>
              </w:rPr>
              <w:t xml:space="preserve">1.26</w:t>
            </w:r>
          </w:p>
        </w:tc>
      </w:tr>
      <w:tr>
        <w:tc>
          <w:tcPr>
            <w:tcW w:type="dxa" w:w="3200"/>
          </w:tcPr>
          <w:p>
            <w:r>
              <w:rPr>
                <w:b w:val="false"/>
                <w:bCs w:val="false"/>
                <w:color w:val="000000"/>
              </w:rPr>
              <w:t xml:space="preserve">temperature</w:t>
            </w:r>
          </w:p>
        </w:tc>
        <w:tc>
          <w:tcPr>
            <w:tcW w:type="dxa" w:w="2400"/>
          </w:tcPr>
          <w:p>
            <w:r>
              <w:rPr>
                <w:b w:val="false"/>
                <w:bCs w:val="false"/>
                <w:color w:val="000000"/>
              </w:rPr>
              <w:t xml:space="preserve">0.91</w:t>
            </w:r>
          </w:p>
        </w:tc>
      </w:tr>
    </w:tbl>
    <w:p>
      <w:pPr>
        <w:spacing w:after="200"/>
      </w:pPr>
    </w:p>
    <w:p>
      <w:pPr>
        <w:spacing w:after="160"/>
      </w:pPr>
      <w:r>
        <w:t xml:space="preserve">The 24-hour rolling mean of AQI dominates the model's predictions by a wide margin, over five times the impact of the next-ranked feature. This reflects a real, physically sensible pattern: air pollution levels tend to persist over short timeframes rather than change abruptly, so recent AQI history is the strongest available signal for tomorrow's AQI. Current PM2.5 ranks second, which is expected given its near-perfect correlation with AQI itself.</w:t>
      </w:r>
    </w:p>
    <w:p>
      <w:pPr>
        <w:spacing w:after="160"/>
      </w:pPr>
      <w:r>
        <w:t xml:space="preserve">Notably, 24-hour rainfall (precipitation_sum_24h) ranks third, independently confirming the negative correlation with AQI found in the exploratory data analysis (Section 6.3) — rain physically removes particulates from the air, a process known as wet deposition. The month_cos feature ranking fourth reflects the model picking up on the seasonal pattern documented in Section 6.2. The consistency between the SHAP results and the EDA findings — particularly around precipitation and seasonality — is a strong indication that the model has learned genuine environmental relationships rather than spurious patterns.</w:t>
      </w:r>
    </w:p>
    <w:p>
      <w:pPr>
        <w:spacing w:after="160"/>
      </w:pPr>
      <w:r>
        <w:t xml:space="preserve">One honest limitation worth noting: because the 24-hour rolling AQI mean dominates so heavily, the model's core skill can be described as persistence-aware forecasting — it is very effective at extrapolating from recent conditions, which works well in stable periods but is also exactly why performance drops in more volatile or transitional periods.</w:t>
      </w:r>
    </w:p>
    <w:p>
      <w:pPr>
        <w:pStyle w:val="Heading1"/>
        <w:spacing w:after="120" w:before="240"/>
      </w:pPr>
      <w:r>
        <w:t xml:space="preserve">8. Deployment and Automation</w:t>
      </w:r>
    </w:p>
    <w:p>
      <w:pPr>
        <w:spacing w:after="160"/>
      </w:pPr>
      <w:r>
        <w:t xml:space="preserve">The system is fully automated using GitHub Actions, with no manually operated servers:</w:t>
      </w:r>
    </w:p>
    <w:p>
      <w:pPr>
        <w:pStyle w:val="ListParagraph"/>
        <w:numPr>
          <w:ilvl w:val="0"/>
          <w:numId w:val="1"/>
        </w:numPr>
        <w:spacing w:after="80"/>
      </w:pPr>
      <w:r>
        <w:t xml:space="preserve">Feature pipeline: runs hourly, fetching the latest pollution and weather readings and writing them to the Hopsworks Feature Store</w:t>
      </w:r>
    </w:p>
    <w:p>
      <w:pPr>
        <w:pStyle w:val="ListParagraph"/>
        <w:numPr>
          <w:ilvl w:val="0"/>
          <w:numId w:val="1"/>
        </w:numPr>
        <w:spacing w:after="80"/>
      </w:pPr>
      <w:r>
        <w:t xml:space="preserve">Training pipeline: runs daily, retraining all three day-specific models on the latest available data and uploading them to the Hopsworks Model Registry</w:t>
      </w:r>
    </w:p>
    <w:p>
      <w:pPr>
        <w:pStyle w:val="ListParagraph"/>
        <w:numPr>
          <w:ilvl w:val="0"/>
          <w:numId w:val="1"/>
        </w:numPr>
        <w:spacing w:after="80"/>
      </w:pPr>
      <w:r>
        <w:t xml:space="preserve">Streamlit dashboard: loads the latest version of each of the three registry models automatically, displays the current AQI alongside a 3-day forecast, and surfaces a health alert based on the worst predicted day in the forecast window</w:t>
      </w:r>
    </w:p>
    <w:p>
      <w:pPr>
        <w:spacing w:after="160"/>
      </w:pPr>
      <w:r>
        <w:t xml:space="preserve">This design means the system continuously improves and stays current without any manual retraining or redeployment steps.</w:t>
      </w:r>
    </w:p>
    <w:p>
      <w:pPr>
        <w:pStyle w:val="Heading1"/>
        <w:spacing w:after="120" w:before="240"/>
      </w:pPr>
      <w:r>
        <w:t xml:space="preserve">9. Key Challenges and Lessons Learned</w:t>
      </w:r>
    </w:p>
    <w:p>
      <w:pPr>
        <w:pStyle w:val="ListParagraph"/>
        <w:numPr>
          <w:ilvl w:val="0"/>
          <w:numId w:val="1"/>
        </w:numPr>
        <w:spacing w:after="80"/>
      </w:pPr>
      <w:r>
        <w:t xml:space="preserve">Data volume matters more than model sophistication for seasonal time-series problems — extending from one year to three years of data was a far bigger improvement than any amount of algorithm tuning.</w:t>
      </w:r>
    </w:p>
    <w:p>
      <w:pPr>
        <w:pStyle w:val="ListParagraph"/>
        <w:numPr>
          <w:ilvl w:val="0"/>
          <w:numId w:val="1"/>
        </w:numPr>
        <w:spacing w:after="80"/>
      </w:pPr>
      <w:r>
        <w:t xml:space="preserve">Small, silent bugs can have an outsized effect — both the AQI breakpoint gap and a pollutant-type mismatch (whole numbers vs. decimals causing a schema error) were subtle issues that only appeared at scale or intermittently, underlining the value of validation and retry logic in production pipelines.</w:t>
      </w:r>
    </w:p>
    <w:p>
      <w:pPr>
        <w:pStyle w:val="ListParagraph"/>
        <w:numPr>
          <w:ilvl w:val="0"/>
          <w:numId w:val="1"/>
        </w:numPr>
        <w:spacing w:after="80"/>
      </w:pPr>
      <w:r>
        <w:t xml:space="preserve">Free-tier cloud infrastructure (Hopsworks materialization jobs) can be slow or flaky; building retry-with-backoff logic into the pipeline made the system resilient to this rather than fragile.</w:t>
      </w:r>
    </w:p>
    <w:p>
      <w:pPr>
        <w:pStyle w:val="ListParagraph"/>
        <w:numPr>
          <w:ilvl w:val="0"/>
          <w:numId w:val="1"/>
        </w:numPr>
        <w:spacing w:after="80"/>
      </w:pPr>
      <w:r>
        <w:t xml:space="preserve">Forecast accuracy naturally degrades further into the future — this is a general property of forecasting, not a flaw specific to this project, and is best communicated honestly rather than hidden.</w:t>
      </w:r>
    </w:p>
    <w:p>
      <w:pPr>
        <w:pStyle w:val="Heading1"/>
        <w:spacing w:after="120" w:before="240"/>
      </w:pPr>
      <w:r>
        <w:t xml:space="preserve">10. Conclusion and Future Work</w:t>
      </w:r>
    </w:p>
    <w:p>
      <w:pPr>
        <w:spacing w:after="160"/>
      </w:pPr>
      <w:r>
        <w:t xml:space="preserve">This project successfully delivers a complete, automated, serverless AQI forecasting system for Rawalpindi, with a Day 1 forecast model that meets the target accuracy set at the start of the internship. Exploratory data analysis and SHAP-based explainability both independently confirm that the model has learned real, physically grounded patterns in air pollution behavior, rather than arbitrary correlations.</w:t>
      </w:r>
    </w:p>
    <w:p>
      <w:pPr>
        <w:spacing w:after="160"/>
      </w:pPr>
      <w:r>
        <w:t xml:space="preserve">Potential directions for future work include:</w:t>
      </w:r>
    </w:p>
    <w:p>
      <w:pPr>
        <w:pStyle w:val="ListParagraph"/>
        <w:numPr>
          <w:ilvl w:val="0"/>
          <w:numId w:val="1"/>
        </w:numPr>
        <w:spacing w:after="80"/>
      </w:pPr>
      <w:r>
        <w:t xml:space="preserve">Improving Day 2 and Day 3 accuracy, potentially through additional weather forecast features (rather than only historical weather) or alternative modeling approaches better suited to longer horizons</w:t>
      </w:r>
    </w:p>
    <w:p>
      <w:pPr>
        <w:pStyle w:val="ListParagraph"/>
        <w:numPr>
          <w:ilvl w:val="0"/>
          <w:numId w:val="1"/>
        </w:numPr>
        <w:spacing w:after="80"/>
      </w:pPr>
      <w:r>
        <w:t xml:space="preserve">Incorporating regional data (e.g. nearby monitoring stations or satellite-based pollution estimates) to add spatial context</w:t>
      </w:r>
    </w:p>
    <w:p>
      <w:pPr>
        <w:pStyle w:val="ListParagraph"/>
        <w:numPr>
          <w:ilvl w:val="0"/>
          <w:numId w:val="1"/>
        </w:numPr>
        <w:spacing w:after="80"/>
      </w:pPr>
      <w:r>
        <w:t xml:space="preserve">Adding automated model-performance monitoring, to detect when retrained models drift or degrade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2026-08-13T06:01:43.636Z</dcterms:created>
  <dcterms:modified xsi:type="dcterms:W3CDTF">2026-08-13T06:01:43.655Z</dcterms:modified>
</cp:coreProperties>
</file>

<file path=docProps/custom.xml><?xml version="1.0" encoding="utf-8"?>
<Properties xmlns="http://schemas.openxmlformats.org/officeDocument/2006/custom-properties" xmlns:vt="http://schemas.openxmlformats.org/officeDocument/2006/docPropsVTypes"/>
</file>