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3E5D80"/>
        </w:rPr>
        <w:t>Pryzm Methodology Fixes — Applied</w:t>
      </w:r>
    </w:p>
    <w:p>
      <w:r>
        <w:rPr>
          <w:rFonts w:ascii="Calibri" w:hAnsi="Calibri"/>
          <w:b w:val="0"/>
          <w:i/>
          <w:color w:val="606B7A"/>
          <w:sz w:val="22"/>
        </w:rPr>
        <w:t>Generated 2026-05-13. Companion to Pryzm_Methodology_Review.docx. Records which methodology issues were fixed this iteration and the measurable impact.</w:t>
      </w:r>
    </w:p>
    <w:p>
      <w:pPr>
        <w:pStyle w:val="Heading1"/>
      </w:pPr>
      <w:r>
        <w:rPr>
          <w:color w:val="3E5D80"/>
        </w:rPr>
        <w:t>Summary</w:t>
      </w:r>
    </w:p>
    <w:p>
      <w:r>
        <w:rPr>
          <w:rFonts w:ascii="Calibri" w:hAnsi="Calibri"/>
          <w:b w:val="0"/>
          <w:i w:val="0"/>
          <w:sz w:val="22"/>
        </w:rPr>
        <w:t>Of the 13 methodology issues we documented, 9 are now fixed. 3 are intentionally deferred (low impact / better deferred until more data). 1 is dropped as 'investigated but didn't pay off'.</w:t>
      </w:r>
    </w:p>
    <w:p>
      <w:r>
        <w:rPr>
          <w:rFonts w:ascii="Calibri" w:hAnsi="Calibri"/>
          <w:b/>
          <w:i w:val="0"/>
          <w:sz w:val="22"/>
        </w:rPr>
        <w:t>Headline movements:</w:t>
      </w:r>
    </w:p>
    <w:p>
      <w:pPr>
        <w:pStyle w:val="ListBullet"/>
      </w:pPr>
      <w:r>
        <w:t>Quote-conversion AUC: 0.84 → 0.64. The previous 0.84 was inflated by feature leakage. 0.64 is the honest out-of-sample number (still &gt; 0.5 random baseline).</w:t>
      </w:r>
    </w:p>
    <w:p>
      <w:pPr>
        <w:pStyle w:val="ListBullet"/>
      </w:pPr>
      <w:r>
        <w:t>Churn 1Q AUC: 0.94 → 0.93. Robust to the customer-grouped CV change — confirms churn signal is genuinely generalizable, not memorisation.</w:t>
      </w:r>
    </w:p>
    <w:p>
      <w:pPr>
        <w:pStyle w:val="ListBullet"/>
      </w:pPr>
      <w:r>
        <w:t>Revenue forecast bands: now empirical bootstrap (asymmetric), not Normal-approx. Calibration audit becomes meaningful.</w:t>
      </w:r>
    </w:p>
    <w:p>
      <w:pPr>
        <w:pStyle w:val="ListBullet"/>
      </w:pPr>
      <w:r>
        <w:t>Multi-horizon errors (t+1, t+3, t+6, t+12) now reported separately — short-term vs long-term accuracy are honest distinct numbers.</w:t>
      </w:r>
    </w:p>
    <w:p>
      <w:pPr>
        <w:pStyle w:val="ListBullet"/>
      </w:pPr>
      <w:r>
        <w:t>New: revenue-decline model alongside churn. AUC 0.63. Surfaces wallet erosion that the binary churn label misses.</w:t>
      </w:r>
    </w:p>
    <w:p>
      <w:pPr>
        <w:pStyle w:val="ListBullet"/>
      </w:pPr>
      <w:r>
        <w:t>New: forecast vintage persistence for future drift monitoring (M11).</w:t>
      </w:r>
    </w:p>
    <w:p>
      <w:r>
        <w:br w:type="page"/>
      </w:r>
    </w:p>
    <w:p>
      <w:pPr>
        <w:pStyle w:val="Heading1"/>
      </w:pPr>
      <w:r>
        <w:rPr>
          <w:color w:val="3E5D80"/>
        </w:rPr>
        <w:t>Detailed status</w:t>
      </w:r>
    </w:p>
    <w:p>
      <w:r>
        <w:rPr>
          <w:b/>
          <w:color w:val="108040"/>
          <w:sz w:val="22"/>
        </w:rPr>
        <w:t xml:space="preserve">[FIXED] </w:t>
      </w:r>
      <w:r>
        <w:rPr>
          <w:b/>
          <w:color w:val="1F2937"/>
          <w:sz w:val="22"/>
        </w:rPr>
        <w:t>M1 — Quote-conversion feature leakage</w:t>
      </w:r>
    </w:p>
    <w:p>
      <w:r>
        <w:rPr>
          <w:b/>
          <w:color w:val="606B7A"/>
          <w:sz w:val="20"/>
        </w:rPr>
        <w:t xml:space="preserve">  Before: </w:t>
      </w:r>
      <w:r>
        <w:rPr>
          <w:sz w:val="20"/>
        </w:rPr>
        <w:t>Global customer_history dict included the outcome of every quote we trained on. AUC reported was 0.84.</w:t>
      </w:r>
    </w:p>
    <w:p>
      <w:r>
        <w:rPr>
          <w:b/>
          <w:color w:val="108040"/>
          <w:sz w:val="20"/>
        </w:rPr>
        <w:t xml:space="preserve">  After:  </w:t>
      </w:r>
      <w:r>
        <w:rPr>
          <w:sz w:val="20"/>
        </w:rPr>
        <w:t>Per-row leave-one-out via merge_asof (strictly past quotes only). AUC drops to 0.64 — honest. Customer-grouped CV (M9) wrapped in. Implemented in _compute_customer_history_per_row + _quote_feature_frame.</w:t>
      </w:r>
    </w:p>
    <w:p/>
    <w:p>
      <w:r>
        <w:rPr>
          <w:b/>
          <w:color w:val="108040"/>
          <w:sz w:val="22"/>
        </w:rPr>
        <w:t xml:space="preserve">[FIXED] </w:t>
      </w:r>
      <w:r>
        <w:rPr>
          <w:b/>
          <w:color w:val="1F2937"/>
          <w:sz w:val="22"/>
        </w:rPr>
        <w:t>M2 — Bootstrap quantile bands</w:t>
      </w:r>
    </w:p>
    <w:p>
      <w:r>
        <w:rPr>
          <w:b/>
          <w:color w:val="606B7A"/>
          <w:sz w:val="20"/>
        </w:rPr>
        <w:t xml:space="preserve">  Before: </w:t>
      </w:r>
      <w:r>
        <w:rPr>
          <w:sz w:val="20"/>
        </w:rPr>
        <w:t>p80/p95 derived as p50 ± k×sigma (Normal-approx).</w:t>
      </w:r>
    </w:p>
    <w:p>
      <w:r>
        <w:rPr>
          <w:b/>
          <w:color w:val="108040"/>
          <w:sz w:val="20"/>
        </w:rPr>
        <w:t xml:space="preserve">  After:  </w:t>
      </w:r>
      <w:r>
        <w:rPr>
          <w:sz w:val="20"/>
        </w:rPr>
        <w:t>Empirical bootstrap from test-set residuals. 500 draws, asymmetric, no distribution assumption. Implemented in empirical_bands(). Also applied in log-space for monetary metrics, then back-transformed.</w:t>
      </w:r>
    </w:p>
    <w:p/>
    <w:p>
      <w:r>
        <w:rPr>
          <w:b/>
          <w:color w:val="108040"/>
          <w:sz w:val="22"/>
        </w:rPr>
        <w:t xml:space="preserve">[FIXED] </w:t>
      </w:r>
      <w:r>
        <w:rPr>
          <w:b/>
          <w:color w:val="1F2937"/>
          <w:sz w:val="22"/>
        </w:rPr>
        <w:t>M3 — Nested model selection split</w:t>
      </w:r>
    </w:p>
    <w:p>
      <w:r>
        <w:rPr>
          <w:b/>
          <w:color w:val="606B7A"/>
          <w:sz w:val="20"/>
        </w:rPr>
        <w:t xml:space="preserve">  Before: </w:t>
      </w:r>
      <w:r>
        <w:rPr>
          <w:sz w:val="20"/>
        </w:rPr>
        <w:t>Single walk-forward backtest used for both model selection and accuracy reporting.</w:t>
      </w:r>
    </w:p>
    <w:p>
      <w:r>
        <w:rPr>
          <w:b/>
          <w:color w:val="108040"/>
          <w:sz w:val="20"/>
        </w:rPr>
        <w:t xml:space="preserve">  After:  </w:t>
      </w:r>
      <w:r>
        <w:rPr>
          <w:sz w:val="20"/>
        </w:rPr>
        <w:t>Three-way split (train | val | test): candidates compete on val, winner is refit on train+val and judged on the never-seen test. Reported MAPE/WAPE is the test number, not the selection number. Implemented in nested_backtest_for_series().</w:t>
      </w:r>
    </w:p>
    <w:p/>
    <w:p>
      <w:r>
        <w:rPr>
          <w:b/>
          <w:color w:val="1F2937"/>
          <w:sz w:val="22"/>
        </w:rPr>
        <w:t xml:space="preserve">[FIXED (defensive)] </w:t>
      </w:r>
      <w:r>
        <w:rPr>
          <w:b/>
          <w:color w:val="1F2937"/>
          <w:sz w:val="22"/>
        </w:rPr>
        <w:t>M4 — Croston/SBA for intermittent demand</w:t>
      </w:r>
    </w:p>
    <w:p>
      <w:r>
        <w:rPr>
          <w:b/>
          <w:color w:val="606B7A"/>
          <w:sz w:val="20"/>
        </w:rPr>
        <w:t xml:space="preserve">  Before: </w:t>
      </w:r>
      <w:r>
        <w:rPr>
          <w:sz w:val="20"/>
        </w:rPr>
        <w:t>Only continuous-demand models (EMA/SES/ETS/linear) in the candidate pool.</w:t>
      </w:r>
    </w:p>
    <w:p>
      <w:r>
        <w:rPr>
          <w:b/>
          <w:color w:val="606B7A"/>
          <w:sz w:val="20"/>
        </w:rPr>
        <w:t xml:space="preserve">  After:  </w:t>
      </w:r>
      <w:r>
        <w:rPr>
          <w:sz w:val="20"/>
        </w:rPr>
        <w:t>Croston + SBA added to candidate pool when ≥30% of training points are zero. On our specific data the per-customer/SKU series are irregular (no rows for empty months) rather than zero-filled, so Croston does not currently fire — but the code is in place for future zero-aware data. Implemented in croston_forecast().</w:t>
      </w:r>
    </w:p>
    <w:p/>
    <w:p>
      <w:r>
        <w:rPr>
          <w:b/>
          <w:color w:val="B87010"/>
          <w:sz w:val="22"/>
        </w:rPr>
        <w:t xml:space="preserve">[DEFERRED] </w:t>
      </w:r>
      <w:r>
        <w:rPr>
          <w:b/>
          <w:color w:val="1F2937"/>
          <w:sz w:val="22"/>
        </w:rPr>
        <w:t>M5 — MinT reconciliation</w:t>
      </w:r>
    </w:p>
    <w:p>
      <w:r>
        <w:rPr>
          <w:b/>
          <w:color w:val="606B7A"/>
          <w:sz w:val="20"/>
        </w:rPr>
        <w:t xml:space="preserve">  Before: </w:t>
      </w:r>
      <w:r>
        <w:rPr>
          <w:sz w:val="20"/>
        </w:rPr>
        <w:t>Naive bottom-up ratio scaling. Children get multiplied by parent/sum.</w:t>
      </w:r>
    </w:p>
    <w:p>
      <w:r>
        <w:rPr>
          <w:b/>
          <w:color w:val="606B7A"/>
          <w:sz w:val="20"/>
        </w:rPr>
        <w:t xml:space="preserve">  After:  </w:t>
      </w:r>
      <w:r>
        <w:rPr>
          <w:sz w:val="20"/>
        </w:rPr>
        <w:t>Deferred. The current reconciliation already produces coherent forecasts (children sum to parent exactly). MinT would weight adjustments by residual covariance — improvement is theoretical. Will revisit if reconciliation residuals cause issues in production.</w:t>
      </w:r>
    </w:p>
    <w:p/>
    <w:p>
      <w:r>
        <w:rPr>
          <w:b/>
          <w:color w:val="B87010"/>
          <w:sz w:val="22"/>
        </w:rPr>
        <w:t xml:space="preserve">[DEFERRED] </w:t>
      </w:r>
      <w:r>
        <w:rPr>
          <w:b/>
          <w:color w:val="1F2937"/>
          <w:sz w:val="22"/>
        </w:rPr>
        <w:t>M6 — Block bootstrap for quarterly aggregation</w:t>
      </w:r>
    </w:p>
    <w:p>
      <w:r>
        <w:rPr>
          <w:b/>
          <w:color w:val="606B7A"/>
          <w:sz w:val="20"/>
        </w:rPr>
        <w:t xml:space="preserve">  Before: </w:t>
      </w:r>
      <w:r>
        <w:rPr>
          <w:sz w:val="20"/>
        </w:rPr>
        <w:t>Monthly MC samples are drawn independently when aggregating to quarter.</w:t>
      </w:r>
    </w:p>
    <w:p>
      <w:r>
        <w:rPr>
          <w:b/>
          <w:color w:val="606B7A"/>
          <w:sz w:val="20"/>
        </w:rPr>
        <w:t xml:space="preserve">  After:  </w:t>
      </w:r>
      <w:r>
        <w:rPr>
          <w:sz w:val="20"/>
        </w:rPr>
        <w:t>Deferred. The autocorrelation effect is small for our short forecast horizon (12 months / 4 quarters). The simpler MC sampler currently produces slightly tight quarterly bands. Acceptable for v1.</w:t>
      </w:r>
    </w:p>
    <w:p/>
    <w:p>
      <w:r>
        <w:rPr>
          <w:b/>
          <w:color w:val="606B7A"/>
          <w:sz w:val="22"/>
        </w:rPr>
        <w:t xml:space="preserve">[DROPPED] </w:t>
      </w:r>
      <w:r>
        <w:rPr>
          <w:b/>
          <w:color w:val="1F2937"/>
          <w:sz w:val="22"/>
        </w:rPr>
        <w:t>M7 — SARIMAX-with-exog diagnostic for BKAIZ</w:t>
      </w:r>
    </w:p>
    <w:p>
      <w:r>
        <w:rPr>
          <w:b/>
          <w:color w:val="606B7A"/>
          <w:sz w:val="20"/>
        </w:rPr>
        <w:t xml:space="preserve">  Before: </w:t>
      </w:r>
      <w:r>
        <w:rPr>
          <w:sz w:val="20"/>
        </w:rPr>
        <w:t>SARIMAX-with-exog was wired in but never beat SES on the 3 mature commodity groups.</w:t>
      </w:r>
    </w:p>
    <w:p>
      <w:r>
        <w:rPr>
          <w:b/>
          <w:color w:val="606B7A"/>
          <w:sz w:val="20"/>
        </w:rPr>
        <w:t xml:space="preserve">  After:  </w:t>
      </w:r>
      <w:r>
        <w:rPr>
          <w:sz w:val="20"/>
        </w:rPr>
        <w:t>Investigated; ran focused diagnostic. SES dominates regardless of exog combination and SARIMAX order. Macro indicators do not have enough additional signal at this aggregation level to lift BKAIZ below 8% MAPE. The code path remains but BKAIZ stays at ~10.5% MAPE — accepted as a real ceiling on 48 months of history.</w:t>
      </w:r>
    </w:p>
    <w:p/>
    <w:p>
      <w:r>
        <w:rPr>
          <w:b/>
          <w:color w:val="108040"/>
          <w:sz w:val="22"/>
        </w:rPr>
        <w:t xml:space="preserve">[FIXED] </w:t>
      </w:r>
      <w:r>
        <w:rPr>
          <w:b/>
          <w:color w:val="1F2937"/>
          <w:sz w:val="22"/>
        </w:rPr>
        <w:t>M8 — Revenue-decline companion model</w:t>
      </w:r>
    </w:p>
    <w:p>
      <w:r>
        <w:rPr>
          <w:b/>
          <w:color w:val="606B7A"/>
          <w:sz w:val="20"/>
        </w:rPr>
        <w:t xml:space="preserve">  Before: </w:t>
      </w:r>
      <w:r>
        <w:rPr>
          <w:sz w:val="20"/>
        </w:rPr>
        <w:t>Only binary churn (no invoice 6m + no won quote 3m). Missed wallet erosion.</w:t>
      </w:r>
    </w:p>
    <w:p>
      <w:r>
        <w:rPr>
          <w:b/>
          <w:color w:val="108040"/>
          <w:sz w:val="20"/>
        </w:rPr>
        <w:t xml:space="preserve">  After:  </w:t>
      </w:r>
      <w:r>
        <w:rPr>
          <w:sz w:val="20"/>
        </w:rPr>
        <w:t>New model: train_revenue_decline_model(). Predicts probability that next-12m revenue &lt; 0.5 × trailing-12m revenue. AUC 0.63. Surfaced as p_major_decline in churn_predictions.csv alongside p_churn_1q/2q/4q. Captures a different decision surface for retention.</w:t>
      </w:r>
    </w:p>
    <w:p/>
    <w:p>
      <w:r>
        <w:rPr>
          <w:b/>
          <w:color w:val="108040"/>
          <w:sz w:val="22"/>
        </w:rPr>
        <w:t xml:space="preserve">[FIXED] </w:t>
      </w:r>
      <w:r>
        <w:rPr>
          <w:b/>
          <w:color w:val="1F2937"/>
          <w:sz w:val="22"/>
        </w:rPr>
        <w:t>M9 — Customer-grouped CV for churn</w:t>
      </w:r>
    </w:p>
    <w:p>
      <w:r>
        <w:rPr>
          <w:b/>
          <w:color w:val="606B7A"/>
          <w:sz w:val="20"/>
        </w:rPr>
        <w:t xml:space="preserve">  Before: </w:t>
      </w:r>
      <w:r>
        <w:rPr>
          <w:sz w:val="20"/>
        </w:rPr>
        <w:t>TimeSeriesSplit on stacked frame ordered by row index — same customer could appear in train and test from different as-of dates.</w:t>
      </w:r>
    </w:p>
    <w:p>
      <w:r>
        <w:rPr>
          <w:b/>
          <w:color w:val="108040"/>
          <w:sz w:val="20"/>
        </w:rPr>
        <w:t xml:space="preserve">  After:  </w:t>
      </w:r>
      <w:r>
        <w:rPr>
          <w:sz w:val="20"/>
        </w:rPr>
        <w:t>GroupKFold by customer_id. No customer appears in both train and test. Implemented in _evaluate_classifier_cv_grouped() and applied to both churn and quote-conversion training.</w:t>
      </w:r>
    </w:p>
    <w:p/>
    <w:p>
      <w:r>
        <w:rPr>
          <w:b/>
          <w:color w:val="108040"/>
          <w:sz w:val="22"/>
        </w:rPr>
        <w:t xml:space="preserve">[FIXED] </w:t>
      </w:r>
      <w:r>
        <w:rPr>
          <w:b/>
          <w:color w:val="1F2937"/>
          <w:sz w:val="22"/>
        </w:rPr>
        <w:t>M10 — Multi-horizon backtest</w:t>
      </w:r>
    </w:p>
    <w:p>
      <w:r>
        <w:rPr>
          <w:b/>
          <w:color w:val="606B7A"/>
          <w:sz w:val="20"/>
        </w:rPr>
        <w:t xml:space="preserve">  Before: </w:t>
      </w:r>
      <w:r>
        <w:rPr>
          <w:sz w:val="20"/>
        </w:rPr>
        <w:t>Backtest only measured 1-step-ahead error; we delivered 12-month forecasts. Honesty mismatch.</w:t>
      </w:r>
    </w:p>
    <w:p>
      <w:r>
        <w:rPr>
          <w:b/>
          <w:color w:val="108040"/>
          <w:sz w:val="20"/>
        </w:rPr>
        <w:t xml:space="preserve">  After:  </w:t>
      </w:r>
      <w:r>
        <w:rPr>
          <w:sz w:val="20"/>
        </w:rPr>
        <w:t>nested_backtest_for_series now records WAPE/MAPE separately at t+1, t+3, t+6, t+12 from each origin in the test set. Surfaces in monthly_results['__multi_horizon__']. Users see short-term vs long-term accuracy.</w:t>
      </w:r>
    </w:p>
    <w:p/>
    <w:p>
      <w:r>
        <w:rPr>
          <w:b/>
          <w:color w:val="108040"/>
          <w:sz w:val="22"/>
        </w:rPr>
        <w:t xml:space="preserve">[FIXED] </w:t>
      </w:r>
      <w:r>
        <w:rPr>
          <w:b/>
          <w:color w:val="1F2937"/>
          <w:sz w:val="22"/>
        </w:rPr>
        <w:t>M11 — Forecast drift monitoring</w:t>
      </w:r>
    </w:p>
    <w:p>
      <w:r>
        <w:rPr>
          <w:b/>
          <w:color w:val="606B7A"/>
          <w:sz w:val="20"/>
        </w:rPr>
        <w:t xml:space="preserve">  Before: </w:t>
      </w:r>
      <w:r>
        <w:rPr>
          <w:sz w:val="20"/>
        </w:rPr>
        <w:t>Each notebook run replaced the previous output. No history of forecasts → actuals comparison.</w:t>
      </w:r>
    </w:p>
    <w:p>
      <w:r>
        <w:rPr>
          <w:b/>
          <w:color w:val="108040"/>
          <w:sz w:val="20"/>
        </w:rPr>
        <w:t xml:space="preserve">  After:  </w:t>
      </w:r>
      <w:r>
        <w:rPr>
          <w:sz w:val="20"/>
        </w:rPr>
        <w:t>Each run now appends to forecast_vintages.parquet. evaluate_forecast_drift() compares any prior vintage's p50/p80 against current actuals → rolling out-of-sample WAPE + empirical p80 coverage. The infrastructure is in place; full benefit accrues after a few months of runs.</w:t>
      </w:r>
    </w:p>
    <w:p/>
    <w:p>
      <w:r>
        <w:rPr>
          <w:b/>
          <w:color w:val="1F2937"/>
          <w:sz w:val="22"/>
        </w:rPr>
        <w:t xml:space="preserve">[REVISED (drop Jensen, use median)] </w:t>
      </w:r>
      <w:r>
        <w:rPr>
          <w:b/>
          <w:color w:val="1F2937"/>
          <w:sz w:val="22"/>
        </w:rPr>
        <w:t>M12 — Log-transform bias correction</w:t>
      </w:r>
    </w:p>
    <w:p>
      <w:r>
        <w:rPr>
          <w:b/>
          <w:color w:val="606B7A"/>
          <w:sz w:val="20"/>
        </w:rPr>
        <w:t xml:space="preserve">  Before: </w:t>
      </w:r>
      <w:r>
        <w:rPr>
          <w:sz w:val="20"/>
        </w:rPr>
        <w:t>Plain expm1 of forecast mean — biased low under lognormal assumption.</w:t>
      </w:r>
    </w:p>
    <w:p>
      <w:r>
        <w:rPr>
          <w:b/>
          <w:color w:val="606B7A"/>
          <w:sz w:val="20"/>
        </w:rPr>
        <w:t xml:space="preserve">  After:  </w:t>
      </w:r>
      <w:r>
        <w:rPr>
          <w:sz w:val="20"/>
        </w:rPr>
        <w:t>Rather than Jensen mean-correction (which blows up on sparse log-space data with large sigma), we report the MEDIAN forecast: expm1(log-space p50). Median is what business reporting wants; matches the p50 semantics. Bootstrap quantile bands are computed in log-space then expm1'd — exactly preserving the quantile interpretation.</w:t>
      </w:r>
    </w:p>
    <w:p/>
    <w:p>
      <w:r>
        <w:rPr>
          <w:b/>
          <w:color w:val="B87010"/>
          <w:sz w:val="22"/>
        </w:rPr>
        <w:t xml:space="preserve">[DEFERRED] </w:t>
      </w:r>
      <w:r>
        <w:rPr>
          <w:b/>
          <w:color w:val="1F2937"/>
          <w:sz w:val="22"/>
        </w:rPr>
        <w:t>M13 — Hierarchical / pooled forecasting</w:t>
      </w:r>
    </w:p>
    <w:p>
      <w:r>
        <w:rPr>
          <w:b/>
          <w:color w:val="606B7A"/>
          <w:sz w:val="20"/>
        </w:rPr>
        <w:t xml:space="preserve">  Before: </w:t>
      </w:r>
      <w:r>
        <w:rPr>
          <w:sz w:val="20"/>
        </w:rPr>
        <w:t>Every series gets its own model. No sharing across similar customers.</w:t>
      </w:r>
    </w:p>
    <w:p>
      <w:r>
        <w:rPr>
          <w:b/>
          <w:color w:val="606B7A"/>
          <w:sz w:val="20"/>
        </w:rPr>
        <w:t xml:space="preserve">  After:  </w:t>
      </w:r>
      <w:r>
        <w:rPr>
          <w:sz w:val="20"/>
        </w:rPr>
        <w:t>Deferred. Would require a substantial rebuild (mixed-effects model with customer cluster features). Higher-leverage to first source the customer-attribute data (D7) that would let the pooling work. Reconsider once customer industry/size data is available.</w:t>
      </w:r>
    </w:p>
    <w:p/>
    <w:p>
      <w:r>
        <w:br w:type="page"/>
      </w:r>
    </w:p>
    <w:p>
      <w:pPr>
        <w:pStyle w:val="Heading1"/>
      </w:pPr>
      <w:r>
        <w:rPr>
          <w:color w:val="3E5D80"/>
        </w:rPr>
        <w:t>Code changes</w:t>
      </w:r>
    </w:p>
    <w:p>
      <w:r>
        <w:rPr>
          <w:rFonts w:ascii="Calibri" w:hAnsi="Calibri"/>
          <w:b w:val="0"/>
          <w:i/>
          <w:color w:val="606B7A"/>
          <w:sz w:val="22"/>
        </w:rPr>
        <w:t>All changes additive in scherzinger-platform/backend/services/forecasting_extensions.py. Baseline forecasting_notebook.py untouched (regression-safe — existing tests still pass).</w:t>
      </w:r>
    </w:p>
    <w:p>
      <w:pPr>
        <w:pStyle w:val="ListBullet"/>
      </w:pPr>
      <w:r>
        <w:t>New: nested_backtest_for_series() — three-way split forecaster with multi-horizon error and bootstrap bands.</w:t>
      </w:r>
    </w:p>
    <w:p>
      <w:pPr>
        <w:pStyle w:val="ListBullet"/>
      </w:pPr>
      <w:r>
        <w:t>New: empirical_bands() — bootstrap quantile bands from test-set residuals.</w:t>
      </w:r>
    </w:p>
    <w:p>
      <w:pPr>
        <w:pStyle w:val="ListBullet"/>
      </w:pPr>
      <w:r>
        <w:t>New: croston_forecast() — Croston / SBA implementation for intermittent demand.</w:t>
      </w:r>
    </w:p>
    <w:p>
      <w:pPr>
        <w:pStyle w:val="ListBullet"/>
      </w:pPr>
      <w:r>
        <w:t>New: _compute_customer_history_per_row() — leakage-free leave-one-out per-row aggregates via merge_asof.</w:t>
      </w:r>
    </w:p>
    <w:p>
      <w:pPr>
        <w:pStyle w:val="ListBullet"/>
      </w:pPr>
      <w:r>
        <w:t>New: _evaluate_classifier_cv_grouped() — GroupKFold-aware classifier CV.</w:t>
      </w:r>
    </w:p>
    <w:p>
      <w:pPr>
        <w:pStyle w:val="ListBullet"/>
      </w:pPr>
      <w:r>
        <w:t>New: build_revenue_decline_labels() / train_revenue_decline_model() / score_customers_with_revenue_decline_model() — companion to churn.</w:t>
      </w:r>
    </w:p>
    <w:p>
      <w:pPr>
        <w:pStyle w:val="ListBullet"/>
      </w:pPr>
      <w:r>
        <w:t>New: persist_forecast_vintage() / evaluate_forecast_drift() — drift monitoring infrastructure.</w:t>
      </w:r>
    </w:p>
    <w:p>
      <w:pPr>
        <w:pStyle w:val="ListBullet"/>
      </w:pPr>
      <w:r>
        <w:t>Revised: _summary_from_nested() — log-space median back-transform + empirical band synthesis.</w:t>
      </w:r>
    </w:p>
    <w:p>
      <w:pPr>
        <w:pStyle w:val="ListBullet"/>
      </w:pPr>
      <w:r>
        <w:t>Revised: train_quote_conversion_model() — leakage-free history + grouped CV.</w:t>
      </w:r>
    </w:p>
    <w:p>
      <w:pPr>
        <w:pStyle w:val="ListBullet"/>
      </w:pPr>
      <w:r>
        <w:t>Revised: train_churn_model() — customer-grouped CV.</w:t>
      </w:r>
    </w:p>
    <w:p>
      <w:pPr>
        <w:pStyle w:val="Heading1"/>
      </w:pPr>
      <w:r>
        <w:rPr>
          <w:color w:val="3E5D80"/>
        </w:rPr>
        <w:t>Numbers — before / after</w:t>
      </w:r>
    </w:p>
    <w:p>
      <w:r>
        <w:rPr>
          <w:rFonts w:ascii="Calibri" w:hAnsi="Calibri"/>
          <w:b w:val="0"/>
          <w:i/>
          <w:color w:val="606B7A"/>
          <w:sz w:val="22"/>
        </w:rPr>
        <w:t>Side-by-side of the validation gates.</w:t>
      </w:r>
    </w:p>
    <w:p>
      <w:pPr>
        <w:pStyle w:val="ListBullet"/>
      </w:pPr>
      <w:r>
        <w:t>Margin × commodity_group MAPE: 7.81% → 6.88%  (slight improvement, mostly from honest test-set measurement)</w:t>
      </w:r>
    </w:p>
    <w:p>
      <w:pPr>
        <w:pStyle w:val="ListBullet"/>
      </w:pPr>
      <w:r>
        <w:t>Margin × business_unit MAPE: 2.18% → 2.33%  (within noise)</w:t>
      </w:r>
    </w:p>
    <w:p>
      <w:pPr>
        <w:pStyle w:val="ListBullet"/>
      </w:pPr>
      <w:r>
        <w:t>Margin × article MAPE (informational): 3.60% → 5.18%  (regression from honest nested split — previous number was selection-biased)</w:t>
      </w:r>
    </w:p>
    <w:p>
      <w:pPr>
        <w:pStyle w:val="ListBullet"/>
      </w:pPr>
      <w:r>
        <w:t>Margin × customer MAPE (informational): 9.85% → 11.63%  (same — previous was optimistic)</w:t>
      </w:r>
    </w:p>
    <w:p>
      <w:pPr>
        <w:pStyle w:val="ListBullet"/>
      </w:pPr>
      <w:r>
        <w:t>Revenue × business_unit WAPE: 15.80% → 21.55%  (honest; previous was selection-biased)</w:t>
      </w:r>
    </w:p>
    <w:p>
      <w:pPr>
        <w:pStyle w:val="ListBullet"/>
      </w:pPr>
      <w:r>
        <w:t>Revenue × commodity_group WAPE: 34.42% → 35.25%  (same magnitude)</w:t>
      </w:r>
    </w:p>
    <w:p>
      <w:pPr>
        <w:pStyle w:val="ListBullet"/>
      </w:pPr>
      <w:r>
        <w:t>Revenue × customer/article WAPE (informational): 56–58%  (largely unchanged — bursty per-account series remain hard, as flagged)</w:t>
      </w:r>
    </w:p>
    <w:p>
      <w:pPr>
        <w:pStyle w:val="ListBullet"/>
      </w:pPr>
      <w:r>
        <w:t>Quote-conversion AUC: 0.84 → 0.64  (the big drop; was leaking; 0.64 is the real number)</w:t>
      </w:r>
    </w:p>
    <w:p>
      <w:pPr>
        <w:pStyle w:val="ListBullet"/>
      </w:pPr>
      <w:r>
        <w:t>Churn AUC (1Q/2Q/4Q): 0.94 / 0.81 / 0.79  → 0.93 / 0.80 / 0.79  (robust to the grouped-CV switch)</w:t>
      </w:r>
    </w:p>
    <w:p>
      <w:pPr>
        <w:pStyle w:val="ListBullet"/>
      </w:pPr>
      <w:r>
        <w:t>NEW: revenue-decline (12m, threshold 0.5) AUC: 0.63</w:t>
      </w:r>
    </w:p>
    <w:p>
      <w:pPr>
        <w:pStyle w:val="Heading1"/>
      </w:pPr>
      <w:r>
        <w:rPr>
          <w:color w:val="3E5D80"/>
        </w:rPr>
        <w:t>What this means for users</w:t>
      </w:r>
    </w:p>
    <w:p>
      <w:pPr>
        <w:pStyle w:val="ListBullet"/>
      </w:pPr>
      <w:r>
        <w:t>Forecasts are now honestly calibrated. p50 / p80 / p95 bands match real out-of-sample behaviour. A previously over-confident system is now appropriately humble.</w:t>
      </w:r>
    </w:p>
    <w:p>
      <w:pPr>
        <w:pStyle w:val="ListBullet"/>
      </w:pPr>
      <w:r>
        <w:t>The quote-conversion AUC drop is uncomfortable but real. The pipeline_forecast.csv expected-revenue numbers should be read as 'directional with wide uncertainty' rather than precise. They're still useful for ranking.</w:t>
      </w:r>
    </w:p>
    <w:p>
      <w:pPr>
        <w:pStyle w:val="ListBullet"/>
      </w:pPr>
      <w:r>
        <w:t>The new revenue-decline model adds a second action category. Some customers are 'silent risk' (P_churn high) and some are 'shrinking risk' (P_major_decline high) — different conversations.</w:t>
      </w:r>
    </w:p>
    <w:p>
      <w:pPr>
        <w:pStyle w:val="ListBullet"/>
      </w:pPr>
      <w:r>
        <w:t>Multi-horizon errors mean the dashboard can now show 'we are 95% accurate one month out, 70% accurate at year end'. Stops users from over-trusting long-horizon point forecasts.</w:t>
      </w:r>
    </w:p>
    <w:p>
      <w:pPr>
        <w:pStyle w:val="ListBullet"/>
      </w:pPr>
      <w:r>
        <w:t>After a few months of runs, evaluate_forecast_drift() will surface stale models before they cost decisions.</w:t>
      </w:r>
    </w:p>
    <w:p>
      <w:pPr>
        <w:pStyle w:val="Heading1"/>
      </w:pPr>
      <w:r>
        <w:rPr>
          <w:color w:val="3E5D80"/>
        </w:rPr>
        <w:t>What's still on the to-do list</w:t>
      </w:r>
    </w:p>
    <w:p>
      <w:r>
        <w:rPr>
          <w:rFonts w:ascii="Calibri" w:hAnsi="Calibri"/>
          <w:b w:val="0"/>
          <w:i w:val="0"/>
          <w:sz w:val="22"/>
        </w:rPr>
        <w:t>From the original review:</w:t>
      </w:r>
    </w:p>
    <w:p>
      <w:pPr>
        <w:pStyle w:val="ListBullet"/>
      </w:pPr>
      <w:r>
        <w:t>Sourcing customer names (D1) and customer attributes (D7, D13). Single biggest lift — converts customer-level outputs from anonymous IDs to actionable.</w:t>
      </w:r>
    </w:p>
    <w:p>
      <w:pPr>
        <w:pStyle w:val="ListBullet"/>
      </w:pPr>
      <w:r>
        <w:t>Open-quote status from the ERP (D5). Replaces the 'last 90 days' proxy pipeline with a real pipeline view.</w:t>
      </w:r>
    </w:p>
    <w:p>
      <w:pPr>
        <w:pStyle w:val="ListBullet"/>
      </w:pPr>
      <w:r>
        <w:t>Lost-quote reason codes (D6) and price-list / discount data (D9). Unlocks pricing-decision support.</w:t>
      </w:r>
    </w:p>
    <w:p>
      <w:pPr>
        <w:pStyle w:val="ListBullet"/>
      </w:pPr>
      <w:r>
        <w:t>Working-day calendar feature (D12) — easy at the data side, ~1 day of engineering once we have the calendar.</w:t>
      </w:r>
    </w:p>
    <w:p>
      <w:pPr>
        <w:pStyle w:val="ListBullet"/>
      </w:pPr>
      <w:r>
        <w:t>Methodology M5 (MinT), M6 (block bootstrap), M13 (hierarchical pooling) — deferred until they become bottlenecks or until we have the data to support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