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</w:pPr>
      <w:r>
        <w:rPr>
          <w:b/>
          <w:bCs/>
          <w:color w:val="1F3A8A"/>
          <w:sz w:val="56"/>
          <w:szCs w:val="56"/>
        </w:rPr>
        <w:t xml:space="preserve">PRYZM</w:t>
      </w:r>
    </w:p>
    <w:p>
      <w:pPr>
        <w:spacing w:after="80" w:before="0"/>
      </w:pPr>
      <w:r>
        <w:rPr>
          <w:color w:val="0F766E"/>
          <w:sz w:val="32"/>
          <w:szCs w:val="32"/>
        </w:rPr>
        <w:t xml:space="preserve">Investor Teaser — Encourage Ventures</w:t>
      </w:r>
    </w:p>
    <w:p>
      <w:pPr>
        <w:spacing w:after="240" w:before="0"/>
      </w:pPr>
      <w:r>
        <w:rPr>
          <w:i/>
          <w:iCs/>
          <w:color w:val="6B7280"/>
          <w:sz w:val="20"/>
          <w:szCs w:val="20"/>
        </w:rPr>
        <w:t xml:space="preserve">4-minute teaser · Problem → Gap Chart → Pricing Action → AI Insights + Report → Ask for follow-up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F766E" w:sz="4"/>
              <w:left w:val="single" w:color="0F766E" w:sz="16"/>
              <w:bottom w:val="single" w:color="0F766E" w:sz="4"/>
              <w:right w:val="single" w:color="0F766E" w:sz="4"/>
            </w:tcBorders>
            <w:shd w:fill="ECFDF5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 w:before="0"/>
            </w:pPr>
            <w:r>
              <w:rPr>
                <w:b/>
                <w:bCs/>
                <w:color w:val="0F766E"/>
                <w:sz w:val="20"/>
                <w:szCs w:val="20"/>
              </w:rPr>
              <w:t xml:space="preserve">THE TEASER PHILOSOPHY (read before the call)</w:t>
            </w:r>
          </w:p>
          <w:p>
            <w:pPr>
              <w:spacing w:after="80" w:before="0"/>
            </w:pPr>
            <w:r>
              <w:rPr>
                <w:b/>
                <w:bCs/>
              </w:rPr>
              <w:t xml:space="preserve">You are NOT trying to close them in this demo. You are trying to earn a 45-minute follow-up meeting.</w:t>
            </w:r>
          </w:p>
          <w:p>
            <w:pPr>
              <w:spacing w:after="40" w:before="40"/>
            </w:pPr>
            <w:r>
              <w:t xml:space="preserve">Show three things. Do each one well. Then stop.</w:t>
            </w:r>
          </w:p>
          <w:p>
            <w:pPr>
              <w:spacing w:after="40" w:before="40"/>
            </w:pPr>
            <w:r>
              <w:t xml:space="preserve">Every time you’re tempted to show “just one more thing,” write that idea down and save it for the follow-up. The demo gets better when you cut, not when you add. Leaving an investor slightly hungry is the goal — if they ask “can you show me X?” you’ve won.</w:t>
            </w:r>
          </w:p>
          <w:p>
            <w:pPr>
              <w:spacing w:after="0" w:before="80"/>
            </w:pPr>
            <w:r>
              <w:rPr>
                <w:i/>
                <w:iCs/>
                <w:color w:val="6B7280"/>
              </w:rPr>
              <w:t xml:space="preserve">Pacing target: 4 minutes of product on screen. Plus 30-45 seconds of problem framing at the start. Total screen-share time: under 5 minutes.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3A8A" w:sz="4"/>
              <w:left w:val="single" w:color="1F3A8A" w:sz="16"/>
              <w:bottom w:val="single" w:color="1F3A8A" w:sz="4"/>
              <w:right w:val="single" w:color="1F3A8A" w:sz="4"/>
            </w:tcBorders>
            <w:shd w:fill="EEF2FF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 w:before="0"/>
            </w:pPr>
            <w:r>
              <w:rPr>
                <w:b/>
                <w:bCs/>
                <w:color w:val="1F3A8A"/>
                <w:sz w:val="20"/>
                <w:szCs w:val="20"/>
              </w:rPr>
              <w:t xml:space="preserve">ONE-LINE PITCH (memorize this)</w:t>
            </w:r>
          </w:p>
          <w:p>
            <w:pPr>
              <w:spacing w:after="40" w:before="40"/>
            </w:pPr>
            <w:r>
              <w:t xml:space="preserve">Pryzm turns 4 years of invoice and quote data into a real-time margin command center — it tells a mid-market industrial manufacturer, in seconds, which customers are bleeding margin, which SKUs to reprice, and which deals they’re about to lose. We replace month-end Excel forensics with daily AI-driven action.</w:t>
            </w:r>
          </w:p>
        </w:tc>
      </w:tr>
    </w:tbl>
    <w:p>
      <w:pPr>
        <w:pStyle w:val="Heading1"/>
        <w:spacing w:after="160" w:before="320"/>
      </w:pPr>
      <w:r>
        <w:rPr>
          <w:b/>
          <w:bCs/>
          <w:color w:val="1F3A8A"/>
        </w:rPr>
        <w:t xml:space="preserve">Before you click “share screen”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45309" w:sz="4"/>
              <w:left w:val="single" w:color="B45309" w:sz="16"/>
              <w:bottom w:val="single" w:color="B45309" w:sz="4"/>
              <w:right w:val="single" w:color="B45309" w:sz="4"/>
            </w:tcBorders>
            <w:shd w:fill="FEF3C7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 w:before="0"/>
            </w:pPr>
            <w:r>
              <w:rPr>
                <w:b/>
                <w:bCs/>
                <w:color w:val="B45309"/>
                <w:sz w:val="20"/>
                <w:szCs w:val="20"/>
              </w:rPr>
              <w:t xml:space="preserve">⚠ GDPR — DO NOT NAME THE CUSTOMER</w:t>
            </w:r>
          </w:p>
          <w:p>
            <w:pPr>
              <w:spacing w:after="80" w:before="0"/>
            </w:pPr>
            <w:r>
              <w:t xml:space="preserve">Under our data-processing agreement, the pilot customer’s name, employee names, and any directly identifying metadata must not be spoken, written, or left visible on screen during the pitch.</w:t>
            </w:r>
          </w:p>
          <w:p>
            <w:pPr>
              <w:spacing w:after="40" w:before="40"/>
            </w:pPr>
            <w:r>
              <w:rPr>
                <w:b/>
                <w:bCs/>
              </w:rPr>
              <w:t xml:space="preserve">Use these phrases instead:</w:t>
            </w:r>
          </w:p>
          <w:p>
            <w:pPr>
              <w:spacing w:after="20" w:before="20"/>
            </w:pPr>
            <w:r>
              <w:t xml:space="preserve">·  “our pilot customer”  ·  “a mid-market German industrial manufacturer”  ·  “an industrial gear-pump OEM”  ·  “the finance team” (not a first name)</w:t>
            </w:r>
          </w:p>
          <w:p>
            <w:pPr>
              <w:spacing w:after="40" w:before="80"/>
            </w:pPr>
            <w:r>
              <w:rPr>
                <w:b/>
                <w:bCs/>
              </w:rPr>
              <w:t xml:space="preserve">Before screen share, check:</w:t>
            </w:r>
          </w:p>
          <w:p>
            <w:pPr>
              <w:spacing w:after="20" w:before="20"/>
            </w:pPr>
            <w:r>
              <w:t xml:space="preserve">·  Company logo / name is off the header. Tenant label set to a generic code (e.g. PILOT-DE-01).</w:t>
            </w:r>
          </w:p>
          <w:p>
            <w:pPr>
              <w:spacing w:after="20" w:before="20"/>
            </w:pPr>
            <w:r>
              <w:t xml:space="preserve">·  User profile in the top-right shows a neutral name (not a real employee).</w:t>
            </w:r>
          </w:p>
          <w:p>
            <w:pPr>
              <w:spacing w:after="20" w:before="20"/>
            </w:pPr>
            <w:r>
              <w:t xml:space="preserve">·  Browser tab title, window title, Slack/Mail notifications hidden.</w:t>
            </w:r>
          </w:p>
          <w:p>
            <w:pPr>
              <w:spacing w:after="20" w:before="20"/>
            </w:pPr>
            <w:r>
              <w:t xml:space="preserve">·  Email / export dialogs won’t auto-fill an identifiable address.</w:t>
            </w:r>
          </w:p>
          <w:p>
            <w:pPr>
              <w:spacing w:after="40" w:before="80"/>
            </w:pPr>
            <w:r>
              <w:rPr>
                <w:i/>
                <w:iCs/>
              </w:rPr>
              <w:t xml:space="preserve">If asked who the customer is: “I’m under a data-processing agreement so I can’t share the name on this call — happy to walk through the case study under NDA afterward.”</w:t>
            </w:r>
          </w:p>
          <w:p>
            <w:pPr>
              <w:spacing w:after="0" w:before="40"/>
            </w:pPr>
            <w:r>
              <w:rPr>
                <w:i/>
                <w:iCs/>
              </w:rPr>
              <w:t xml:space="preserve">On the data itself — say “live deployment, anonymized”, not “real production data.” Same investor takeaway, lower legal risk.</w:t>
            </w:r>
          </w:p>
        </w:tc>
      </w:tr>
    </w:tbl>
    <w:p>
      <w:pPr>
        <w:pStyle w:val="Heading3"/>
        <w:spacing w:after="80" w:before="180"/>
      </w:pPr>
      <w:r>
        <w:rPr>
          <w:b/>
          <w:bCs/>
          <w:color w:val="0F766E"/>
        </w:rPr>
        <w:t xml:space="preserve">Tabs to have open (in this order, left to right)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Revenue &amp; Margins page — pre-loaded on the Quoted vs Actual hero chart.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Pricing &amp; Quotes page — pre-loaded on the Pricing Command Center table, one row pre-highlighted.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AI Insights page — chat cleared, report cards visible at the top.</w:t>
      </w:r>
    </w:p>
    <w:p>
      <w:pPr>
        <w:pStyle w:val="Heading3"/>
        <w:spacing w:after="80" w:before="180"/>
      </w:pPr>
      <w:r>
        <w:rPr>
          <w:b/>
          <w:bCs/>
          <w:color w:val="0F766E"/>
        </w:rPr>
        <w:t xml:space="preserve">Numbers to keep in your head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Revenue €6.25M · DB2 margin 61% · Quoted-vs-Actual gap closed from 14.9pp to 1.4pp in 2 years · €971K lost on pricing in 12 months.</w:t>
      </w:r>
    </w:p>
    <w:p>
      <w:pPr>
        <w:pStyle w:val="Heading3"/>
        <w:spacing w:after="80" w:before="180"/>
      </w:pPr>
      <w:r>
        <w:rPr>
          <w:b/>
          <w:bCs/>
          <w:color w:val="0F766E"/>
        </w:rPr>
        <w:t xml:space="preserve">Tone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Slow down. 4 minutes feels short until you’re live. Let each chart breathe for 2 seconds before you speak.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End every section with a decision, not a feature. “So the CFO does X.”</w:t>
      </w:r>
    </w:p>
    <w:p>
      <w:r>
        <w:br w:type="page"/>
      </w:r>
    </w:p>
    <w:p>
      <w:pPr>
        <w:pStyle w:val="Heading1"/>
        <w:spacing w:after="160" w:before="320"/>
      </w:pPr>
      <w:r>
        <w:rPr>
          <w:b/>
          <w:bCs/>
          <w:color w:val="1F3A8A"/>
        </w:rPr>
        <w:t xml:space="preserve">4-minute timing map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500"/>
        <w:gridCol w:w="3360"/>
      </w:tblGrid>
      <w:tr>
        <w:trPr>
          <w:tblHeader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Time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Beat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The one thing they remember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color w:val="1F3A8A"/>
              </w:rPr>
              <w:t xml:space="preserve">0:00 – 0:30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Opening — the problem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i/>
                <w:iCs/>
                <w:color w:val="6B7280"/>
              </w:rPr>
              <w:t xml:space="preserve">“Margin dies invisibly in mid-market manufacturing.”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color w:val="1F3A8A"/>
              </w:rPr>
              <w:t xml:space="preserve">0:30 – 1:30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Quoted vs Actual gap chart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i/>
                <w:iCs/>
                <w:color w:val="6B7280"/>
              </w:rPr>
              <w:t xml:space="preserve">From 14.9pp to 1.4pp — millions of euros recovered.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color w:val="1F3A8A"/>
              </w:rPr>
              <w:t xml:space="preserve">1:30 – 2:30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Pricing Command Center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i/>
                <w:iCs/>
                <w:color w:val="6B7280"/>
              </w:rPr>
              <w:t xml:space="preserve">Every chart ends in a decision. Reprice / Renegotiate / Hold.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color w:val="1F3A8A"/>
              </w:rPr>
              <w:t xml:space="preserve">2:30 – 3:30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AI Insights + Weekly Report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i/>
                <w:iCs/>
                <w:color w:val="6B7280"/>
              </w:rPr>
              <w:t xml:space="preserve">Insights find you. The Monday brief writes itself.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color w:val="1F3A8A"/>
              </w:rPr>
              <w:t xml:space="preserve">3:30 – 4:00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Close + ask for follow-up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i/>
                <w:iCs/>
                <w:color w:val="6B7280"/>
              </w:rPr>
              <w:t xml:space="preserve">“I’ve shown you 20%. Want to see the rest under NDA?”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660"/>
      </w:tblGrid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A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0:00 – 0:30</w:t>
            </w:r>
          </w:p>
        </w:tc>
        <w:tc>
          <w:tcPr>
            <w:tcW w:type="dxa" w:w="7660"/>
            <w:tcBorders>
              <w:top w:val="none" w:color="FFFFFF" w:sz="0"/>
              <w:left w:val="none" w:color="FFFFFF" w:sz="0"/>
              <w:bottom w:val="single" w:color="1F3A8A" w:sz="8"/>
              <w:right w:val="none" w:color="FFFFFF" w:sz="0"/>
            </w:tcBorders>
            <w:tcMar>
              <w:top w:type="dxa" w:w="100"/>
              <w:left w:type="dxa" w:w="20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3A8A"/>
                <w:sz w:val="28"/>
                <w:szCs w:val="28"/>
              </w:rPr>
              <w:t xml:space="preserve">Opening — frame the problem</w:t>
            </w:r>
          </w:p>
        </w:tc>
      </w:tr>
    </w:tbl>
    <w:p>
      <w:pPr>
        <w:pStyle w:val="Heading3"/>
        <w:spacing w:after="80" w:before="180"/>
      </w:pPr>
      <w:r>
        <w:rPr>
          <w:b/>
          <w:bCs/>
          <w:color w:val="0F766E"/>
        </w:rPr>
        <w:t xml:space="preserve">Don’t share screen yet. Look them in the eye.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3A8A" w:sz="4"/>
              <w:left w:val="single" w:color="1F3A8A" w:sz="16"/>
              <w:bottom w:val="single" w:color="1F3A8A" w:sz="4"/>
              <w:right w:val="single" w:color="1F3A8A" w:sz="4"/>
            </w:tcBorders>
            <w:shd w:fill="EEF2FF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 w:before="0"/>
            </w:pPr>
            <w:r>
              <w:rPr>
                <w:b/>
                <w:bCs/>
                <w:color w:val="1F3A8A"/>
                <w:sz w:val="20"/>
                <w:szCs w:val="20"/>
              </w:rPr>
              <w:t xml:space="preserve">SAY (verbatim, 30 seconds)</w:t>
            </w:r>
          </w:p>
          <w:p>
            <w:pPr>
              <w:spacing w:after="80" w:before="0"/>
            </w:pPr>
            <w:r>
              <w:t xml:space="preserve">“I’m going to keep this tight — 4 minutes on screen, then I’d rather use the rest of our time for conversation.”</w:t>
            </w:r>
          </w:p>
          <w:p>
            <w:pPr>
              <w:spacing w:after="80" w:before="40"/>
            </w:pPr>
            <w:r>
              <w:t xml:space="preserve">“What you’re about to see is Pryzm deployed live for a German industrial pump manufacturer — mid-market, roughly 6 million euros in revenue. I can’t name them because of GDPR, and what you’ll see is anonymized — but this is a real live deployment, not a synthetic demo.”</w:t>
            </w:r>
          </w:p>
          <w:p>
            <w:pPr>
              <w:spacing w:after="0" w:before="40"/>
            </w:pPr>
            <w:r>
              <w:t xml:space="preserve">“The problem they have, and every mid-market industrial manufacturer has, is that margin dies invisibly. You quote a part at 70% margin and somehow it lands at 55%. You lose a customer worth 300K and only notice three months later. We built Pryzm to fix exactly that. Three quick moments, then we talk.”</w:t>
            </w:r>
          </w:p>
        </w:tc>
      </w:tr>
    </w:tbl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Share screen. </w:t>
      </w:r>
      <w:r>
        <w:t xml:space="preserve">Open on Revenue &amp; Margins — skip the Dashboard flyover entirely.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660"/>
      </w:tblGrid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A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0:30 – 1:30</w:t>
            </w:r>
          </w:p>
        </w:tc>
        <w:tc>
          <w:tcPr>
            <w:tcW w:type="dxa" w:w="7660"/>
            <w:tcBorders>
              <w:top w:val="none" w:color="FFFFFF" w:sz="0"/>
              <w:left w:val="none" w:color="FFFFFF" w:sz="0"/>
              <w:bottom w:val="single" w:color="1F3A8A" w:sz="8"/>
              <w:right w:val="none" w:color="FFFFFF" w:sz="0"/>
            </w:tcBorders>
            <w:tcMar>
              <w:top w:type="dxa" w:w="100"/>
              <w:left w:type="dxa" w:w="20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3A8A"/>
                <w:sz w:val="28"/>
                <w:szCs w:val="28"/>
              </w:rPr>
              <w:t xml:space="preserve">Beat 1 — the Quoted vs Actual gap chart</w:t>
            </w:r>
          </w:p>
        </w:tc>
      </w:tr>
    </w:tbl>
    <w:p>
      <w:pPr>
        <w:pStyle w:val="Heading3"/>
        <w:spacing w:after="80" w:before="180"/>
      </w:pPr>
      <w:r>
        <w:rPr>
          <w:b/>
          <w:bCs/>
          <w:color w:val="0F766E"/>
        </w:rPr>
        <w:t xml:space="preserve">The single most iconic chart in the product — land this one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Hover the blue line in 2022-Q1: point at 14.9pp.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Drag your cursor across to 2024-Q4: point at 1.4pp.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3A8A" w:sz="4"/>
              <w:left w:val="single" w:color="1F3A8A" w:sz="16"/>
              <w:bottom w:val="single" w:color="1F3A8A" w:sz="4"/>
              <w:right w:val="single" w:color="1F3A8A" w:sz="4"/>
            </w:tcBorders>
            <w:shd w:fill="EEF2FF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 w:before="0"/>
            </w:pPr>
            <w:r>
              <w:rPr>
                <w:b/>
                <w:bCs/>
                <w:color w:val="1F3A8A"/>
                <w:sz w:val="20"/>
                <w:szCs w:val="20"/>
              </w:rPr>
              <w:t xml:space="preserve">SAY (verbatim, ~45 seconds)</w:t>
            </w:r>
          </w:p>
          <w:p>
            <w:pPr>
              <w:spacing w:after="80" w:before="0"/>
            </w:pPr>
            <w:r>
              <w:t xml:space="preserve">“This is the most important chart in the product. Blue line is what we quoted. Orange line is what we invoiced. The gap between them is margin leakage — real money walking out the door.”</w:t>
            </w:r>
          </w:p>
          <w:p>
            <w:pPr>
              <w:spacing w:after="80" w:before="40"/>
            </w:pPr>
            <w:r>
              <w:t xml:space="preserve">“Two years ago, the gap was 14.9 percentage points. Today it’s 1.4. That’s millions of euros of recovered margin — traceable to decisions this customer made using Pryzm.”</w:t>
            </w:r>
          </w:p>
          <w:p>
            <w:pPr>
              <w:spacing w:after="0" w:before="40"/>
            </w:pPr>
            <w:r>
              <w:t xml:space="preserve">“Every mid-market manufacturer has this gap. Most don’t see it until year-end. Pryzm surfaces it in real time — so the customer acts on the leak while it’s still a trickle.”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45309" w:sz="4"/>
              <w:left w:val="single" w:color="B45309" w:sz="16"/>
              <w:bottom w:val="single" w:color="B45309" w:sz="4"/>
              <w:right w:val="single" w:color="B45309" w:sz="4"/>
            </w:tcBorders>
            <w:shd w:fill="FEF3C7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 w:before="0"/>
            </w:pPr>
            <w:r>
              <w:rPr>
                <w:b/>
                <w:bCs/>
                <w:color w:val="B45309"/>
                <w:sz w:val="20"/>
                <w:szCs w:val="20"/>
              </w:rPr>
              <w:t xml:space="preserve">DO NOT</w:t>
            </w:r>
          </w:p>
          <w:p>
            <w:pPr>
              <w:spacing w:after="40" w:before="40"/>
            </w:pPr>
            <w:r>
              <w:t xml:space="preserve">Don’t explain the KPI cards at the top. Don’t show the commodity-group breakdown. Don’t scroll to the margin-gap-by-customer table. Save all of that for the follow-up. One chart, one story, move on.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660"/>
      </w:tblGrid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A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1:30 – 2:30</w:t>
            </w:r>
          </w:p>
        </w:tc>
        <w:tc>
          <w:tcPr>
            <w:tcW w:type="dxa" w:w="7660"/>
            <w:tcBorders>
              <w:top w:val="none" w:color="FFFFFF" w:sz="0"/>
              <w:left w:val="none" w:color="FFFFFF" w:sz="0"/>
              <w:bottom w:val="single" w:color="1F3A8A" w:sz="8"/>
              <w:right w:val="none" w:color="FFFFFF" w:sz="0"/>
            </w:tcBorders>
            <w:tcMar>
              <w:top w:type="dxa" w:w="100"/>
              <w:left w:type="dxa" w:w="20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3A8A"/>
                <w:sz w:val="28"/>
                <w:szCs w:val="28"/>
              </w:rPr>
              <w:t xml:space="preserve">Beat 2 — Pricing Command Center (the action)</w:t>
            </w:r>
          </w:p>
        </w:tc>
      </w:tr>
    </w:tbl>
    <w:p>
      <w:pPr>
        <w:pStyle w:val="Heading3"/>
        <w:spacing w:after="80" w:before="180"/>
      </w:pPr>
      <w:r>
        <w:rPr>
          <w:b/>
          <w:bCs/>
          <w:color w:val="0F766E"/>
        </w:rPr>
        <w:t xml:space="preserve">Click to Pricing &amp; Quotes — scroll straight to the Command Center 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3A8A" w:sz="4"/>
              <w:left w:val="single" w:color="1F3A8A" w:sz="16"/>
              <w:bottom w:val="single" w:color="1F3A8A" w:sz="4"/>
              <w:right w:val="single" w:color="1F3A8A" w:sz="4"/>
            </w:tcBorders>
            <w:shd w:fill="EEF2FF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 w:before="0"/>
            </w:pPr>
            <w:r>
              <w:rPr>
                <w:b/>
                <w:bCs/>
                <w:color w:val="1F3A8A"/>
                <w:sz w:val="20"/>
                <w:szCs w:val="20"/>
              </w:rPr>
              <w:t xml:space="preserve">SAY (verbatim, ~50 seconds)</w:t>
            </w:r>
          </w:p>
          <w:p>
            <w:pPr>
              <w:spacing w:after="80" w:before="0"/>
            </w:pPr>
            <w:r>
              <w:t xml:space="preserve">“Here’s the part I love. Every chart in Pryzm ends in a decision. This is the Pricing Command Center — every SKU ranked by risk, each one tagged with a recovery potential in euros and a one-word action: Reprice, Renegotiate, Hold, Discontinue.”</w:t>
            </w:r>
          </w:p>
          <w:p>
            <w:pPr>
              <w:spacing w:after="80" w:before="40"/>
            </w:pPr>
            <w:r>
              <w:t xml:space="preserve">[Click the top row. The 4-tab detail panel opens.]</w:t>
            </w:r>
            <w:r>
              <w:rPr>
                <w:i/>
                <w:iCs/>
                <w:color w:val="6B7280"/>
              </w:rPr>
              <w:t xml:space="preserve"/>
            </w:r>
          </w:p>
          <w:p>
            <w:pPr>
              <w:spacing w:after="80" w:before="40"/>
            </w:pPr>
            <w:r>
              <w:t xml:space="preserve">“And when you click any row, the full context opens in one glance — current price, recommended price, the cost trend behind it, the win-rate on quotes for this SKU, which customers buy it and how exposed they are to a price change.”</w:t>
            </w:r>
          </w:p>
          <w:p>
            <w:pPr>
              <w:spacing w:after="0" w:before="40"/>
            </w:pPr>
            <w:r>
              <w:t xml:space="preserve">“The CFO doesn’t interpret charts — they work a queue. That’s the shift.”</w:t>
            </w:r>
          </w:p>
        </w:tc>
      </w:tr>
    </w:tbl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Close the panel. </w:t>
      </w:r>
      <w:r>
        <w:t xml:space="preserve">Resist the urge to walk all four tabs. Clicking the row and saying “full context in one glance” is enough — they’ll ask about the tabs if they want to see them.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660"/>
      </w:tblGrid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A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2:30 – 3:30</w:t>
            </w:r>
          </w:p>
        </w:tc>
        <w:tc>
          <w:tcPr>
            <w:tcW w:type="dxa" w:w="7660"/>
            <w:tcBorders>
              <w:top w:val="none" w:color="FFFFFF" w:sz="0"/>
              <w:left w:val="none" w:color="FFFFFF" w:sz="0"/>
              <w:bottom w:val="single" w:color="1F3A8A" w:sz="8"/>
              <w:right w:val="none" w:color="FFFFFF" w:sz="0"/>
            </w:tcBorders>
            <w:tcMar>
              <w:top w:type="dxa" w:w="100"/>
              <w:left w:type="dxa" w:w="20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3A8A"/>
                <w:sz w:val="28"/>
                <w:szCs w:val="28"/>
              </w:rPr>
              <w:t xml:space="preserve">Beat 3 — AI Insights + Weekly Report</w:t>
            </w:r>
          </w:p>
        </w:tc>
      </w:tr>
    </w:tbl>
    <w:p>
      <w:pPr>
        <w:pStyle w:val="Heading3"/>
        <w:spacing w:after="80" w:before="180"/>
      </w:pPr>
      <w:r>
        <w:rPr>
          <w:b/>
          <w:bCs/>
          <w:color w:val="0F766E"/>
        </w:rPr>
        <w:t xml:space="preserve">Click to AI Insights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3A8A" w:sz="4"/>
              <w:left w:val="single" w:color="1F3A8A" w:sz="16"/>
              <w:bottom w:val="single" w:color="1F3A8A" w:sz="4"/>
              <w:right w:val="single" w:color="1F3A8A" w:sz="4"/>
            </w:tcBorders>
            <w:shd w:fill="EEF2FF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 w:before="0"/>
            </w:pPr>
            <w:r>
              <w:rPr>
                <w:b/>
                <w:bCs/>
                <w:color w:val="1F3A8A"/>
                <w:sz w:val="20"/>
                <w:szCs w:val="20"/>
              </w:rPr>
              <w:t xml:space="preserve">SAY (verbatim, ~50 seconds)</w:t>
            </w:r>
          </w:p>
          <w:p>
            <w:pPr>
              <w:spacing w:after="80" w:before="0"/>
            </w:pPr>
            <w:r>
              <w:t xml:space="preserve">“Last moment. Most BI tools wait for you to ask a question. Pryzm flips that. Every morning, six insight engines fire automatically and put the answers in front of you.”</w:t>
            </w:r>
          </w:p>
          <w:p>
            <w:pPr>
              <w:spacing w:after="80" w:before="40"/>
            </w:pPr>
            <w:r>
              <w:t xml:space="preserve">[Point at the Churn Early Warning card.]</w:t>
            </w:r>
            <w:r>
              <w:rPr>
                <w:i/>
                <w:iCs/>
                <w:color w:val="6B7280"/>
              </w:rPr>
              <w:t xml:space="preserve"/>
            </w:r>
          </w:p>
          <w:p>
            <w:pPr>
              <w:spacing w:after="80" w:before="40"/>
            </w:pPr>
            <w:r>
              <w:t xml:space="preserve">“This one says: customer X’s revenue is down 96% year over year, zero percent win rate on the last five quotes, recommend immediate account review. Rules-based triggers fire the alert — the LLM only writes the prose. No hallucinations on the numbers.”</w:t>
            </w:r>
          </w:p>
          <w:p>
            <w:pPr>
              <w:spacing w:after="80" w:before="40"/>
            </w:pPr>
            <w:r>
              <w:t xml:space="preserve">[Click Export PDF on the Weekly Margin Brief card. The PDF downloads.]</w:t>
            </w:r>
            <w:r>
              <w:rPr>
                <w:i/>
                <w:iCs/>
                <w:color w:val="6B7280"/>
              </w:rPr>
              <w:t xml:space="preserve"/>
            </w:r>
          </w:p>
          <w:p>
            <w:pPr>
              <w:spacing w:after="0" w:before="40"/>
            </w:pPr>
            <w:r>
              <w:t xml:space="preserve">“And one click generates the CFO’s Monday morning brief. Five pages — executive summary, margin briefing, pricing actions, customer risk, forecast. This used to take a finance analyst two days. Now it’s already done before the CFO opens his laptop.”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660"/>
      </w:tblGrid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A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3:30 – 4:00</w:t>
            </w:r>
          </w:p>
        </w:tc>
        <w:tc>
          <w:tcPr>
            <w:tcW w:type="dxa" w:w="7660"/>
            <w:tcBorders>
              <w:top w:val="none" w:color="FFFFFF" w:sz="0"/>
              <w:left w:val="none" w:color="FFFFFF" w:sz="0"/>
              <w:bottom w:val="single" w:color="1F3A8A" w:sz="8"/>
              <w:right w:val="none" w:color="FFFFFF" w:sz="0"/>
            </w:tcBorders>
            <w:tcMar>
              <w:top w:type="dxa" w:w="100"/>
              <w:left w:type="dxa" w:w="20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3A8A"/>
                <w:sz w:val="28"/>
                <w:szCs w:val="28"/>
              </w:rPr>
              <w:t xml:space="preserve">Close — ask for the follow-up</w:t>
            </w:r>
          </w:p>
        </w:tc>
      </w:tr>
    </w:tbl>
    <w:p>
      <w:pPr>
        <w:pStyle w:val="Heading3"/>
        <w:spacing w:after="80" w:before="180"/>
      </w:pPr>
      <w:r>
        <w:rPr>
          <w:b/>
          <w:bCs/>
          <w:color w:val="0F766E"/>
        </w:rPr>
        <w:t xml:space="preserve">Stop sharing screen. Pause for 2 seconds. Then say: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3A8A" w:sz="4"/>
              <w:left w:val="single" w:color="1F3A8A" w:sz="16"/>
              <w:bottom w:val="single" w:color="1F3A8A" w:sz="4"/>
              <w:right w:val="single" w:color="1F3A8A" w:sz="4"/>
            </w:tcBorders>
            <w:shd w:fill="EEF2FF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 w:before="0"/>
            </w:pPr>
            <w:r>
              <w:rPr>
                <w:b/>
                <w:bCs/>
                <w:color w:val="1F3A8A"/>
                <w:sz w:val="20"/>
                <w:szCs w:val="20"/>
              </w:rPr>
              <w:t xml:space="preserve">THE CLOSING ASK (verbatim, 30 seconds)</w:t>
            </w:r>
          </w:p>
          <w:p>
            <w:pPr>
              <w:spacing w:after="80" w:before="0"/>
            </w:pPr>
            <w:r>
              <w:rPr>
                <w:i/>
                <w:iCs/>
              </w:rPr>
              <w:t xml:space="preserve">“That’s the teaser. I’ve shown you maybe 20% of what’s in the product — there’s a whole customer intelligence layer, a forecasting engine that projects margin 12 months out, the SKU-level deep-dive panels, and a loss analysis module that tells you exactly why you’re losing deals. I’m deliberately not showing all of it right now.”</w:t>
            </w:r>
          </w:p>
          <w:p>
            <w:pPr>
              <w:spacing w:after="80" w:before="80"/>
            </w:pPr>
            <w:r>
              <w:rPr>
                <w:b/>
                <w:bCs/>
                <w:color w:val="1F3A8A"/>
              </w:rPr>
              <w:t xml:space="preserve">“If what you’ve just seen is interesting to you, I’d love to do a proper 30-minute walkthrough and share the full case study under NDA. Does it make sense to put something on the calendar?”</w:t>
            </w:r>
          </w:p>
          <w:p>
            <w:pPr>
              <w:spacing w:after="0" w:before="80"/>
            </w:pPr>
            <w:r>
              <w:rPr>
                <w:b/>
                <w:bCs/>
              </w:rPr>
              <w:t xml:space="preserve">Then — stop talking. Let them respond.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rPr>
          <w:b/>
          <w:bCs/>
          <w:color w:val="1F3A8A"/>
        </w:rPr>
        <w:t xml:space="preserve">Appendix A — if they lean in, here’s what to show next</w:t>
      </w:r>
    </w:p>
    <w:p>
      <w:pPr>
        <w:spacing w:after="60" w:before="60"/>
      </w:pPr>
      <w:r>
        <w:rPr>
          <w:i/>
          <w:iCs/>
          <w:color w:val="6B7280"/>
        </w:rPr>
        <w:t xml:space="preserve">The teaser is 4 minutes. If an investor asks a question that earns you more time, these are the 4 pre-rehearsed extensions. Show ONE, not all. Each is a 60-90 second detour — and each one earns you the follow-up meeting on its own.</w:t>
      </w:r>
    </w:p>
    <w:p>
      <w:pPr>
        <w:pStyle w:val="Heading3"/>
        <w:spacing w:after="80" w:before="180"/>
      </w:pPr>
      <w:r>
        <w:rPr>
          <w:b/>
          <w:bCs/>
          <w:color w:val="0F766E"/>
        </w:rPr>
        <w:t xml:space="preserve">Extension A — “Who uses this besides the CFO?”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Jump to Customers. </w:t>
      </w:r>
      <w:r>
        <w:t xml:space="preserve">Show the Revenue × Margin scatter chart: “Every dot is a customer. X-axis revenue, Y-axis margin, color is risk tier.” Point at the bottom-right quadrant: “High revenue, low margin — these are the accounts costing us money.” Then scroll to the Action List: “This is what a key account manager sees Monday morning — the top 5 customers to call this week.”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Close line: “Finance is the buyer, but sales gets the Action List for free. That’s the multi-seat expansion inside the account.”</w:t>
      </w:r>
    </w:p>
    <w:p>
      <w:pPr>
        <w:pStyle w:val="Heading3"/>
        <w:spacing w:after="80" w:before="180"/>
      </w:pPr>
      <w:r>
        <w:rPr>
          <w:b/>
          <w:bCs/>
          <w:color w:val="0F766E"/>
        </w:rPr>
        <w:t xml:space="preserve">Extension B — “How granular does it go?”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Jump to Products &amp; SKUs. </w:t>
      </w:r>
      <w:r>
        <w:t xml:space="preserve">Click any article to open the SKU side panel. Walk 3 sections only: KPI cards (“3 customers, one of them is 55% of revenue — concentration risk”), Price vs Cost trend (“price up 11%, cost up 14% — absorbing 21% of the cost increase”), Pricing recommendation footer (“the action, with the recovery number attached”). Close the panel.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Close line: “One mental model, every entity — same panel shape on SKUs, on Customers, on Quotes.”</w:t>
      </w:r>
    </w:p>
    <w:p>
      <w:pPr>
        <w:pStyle w:val="Heading3"/>
        <w:spacing w:after="80" w:before="180"/>
      </w:pPr>
      <w:r>
        <w:rPr>
          <w:b/>
          <w:bCs/>
          <w:color w:val="0F766E"/>
        </w:rPr>
        <w:t xml:space="preserve">Extension C — “Is there a predictive layer?”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Jump to Forecasting. </w:t>
      </w:r>
      <w:r>
        <w:t xml:space="preserve">Land on the Margin Trajectory chart: “Historical margin plus a smoothed projection with a widening uncertainty band, and the 60% floor marked in red. At the current trend, margin reaches the floor by mid-2025 — which gives the CFO a 12-month early warning, not a 90-day fire drill.” Point at the Cost Trajectory chart: “Material costs stable, full manufacturing cost rising. This isn’t an inputs problem, it’s a fixed-overhead-absorption problem. That’s a board-level conversation.”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Close line: “Four models trained, walk-forward backtested. Real time-series ML — not an LLM guessing.”</w:t>
      </w:r>
    </w:p>
    <w:p>
      <w:pPr>
        <w:pStyle w:val="Heading3"/>
        <w:spacing w:after="80" w:before="180"/>
      </w:pPr>
      <w:r>
        <w:rPr>
          <w:b/>
          <w:bCs/>
          <w:color w:val="0F766E"/>
        </w:rPr>
        <w:t xml:space="preserve">Extension D — “How do I trust the AI numbers?”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Stay on AI Insights. </w:t>
      </w:r>
      <w:r>
        <w:t xml:space="preserve">Click a suggested prompt like “Why is BKAGG margin 14 points below BKAES?” Let the answer stream. Narrate: “It’s pulling the same data brief, the same cost structure breakdown, the same win-rate context the rest of the product uses. So the answer is consistent with every chart they’ve already seen. The AI doesn’t compute the numbers — the data pipeline does. The LLM only writes the prose.”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Close line: “Every figure on screen traces back to a row in the warehouse. Auditable, testable, no hallucinations on the numbers.”</w:t>
      </w:r>
    </w:p>
    <w:p>
      <w:r>
        <w:br w:type="page"/>
      </w:r>
    </w:p>
    <w:p>
      <w:pPr>
        <w:pStyle w:val="Heading1"/>
        <w:spacing w:after="160" w:before="320"/>
      </w:pPr>
      <w:r>
        <w:rPr>
          <w:b/>
          <w:bCs/>
          <w:color w:val="1F3A8A"/>
        </w:rPr>
        <w:t xml:space="preserve">Appendix B — likely investor questions</w:t>
      </w:r>
    </w:p>
    <w:p>
      <w:pPr>
        <w:pStyle w:val="Heading3"/>
        <w:spacing w:after="80" w:before="180"/>
      </w:pPr>
      <w:r>
        <w:rPr>
          <w:b/>
          <w:bCs/>
          <w:color w:val="0F766E"/>
        </w:rPr>
        <w:t xml:space="preserve">“How is this different from Power BI / Tableau?”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Power BI shows you data. Pryzm tells you what to do with it — the Action List, the SKU pricing recommendation, the Churn Early Warning. These aren’t charts, they’re decisions.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Power BI takes a 6-month consulting engagement to build. Pryzm is shipped vertical software — connect your ERP, live in days.</w:t>
      </w:r>
    </w:p>
    <w:p>
      <w:pPr>
        <w:pStyle w:val="Heading3"/>
        <w:spacing w:after="80" w:before="180"/>
      </w:pPr>
      <w:r>
        <w:rPr>
          <w:b/>
          <w:bCs/>
          <w:color w:val="0F766E"/>
        </w:rPr>
        <w:t xml:space="preserve">“How defensible is this?”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Three moats: (1) domain-specific data model tuned to industrial manufacturing; (2) pre-computed insight engines (rules + ML); (3) workflow lock-in — once the CFO’s Monday brief is automated, they’re not going back to spreadsheets.</w:t>
      </w:r>
    </w:p>
    <w:p>
      <w:pPr>
        <w:pStyle w:val="Heading3"/>
        <w:spacing w:after="80" w:before="180"/>
      </w:pPr>
      <w:r>
        <w:rPr>
          <w:b/>
          <w:bCs/>
          <w:color w:val="0F766E"/>
        </w:rPr>
        <w:t xml:space="preserve">“Who’s the buyer — CFO or sales?”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Both — that’s the multiplier. CFO buys for forecast accuracy and margin defense; sales gets the Action List and Customer panels for free. We land with finance, expand into KAMs.</w:t>
      </w:r>
    </w:p>
    <w:p>
      <w:pPr>
        <w:pStyle w:val="Heading3"/>
        <w:spacing w:after="80" w:before="180"/>
      </w:pPr>
      <w:r>
        <w:rPr>
          <w:b/>
          <w:bCs/>
          <w:color w:val="0F766E"/>
        </w:rPr>
        <w:t xml:space="preserve">“Data integration?”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Today: secure SFTP / CSV ingest from any ERP. Tomorrow: pre-built connectors for the top 5 mid-market ERPs in DACH manufacturing.</w:t>
      </w:r>
    </w:p>
    <w:p>
      <w:pPr>
        <w:pStyle w:val="Heading3"/>
        <w:spacing w:after="80" w:before="180"/>
      </w:pPr>
      <w:r>
        <w:rPr>
          <w:b/>
          <w:bCs/>
          <w:color w:val="0F766E"/>
        </w:rPr>
        <w:t xml:space="preserve">“AI cost per customer?”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Insight engines are deterministic and cheap (cron + SQL). LLM calls happen on chat and weekly reports — single-digit dollars per customer per month. Software economics, not foundation-model burn.</w:t>
      </w:r>
    </w:p>
    <w:p>
      <w:pPr>
        <w:pStyle w:val="Heading3"/>
        <w:spacing w:after="80" w:before="180"/>
      </w:pPr>
      <w:r>
        <w:rPr>
          <w:b/>
          <w:bCs/>
          <w:color w:val="0F766E"/>
        </w:rPr>
        <w:t xml:space="preserve">“Why only one customer?”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We deliberately built deep on one customer to prove the data model end-to-end. The 6 insight engines, the side panels, the report generator — all reusable. The next deployment is configuration, not rebuild.</w:t>
      </w:r>
    </w:p>
    <w:p>
      <w:pPr>
        <w:pStyle w:val="Heading1"/>
        <w:spacing w:after="160" w:before="320"/>
      </w:pPr>
      <w:r>
        <w:rPr>
          <w:b/>
          <w:bCs/>
          <w:color w:val="1F3A8A"/>
        </w:rPr>
        <w:t xml:space="preserve">Appendix C — recovery cues if something goes sideways</w:t>
      </w:r>
    </w:p>
    <w:p>
      <w:pPr>
        <w:pStyle w:val="Heading3"/>
        <w:spacing w:after="80" w:before="180"/>
      </w:pPr>
      <w:r>
        <w:rPr>
          <w:b/>
          <w:bCs/>
          <w:color w:val="0F766E"/>
        </w:rPr>
        <w:t xml:space="preserve">If a chart doesn’t load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“This is loading from the live warehouse — while it does, here’s what you’ll see…” and describe the chart from memory. Don’t apologize.</w:t>
      </w:r>
    </w:p>
    <w:p>
      <w:pPr>
        <w:pStyle w:val="Heading3"/>
        <w:spacing w:after="80" w:before="180"/>
      </w:pPr>
      <w:r>
        <w:rPr>
          <w:b/>
          <w:bCs/>
          <w:color w:val="0F766E"/>
        </w:rPr>
        <w:t xml:space="preserve">If the AI chat answer is slow or weird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“Our chat is wired to the same data the dashboards use — the latency is the safety check, not a flaw.” Move on to the report card example.</w:t>
      </w:r>
    </w:p>
    <w:p>
      <w:pPr>
        <w:pStyle w:val="Heading3"/>
        <w:spacing w:after="80" w:before="180"/>
      </w:pPr>
      <w:r>
        <w:rPr>
          <w:b/>
          <w:bCs/>
          <w:color w:val="0F766E"/>
        </w:rPr>
        <w:t xml:space="preserve">If you forget a number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Default to the four headline numbers: €6.25M revenue, 61% DB2 margin, gap closed from 14.9pp to 1.4pp, €971K lost on pricing in 12 months.</w:t>
      </w:r>
    </w:p>
    <w:p>
      <w:pPr>
        <w:pStyle w:val="Heading3"/>
        <w:spacing w:after="80" w:before="180"/>
      </w:pPr>
      <w:r>
        <w:rPr>
          <w:b/>
          <w:bCs/>
          <w:color w:val="0F766E"/>
        </w:rPr>
        <w:t xml:space="preserve">If they ask who the pilot customer is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“I’m under a data-processing agreement so I can’t share the name on this call — happy to walk through the case study under NDA afterward.” Bridge: “What I can tell you is the profile — mid-market German industrial manufacturer, ~€6M revenue, ~1,000 SKUs.”</w:t>
      </w:r>
    </w:p>
    <w:p>
      <w:pPr>
        <w:pStyle w:val="Heading3"/>
        <w:spacing w:after="80" w:before="180"/>
      </w:pPr>
      <w:r>
        <w:rPr>
          <w:b/>
          <w:bCs/>
          <w:color w:val="0F766E"/>
        </w:rPr>
        <w:t xml:space="preserve">If you slip and say the name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Don’t call attention to it. Keep going. If the investor repeats it: “Let’s keep it generic for this call.” Move on.</w:t>
      </w:r>
    </w:p>
    <w:p>
      <w:pPr>
        <w:pStyle w:val="Heading3"/>
        <w:spacing w:after="80" w:before="180"/>
      </w:pPr>
      <w:r>
        <w:rPr>
          <w:b/>
          <w:bCs/>
          <w:color w:val="0F766E"/>
        </w:rPr>
        <w:t xml:space="preserve">If they want to see more during the call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First response: “Let me show you one more thing quickly — then I want to make sure we have time for your questions.” Pick ONE Appendix A extension. Then stop.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Second response: “There’s much more, and I’d rather do it justice in a proper walkthrough. Can we put 30 minutes on the calendar next week?” Convert to a follow-up.</w:t>
      </w:r>
    </w:p>
    <w:p>
      <w:pPr>
        <w:spacing w:after="0" w:before="320"/>
        <w:jc w:val="center"/>
      </w:pPr>
      <w:r>
        <w:rPr>
          <w:i/>
          <w:iCs/>
          <w:color w:val="6B7280"/>
        </w:rPr>
        <w:t xml:space="preserve">— Good luck. Three moments: the gap chart, the Pricing Command Center, the Weekly Report. Then ask for the follow-up. —</w:t>
      </w:r>
    </w:p>
    <w:sectPr>
      <w:headerReference w:type="default" r:id="rId7"/>
      <w:footerReference w:type="default" r:id="rId8"/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B7280"/>
        <w:sz w:val="18"/>
        <w:szCs w:val="18"/>
      </w:rPr>
      <w:t xml:space="preserve">Page </w:t>
    </w:r>
    <w:r>
      <w:rPr>
        <w:color w:val="6B72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360"/>
      </w:tabs>
    </w:pPr>
    <w:r>
      <w:rPr>
        <w:color w:val="6B7280"/>
        <w:sz w:val="18"/>
        <w:szCs w:val="18"/>
      </w:rPr>
      <w:t xml:space="preserve">Pryzm — Margin Intelligence Platform</w:t>
    </w:r>
    <w:r>
      <w:rPr>
        <w:color w:val="6B7280"/>
        <w:sz w:val="18"/>
        <w:szCs w:val="18"/>
      </w:rPr>
      <w:t xml:space="preserve">	Encourage Ventures Teaser — 4 min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</w:lvl>
    <w:lvl w:ilvl="1" w15:tentative="1">
      <w:start w:val="1"/>
      <w:numFmt w:val="bullet"/>
      <w:lvlText w:val="◦"/>
      <w:lvlJc w:val="left"/>
      <w:pPr>
        <w:ind w:left="100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Calibri" w:cs="Calibri" w:eastAsia="Calibri" w:hAnsi="Calibri"/>
      <w:b/>
      <w:bCs/>
      <w:color w:val="1F3A8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Calibri" w:cs="Calibri" w:eastAsia="Calibri" w:hAnsi="Calibri"/>
      <w:b/>
      <w:bCs/>
      <w:color w:val="1F3A8A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Calibri" w:cs="Calibri" w:eastAsia="Calibri" w:hAnsi="Calibri"/>
      <w:b/>
      <w:bCs/>
      <w:color w:val="0F766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Pryzm — Encourage Ventures 4-min Teaser</dc:title>
  <dc:creator>Shahad</dc:creator>
  <dc:description>4-minute investor teaser demo script</dc:description>
  <cp:lastModifiedBy>Un-named</cp:lastModifiedBy>
  <cp:revision>1</cp:revision>
  <dcterms:created xsi:type="dcterms:W3CDTF">2026-04-23T09:49:41.899Z</dcterms:created>
  <dcterms:modified xsi:type="dcterms:W3CDTF">2026-04-23T09:49:41.902Z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