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E5D80"/>
        </w:rPr>
        <w:t>Pryzm Forecast &amp; Churn — Output File Guide</w:t>
      </w:r>
    </w:p>
    <w:p>
      <w:r>
        <w:rPr>
          <w:rFonts w:ascii="Calibri" w:hAnsi="Calibri"/>
          <w:b w:val="0"/>
          <w:i/>
          <w:color w:val="606B7A"/>
          <w:sz w:val="22"/>
        </w:rPr>
        <w:t>Generated 2026-05-13. Walks through every file in notebooks/output/ in simple language. Each section explains what the file is, how to read it, and what number is the headline.</w:t>
      </w:r>
    </w:p>
    <w:p>
      <w:pPr>
        <w:pStyle w:val="Heading1"/>
      </w:pPr>
      <w:r>
        <w:rPr>
          <w:rFonts w:ascii="Calibri" w:hAnsi="Calibri"/>
          <w:color w:val="3E5D80"/>
        </w:rPr>
        <w:t>What this report covers</w:t>
      </w:r>
    </w:p>
    <w:p>
      <w:r>
        <w:rPr>
          <w:rFonts w:ascii="Calibri" w:hAnsi="Calibri"/>
          <w:b w:val="0"/>
          <w:i w:val="0"/>
          <w:sz w:val="22"/>
        </w:rPr>
        <w:t>We built four things on top of your invoices and quotes data: (1) multi-level forecasts of revenue / volume / margin, (2) per-customer and per-SKU forecasts, (3) a customer-churn model with at-risk-revenue, and (4) a quote-to-order win-rate model with expected-booked-revenue. All of it lands as files in notebooks/output/. This guide opens each one and explains what's inside.</w:t>
      </w:r>
    </w:p>
    <w:p>
      <w:pPr>
        <w:pStyle w:val="Heading1"/>
      </w:pPr>
      <w:r>
        <w:rPr>
          <w:rFonts w:ascii="Calibri" w:hAnsi="Calibri"/>
          <w:color w:val="3E5D80"/>
        </w:rPr>
        <w:t>The headline numbers</w:t>
      </w:r>
    </w:p>
    <w:p>
      <w:pPr>
        <w:pStyle w:val="ListBullet"/>
      </w:pPr>
      <w:r>
        <w:t>228 customers have ≥50% chance of churning in the next quarter</w:t>
      </w:r>
    </w:p>
    <w:p>
      <w:pPr>
        <w:pStyle w:val="ListBullet"/>
      </w:pPr>
      <w:r>
        <w:t>284 customers have ≥50% chance of churning over the next year</w:t>
      </w:r>
    </w:p>
    <w:p>
      <w:pPr>
        <w:pStyle w:val="ListBullet"/>
      </w:pPr>
      <w:r>
        <w:t>EUR 629k is the at-risk revenue from the top-50 customers over 4 quarters</w:t>
      </w:r>
    </w:p>
    <w:p>
      <w:pPr>
        <w:pStyle w:val="ListBullet"/>
      </w:pPr>
      <w:r>
        <w:t>EUR 450k expected booked revenue in the open quote pipeline for 2025-Q3 + Q4</w:t>
      </w:r>
    </w:p>
    <w:p>
      <w:pPr>
        <w:pStyle w:val="ListBullet"/>
      </w:pPr>
      <w:r>
        <w:t>Churn model is highly accurate (AUC 0.94 at 1Q)</w:t>
      </w:r>
    </w:p>
    <w:p>
      <w:pPr>
        <w:pStyle w:val="ListBullet"/>
      </w:pPr>
      <w:r>
        <w:t>Quote win-rate model is accurate (AUC 0.84)</w:t>
      </w:r>
    </w:p>
    <w:p>
      <w:pPr>
        <w:pStyle w:val="ListBullet"/>
      </w:pPr>
      <w:r>
        <w:t>Margin forecasts pass the 12% accuracy gate at every lens</w:t>
      </w:r>
    </w:p>
    <w:p>
      <w:pPr>
        <w:pStyle w:val="Heading1"/>
      </w:pPr>
      <w:r>
        <w:rPr>
          <w:rFonts w:ascii="Calibri" w:hAnsi="Calibri"/>
          <w:color w:val="3E5D80"/>
        </w:rPr>
        <w:t>Two things to keep in mind</w:t>
      </w:r>
    </w:p>
    <w:p>
      <w:pPr>
        <w:pStyle w:val="ListBullet"/>
      </w:pPr>
      <w:r>
        <w:t>We forecast monthly AND quarterly. Use the quarterly view for planning — it's smoother and more reliable. The monthly view is good for trend-watching.</w:t>
      </w:r>
    </w:p>
    <w:p>
      <w:pPr>
        <w:pStyle w:val="ListBullet"/>
      </w:pPr>
      <w:r>
        <w:t>Per-individual-customer and per-individual-SKU forecasts are informational, not point forecasts. Industrial B2B order patterns are too bursty for reliable monthly point forecasts per account. Use the rankings and the at-risk-revenue, not the exact euro number.</w:t>
      </w:r>
    </w:p>
    <w:p>
      <w:r>
        <w:br w:type="page"/>
      </w:r>
    </w:p>
    <w:p>
      <w:pPr>
        <w:pStyle w:val="Heading1"/>
      </w:pPr>
      <w:r>
        <w:rPr>
          <w:rFonts w:ascii="Calibri" w:hAnsi="Calibri"/>
          <w:color w:val="3E5D80"/>
        </w:rPr>
        <w:t>Files in notebooks/output/</w:t>
      </w:r>
    </w:p>
    <w:p>
      <w:pPr>
        <w:pStyle w:val="Heading2"/>
      </w:pPr>
      <w:r>
        <w:rPr>
          <w:rFonts w:ascii="Calibri" w:hAnsi="Calibri"/>
          <w:color w:val="1F2937"/>
        </w:rPr>
        <w:t>1. internal_timeseries.parquet</w:t>
      </w:r>
    </w:p>
    <w:p>
      <w:r>
        <w:rPr>
          <w:b/>
          <w:color w:val="3E5D80"/>
          <w:sz w:val="22"/>
        </w:rPr>
        <w:t xml:space="preserve">Plain language: </w:t>
      </w:r>
      <w:r>
        <w:rPr>
          <w:sz w:val="22"/>
        </w:rPr>
        <w:t>The starting building block. Every invoice line in the source data is grouped into monthly numbers at three different lenses: the company as a whole, each business unit, and each commodity group. Six numbers are calculated per month per lens: revenue, volume, margin %, contribution margin €, and average cost per piece.</w:t>
      </w:r>
    </w:p>
    <w:p>
      <w:r>
        <w:rPr>
          <w:rFonts w:ascii="Calibri" w:hAnsi="Calibri"/>
          <w:b w:val="0"/>
          <w:i w:val="0"/>
          <w:sz w:val="22"/>
        </w:rPr>
        <w:t>Total rows: 1,584. Date range: Jan 2022 – Dec 2025.</w:t>
      </w:r>
    </w:p>
    <w:p>
      <w:r>
        <w:rPr>
          <w:rFonts w:ascii="Calibri" w:hAnsi="Calibri"/>
          <w:b/>
          <w:i w:val="0"/>
          <w:sz w:val="22"/>
        </w:rPr>
        <w:t>Coverage by lens (grain) and metric:</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grain</w:t>
            </w:r>
          </w:p>
        </w:tc>
        <w:tc>
          <w:tcPr>
            <w:tcW w:type="dxa" w:w="1234"/>
          </w:tcPr>
          <w:p>
            <w:r>
              <w:rPr>
                <w:b/>
                <w:sz w:val="20"/>
              </w:rPr>
              <w:t>db1_margin</w:t>
            </w:r>
          </w:p>
        </w:tc>
        <w:tc>
          <w:tcPr>
            <w:tcW w:type="dxa" w:w="1234"/>
          </w:tcPr>
          <w:p>
            <w:r>
              <w:rPr>
                <w:b/>
                <w:sz w:val="20"/>
              </w:rPr>
              <w:t>db2_margin</w:t>
            </w:r>
          </w:p>
        </w:tc>
        <w:tc>
          <w:tcPr>
            <w:tcW w:type="dxa" w:w="1234"/>
          </w:tcPr>
          <w:p>
            <w:r>
              <w:rPr>
                <w:b/>
                <w:sz w:val="20"/>
              </w:rPr>
              <w:t>hkvar_per_unit</w:t>
            </w:r>
          </w:p>
        </w:tc>
        <w:tc>
          <w:tcPr>
            <w:tcW w:type="dxa" w:w="1234"/>
          </w:tcPr>
          <w:p>
            <w:r>
              <w:rPr>
                <w:b/>
                <w:sz w:val="20"/>
              </w:rPr>
              <w:t>material_per_unit</w:t>
            </w:r>
          </w:p>
        </w:tc>
        <w:tc>
          <w:tcPr>
            <w:tcW w:type="dxa" w:w="1234"/>
          </w:tcPr>
          <w:p>
            <w:r>
              <w:rPr>
                <w:b/>
                <w:sz w:val="20"/>
              </w:rPr>
              <w:t>revenue</w:t>
            </w:r>
          </w:p>
        </w:tc>
        <w:tc>
          <w:tcPr>
            <w:tcW w:type="dxa" w:w="1234"/>
          </w:tcPr>
          <w:p>
            <w:r>
              <w:rPr>
                <w:b/>
                <w:sz w:val="20"/>
              </w:rPr>
              <w:t>volume</w:t>
            </w:r>
          </w:p>
        </w:tc>
      </w:tr>
      <w:tr>
        <w:tc>
          <w:tcPr>
            <w:tcW w:type="dxa" w:w="1234"/>
          </w:tcPr>
          <w:p>
            <w:r>
              <w:rPr>
                <w:sz w:val="20"/>
              </w:rPr>
              <w:t>business_unit</w:t>
            </w:r>
          </w:p>
        </w:tc>
        <w:tc>
          <w:tcPr>
            <w:tcW w:type="dxa" w:w="1234"/>
          </w:tcPr>
          <w:p>
            <w:r>
              <w:rPr>
                <w:sz w:val="20"/>
              </w:rPr>
              <w:t>48</w:t>
            </w:r>
          </w:p>
        </w:tc>
        <w:tc>
          <w:tcPr>
            <w:tcW w:type="dxa" w:w="1234"/>
          </w:tcPr>
          <w:p>
            <w:r>
              <w:rPr>
                <w:sz w:val="20"/>
              </w:rPr>
              <w:t>48</w:t>
            </w:r>
          </w:p>
        </w:tc>
        <w:tc>
          <w:tcPr>
            <w:tcW w:type="dxa" w:w="1234"/>
          </w:tcPr>
          <w:p>
            <w:r>
              <w:rPr>
                <w:sz w:val="20"/>
              </w:rPr>
              <w:t>48</w:t>
            </w:r>
          </w:p>
        </w:tc>
        <w:tc>
          <w:tcPr>
            <w:tcW w:type="dxa" w:w="1234"/>
          </w:tcPr>
          <w:p>
            <w:r>
              <w:rPr>
                <w:sz w:val="20"/>
              </w:rPr>
              <w:t>48</w:t>
            </w:r>
          </w:p>
        </w:tc>
        <w:tc>
          <w:tcPr>
            <w:tcW w:type="dxa" w:w="1234"/>
          </w:tcPr>
          <w:p>
            <w:r>
              <w:rPr>
                <w:sz w:val="20"/>
              </w:rPr>
              <w:t>48</w:t>
            </w:r>
          </w:p>
        </w:tc>
        <w:tc>
          <w:tcPr>
            <w:tcW w:type="dxa" w:w="1234"/>
          </w:tcPr>
          <w:p>
            <w:r>
              <w:rPr>
                <w:sz w:val="20"/>
              </w:rPr>
              <w:t>48</w:t>
            </w:r>
          </w:p>
        </w:tc>
      </w:tr>
      <w:tr>
        <w:tc>
          <w:tcPr>
            <w:tcW w:type="dxa" w:w="1234"/>
          </w:tcPr>
          <w:p>
            <w:r>
              <w:rPr>
                <w:sz w:val="20"/>
              </w:rPr>
              <w:t>commodity_group</w:t>
            </w:r>
          </w:p>
        </w:tc>
        <w:tc>
          <w:tcPr>
            <w:tcW w:type="dxa" w:w="1234"/>
          </w:tcPr>
          <w:p>
            <w:r>
              <w:rPr>
                <w:sz w:val="20"/>
              </w:rPr>
              <w:t>168</w:t>
            </w:r>
          </w:p>
        </w:tc>
        <w:tc>
          <w:tcPr>
            <w:tcW w:type="dxa" w:w="1234"/>
          </w:tcPr>
          <w:p>
            <w:r>
              <w:rPr>
                <w:sz w:val="20"/>
              </w:rPr>
              <w:t>168</w:t>
            </w:r>
          </w:p>
        </w:tc>
        <w:tc>
          <w:tcPr>
            <w:tcW w:type="dxa" w:w="1234"/>
          </w:tcPr>
          <w:p>
            <w:r>
              <w:rPr>
                <w:sz w:val="20"/>
              </w:rPr>
              <w:t>168</w:t>
            </w:r>
          </w:p>
        </w:tc>
        <w:tc>
          <w:tcPr>
            <w:tcW w:type="dxa" w:w="1234"/>
          </w:tcPr>
          <w:p>
            <w:r>
              <w:rPr>
                <w:sz w:val="20"/>
              </w:rPr>
              <w:t>168</w:t>
            </w:r>
          </w:p>
        </w:tc>
        <w:tc>
          <w:tcPr>
            <w:tcW w:type="dxa" w:w="1234"/>
          </w:tcPr>
          <w:p>
            <w:r>
              <w:rPr>
                <w:sz w:val="20"/>
              </w:rPr>
              <w:t>168</w:t>
            </w:r>
          </w:p>
        </w:tc>
        <w:tc>
          <w:tcPr>
            <w:tcW w:type="dxa" w:w="1234"/>
          </w:tcPr>
          <w:p>
            <w:r>
              <w:rPr>
                <w:sz w:val="20"/>
              </w:rPr>
              <w:t>168</w:t>
            </w:r>
          </w:p>
        </w:tc>
      </w:tr>
      <w:tr>
        <w:tc>
          <w:tcPr>
            <w:tcW w:type="dxa" w:w="1234"/>
          </w:tcPr>
          <w:p>
            <w:r>
              <w:rPr>
                <w:sz w:val="20"/>
              </w:rPr>
              <w:t>total</w:t>
            </w:r>
          </w:p>
        </w:tc>
        <w:tc>
          <w:tcPr>
            <w:tcW w:type="dxa" w:w="1234"/>
          </w:tcPr>
          <w:p>
            <w:r>
              <w:rPr>
                <w:sz w:val="20"/>
              </w:rPr>
              <w:t>48</w:t>
            </w:r>
          </w:p>
        </w:tc>
        <w:tc>
          <w:tcPr>
            <w:tcW w:type="dxa" w:w="1234"/>
          </w:tcPr>
          <w:p>
            <w:r>
              <w:rPr>
                <w:sz w:val="20"/>
              </w:rPr>
              <w:t>48</w:t>
            </w:r>
          </w:p>
        </w:tc>
        <w:tc>
          <w:tcPr>
            <w:tcW w:type="dxa" w:w="1234"/>
          </w:tcPr>
          <w:p>
            <w:r>
              <w:rPr>
                <w:sz w:val="20"/>
              </w:rPr>
              <w:t>48</w:t>
            </w:r>
          </w:p>
        </w:tc>
        <w:tc>
          <w:tcPr>
            <w:tcW w:type="dxa" w:w="1234"/>
          </w:tcPr>
          <w:p>
            <w:r>
              <w:rPr>
                <w:sz w:val="20"/>
              </w:rPr>
              <w:t>48</w:t>
            </w:r>
          </w:p>
        </w:tc>
        <w:tc>
          <w:tcPr>
            <w:tcW w:type="dxa" w:w="1234"/>
          </w:tcPr>
          <w:p>
            <w:r>
              <w:rPr>
                <w:sz w:val="20"/>
              </w:rPr>
              <w:t>48</w:t>
            </w:r>
          </w:p>
        </w:tc>
        <w:tc>
          <w:tcPr>
            <w:tcW w:type="dxa" w:w="1234"/>
          </w:tcPr>
          <w:p>
            <w:r>
              <w:rPr>
                <w:sz w:val="20"/>
              </w:rPr>
              <w:t>48</w:t>
            </w:r>
          </w:p>
        </w:tc>
      </w:tr>
    </w:tbl>
    <w:p>
      <w:r>
        <w:rPr>
          <w:rFonts w:ascii="Calibri" w:hAnsi="Calibri"/>
          <w:b/>
          <w:i w:val="0"/>
          <w:sz w:val="22"/>
        </w:rPr>
        <w:t>How to read it</w:t>
      </w:r>
    </w:p>
    <w:p>
      <w:pPr>
        <w:pStyle w:val="ListBullet"/>
      </w:pPr>
      <w:r>
        <w:t>grain = the lens (total / business_unit / commodity_group)</w:t>
      </w:r>
    </w:p>
    <w:p>
      <w:pPr>
        <w:pStyle w:val="ListBullet"/>
      </w:pPr>
      <w:r>
        <w:t>key = which BU or commodity group (or 'all' for total)</w:t>
      </w:r>
    </w:p>
    <w:p>
      <w:pPr>
        <w:pStyle w:val="ListBullet"/>
      </w:pPr>
      <w:r>
        <w:t>ts = month-end timestamp</w:t>
      </w:r>
    </w:p>
    <w:p>
      <w:pPr>
        <w:pStyle w:val="ListBullet"/>
      </w:pPr>
      <w:r>
        <w:t>metric = which number this row reports</w:t>
      </w:r>
    </w:p>
    <w:p>
      <w:pPr>
        <w:pStyle w:val="ListBullet"/>
      </w:pPr>
      <w:r>
        <w:t>value = the number itself</w:t>
      </w:r>
    </w:p>
    <w:p>
      <w:pPr>
        <w:pStyle w:val="Heading2"/>
      </w:pPr>
      <w:r>
        <w:rPr>
          <w:rFonts w:ascii="Calibri" w:hAnsi="Calibri"/>
          <w:color w:val="1F2937"/>
        </w:rPr>
        <w:t>2. extended_internal_timeseries.parquet</w:t>
      </w:r>
    </w:p>
    <w:p>
      <w:r>
        <w:rPr>
          <w:b/>
          <w:color w:val="3E5D80"/>
          <w:sz w:val="22"/>
        </w:rPr>
        <w:t xml:space="preserve">Plain language: </w:t>
      </w:r>
      <w:r>
        <w:rPr>
          <w:sz w:val="22"/>
        </w:rPr>
        <w:t>Same idea as the file above, but zoomed in. We add two more lenses: top-50 individual customers and top-100 individual articles (SKUs). Customers and SKUs that didn't make the top list are bundled into an 'other' bucket per commodity group so nothing is lost.</w:t>
      </w:r>
    </w:p>
    <w:p>
      <w:r>
        <w:rPr>
          <w:rFonts w:ascii="Calibri" w:hAnsi="Calibri"/>
          <w:b w:val="0"/>
          <w:i w:val="0"/>
          <w:sz w:val="22"/>
        </w:rPr>
        <w:t>Total rows: 22,687. Unique series (grain × key × metric combinations): 1,246.</w:t>
      </w:r>
    </w:p>
    <w:p>
      <w:r>
        <w:rPr>
          <w:rFonts w:ascii="Calibri" w:hAnsi="Calibri"/>
          <w:b/>
          <w:i w:val="0"/>
          <w:sz w:val="22"/>
        </w:rPr>
        <w:t>Rows per lens × metric:</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grain</w:t>
            </w:r>
          </w:p>
        </w:tc>
        <w:tc>
          <w:tcPr>
            <w:tcW w:type="dxa" w:w="1080"/>
          </w:tcPr>
          <w:p>
            <w:r>
              <w:rPr>
                <w:b/>
                <w:sz w:val="20"/>
              </w:rPr>
              <w:t>db1_margin</w:t>
            </w:r>
          </w:p>
        </w:tc>
        <w:tc>
          <w:tcPr>
            <w:tcW w:type="dxa" w:w="1080"/>
          </w:tcPr>
          <w:p>
            <w:r>
              <w:rPr>
                <w:b/>
                <w:sz w:val="20"/>
              </w:rPr>
              <w:t>db1_total</w:t>
            </w:r>
          </w:p>
        </w:tc>
        <w:tc>
          <w:tcPr>
            <w:tcW w:type="dxa" w:w="1080"/>
          </w:tcPr>
          <w:p>
            <w:r>
              <w:rPr>
                <w:b/>
                <w:sz w:val="20"/>
              </w:rPr>
              <w:t>db2_margin</w:t>
            </w:r>
          </w:p>
        </w:tc>
        <w:tc>
          <w:tcPr>
            <w:tcW w:type="dxa" w:w="1080"/>
          </w:tcPr>
          <w:p>
            <w:r>
              <w:rPr>
                <w:b/>
                <w:sz w:val="20"/>
              </w:rPr>
              <w:t>db2_total</w:t>
            </w:r>
          </w:p>
        </w:tc>
        <w:tc>
          <w:tcPr>
            <w:tcW w:type="dxa" w:w="1080"/>
          </w:tcPr>
          <w:p>
            <w:r>
              <w:rPr>
                <w:b/>
                <w:sz w:val="20"/>
              </w:rPr>
              <w:t>lines</w:t>
            </w:r>
          </w:p>
        </w:tc>
        <w:tc>
          <w:tcPr>
            <w:tcW w:type="dxa" w:w="1080"/>
          </w:tcPr>
          <w:p>
            <w:r>
              <w:rPr>
                <w:b/>
                <w:sz w:val="20"/>
              </w:rPr>
              <w:t>quantity</w:t>
            </w:r>
          </w:p>
        </w:tc>
        <w:tc>
          <w:tcPr>
            <w:tcW w:type="dxa" w:w="1080"/>
          </w:tcPr>
          <w:p>
            <w:r>
              <w:rPr>
                <w:b/>
                <w:sz w:val="20"/>
              </w:rPr>
              <w:t>revenue</w:t>
            </w:r>
          </w:p>
        </w:tc>
      </w:tr>
      <w:tr>
        <w:tc>
          <w:tcPr>
            <w:tcW w:type="dxa" w:w="1080"/>
          </w:tcPr>
          <w:p>
            <w:r>
              <w:rPr>
                <w:sz w:val="20"/>
              </w:rPr>
              <w:t>article</w:t>
            </w:r>
          </w:p>
        </w:tc>
        <w:tc>
          <w:tcPr>
            <w:tcW w:type="dxa" w:w="1080"/>
          </w:tcPr>
          <w:p>
            <w:r>
              <w:rPr>
                <w:sz w:val="20"/>
              </w:rPr>
              <w:t>1667</w:t>
            </w:r>
          </w:p>
        </w:tc>
        <w:tc>
          <w:tcPr>
            <w:tcW w:type="dxa" w:w="1080"/>
          </w:tcPr>
          <w:p>
            <w:r>
              <w:rPr>
                <w:sz w:val="20"/>
              </w:rPr>
              <w:t>1667</w:t>
            </w:r>
          </w:p>
        </w:tc>
        <w:tc>
          <w:tcPr>
            <w:tcW w:type="dxa" w:w="1080"/>
          </w:tcPr>
          <w:p>
            <w:r>
              <w:rPr>
                <w:sz w:val="20"/>
              </w:rPr>
              <w:t>1667</w:t>
            </w:r>
          </w:p>
        </w:tc>
        <w:tc>
          <w:tcPr>
            <w:tcW w:type="dxa" w:w="1080"/>
          </w:tcPr>
          <w:p>
            <w:r>
              <w:rPr>
                <w:sz w:val="20"/>
              </w:rPr>
              <w:t>1667</w:t>
            </w:r>
          </w:p>
        </w:tc>
        <w:tc>
          <w:tcPr>
            <w:tcW w:type="dxa" w:w="1080"/>
          </w:tcPr>
          <w:p>
            <w:r>
              <w:rPr>
                <w:sz w:val="20"/>
              </w:rPr>
              <w:t>1667</w:t>
            </w:r>
          </w:p>
        </w:tc>
        <w:tc>
          <w:tcPr>
            <w:tcW w:type="dxa" w:w="1080"/>
          </w:tcPr>
          <w:p>
            <w:r>
              <w:rPr>
                <w:sz w:val="20"/>
              </w:rPr>
              <w:t>1667</w:t>
            </w:r>
          </w:p>
        </w:tc>
        <w:tc>
          <w:tcPr>
            <w:tcW w:type="dxa" w:w="1080"/>
          </w:tcPr>
          <w:p>
            <w:r>
              <w:rPr>
                <w:sz w:val="20"/>
              </w:rPr>
              <w:t>1667</w:t>
            </w:r>
          </w:p>
        </w:tc>
      </w:tr>
      <w:tr>
        <w:tc>
          <w:tcPr>
            <w:tcW w:type="dxa" w:w="1080"/>
          </w:tcPr>
          <w:p>
            <w:r>
              <w:rPr>
                <w:sz w:val="20"/>
              </w:rPr>
              <w:t>business_unit</w:t>
            </w:r>
          </w:p>
        </w:tc>
        <w:tc>
          <w:tcPr>
            <w:tcW w:type="dxa" w:w="1080"/>
          </w:tcPr>
          <w:p>
            <w:r>
              <w:rPr>
                <w:sz w:val="20"/>
              </w:rPr>
              <w:t>48</w:t>
            </w:r>
          </w:p>
        </w:tc>
        <w:tc>
          <w:tcPr>
            <w:tcW w:type="dxa" w:w="1080"/>
          </w:tcPr>
          <w:p>
            <w:r>
              <w:rPr>
                <w:sz w:val="20"/>
              </w:rPr>
              <w:t>48</w:t>
            </w:r>
          </w:p>
        </w:tc>
        <w:tc>
          <w:tcPr>
            <w:tcW w:type="dxa" w:w="1080"/>
          </w:tcPr>
          <w:p>
            <w:r>
              <w:rPr>
                <w:sz w:val="20"/>
              </w:rPr>
              <w:t>48</w:t>
            </w:r>
          </w:p>
        </w:tc>
        <w:tc>
          <w:tcPr>
            <w:tcW w:type="dxa" w:w="1080"/>
          </w:tcPr>
          <w:p>
            <w:r>
              <w:rPr>
                <w:sz w:val="20"/>
              </w:rPr>
              <w:t>48</w:t>
            </w:r>
          </w:p>
        </w:tc>
        <w:tc>
          <w:tcPr>
            <w:tcW w:type="dxa" w:w="1080"/>
          </w:tcPr>
          <w:p>
            <w:r>
              <w:rPr>
                <w:sz w:val="20"/>
              </w:rPr>
              <w:t>48</w:t>
            </w:r>
          </w:p>
        </w:tc>
        <w:tc>
          <w:tcPr>
            <w:tcW w:type="dxa" w:w="1080"/>
          </w:tcPr>
          <w:p>
            <w:r>
              <w:rPr>
                <w:sz w:val="20"/>
              </w:rPr>
              <w:t>48</w:t>
            </w:r>
          </w:p>
        </w:tc>
        <w:tc>
          <w:tcPr>
            <w:tcW w:type="dxa" w:w="1080"/>
          </w:tcPr>
          <w:p>
            <w:r>
              <w:rPr>
                <w:sz w:val="20"/>
              </w:rPr>
              <w:t>48</w:t>
            </w:r>
          </w:p>
        </w:tc>
      </w:tr>
      <w:tr>
        <w:tc>
          <w:tcPr>
            <w:tcW w:type="dxa" w:w="1080"/>
          </w:tcPr>
          <w:p>
            <w:r>
              <w:rPr>
                <w:sz w:val="20"/>
              </w:rPr>
              <w:t>commodity_group</w:t>
            </w:r>
          </w:p>
        </w:tc>
        <w:tc>
          <w:tcPr>
            <w:tcW w:type="dxa" w:w="1080"/>
          </w:tcPr>
          <w:p>
            <w:r>
              <w:rPr>
                <w:sz w:val="20"/>
              </w:rPr>
              <w:t>168</w:t>
            </w:r>
          </w:p>
        </w:tc>
        <w:tc>
          <w:tcPr>
            <w:tcW w:type="dxa" w:w="1080"/>
          </w:tcPr>
          <w:p>
            <w:r>
              <w:rPr>
                <w:sz w:val="20"/>
              </w:rPr>
              <w:t>168</w:t>
            </w:r>
          </w:p>
        </w:tc>
        <w:tc>
          <w:tcPr>
            <w:tcW w:type="dxa" w:w="1080"/>
          </w:tcPr>
          <w:p>
            <w:r>
              <w:rPr>
                <w:sz w:val="20"/>
              </w:rPr>
              <w:t>168</w:t>
            </w:r>
          </w:p>
        </w:tc>
        <w:tc>
          <w:tcPr>
            <w:tcW w:type="dxa" w:w="1080"/>
          </w:tcPr>
          <w:p>
            <w:r>
              <w:rPr>
                <w:sz w:val="20"/>
              </w:rPr>
              <w:t>168</w:t>
            </w:r>
          </w:p>
        </w:tc>
        <w:tc>
          <w:tcPr>
            <w:tcW w:type="dxa" w:w="1080"/>
          </w:tcPr>
          <w:p>
            <w:r>
              <w:rPr>
                <w:sz w:val="20"/>
              </w:rPr>
              <w:t>168</w:t>
            </w:r>
          </w:p>
        </w:tc>
        <w:tc>
          <w:tcPr>
            <w:tcW w:type="dxa" w:w="1080"/>
          </w:tcPr>
          <w:p>
            <w:r>
              <w:rPr>
                <w:sz w:val="20"/>
              </w:rPr>
              <w:t>168</w:t>
            </w:r>
          </w:p>
        </w:tc>
        <w:tc>
          <w:tcPr>
            <w:tcW w:type="dxa" w:w="1080"/>
          </w:tcPr>
          <w:p>
            <w:r>
              <w:rPr>
                <w:sz w:val="20"/>
              </w:rPr>
              <w:t>168</w:t>
            </w:r>
          </w:p>
        </w:tc>
      </w:tr>
      <w:tr>
        <w:tc>
          <w:tcPr>
            <w:tcW w:type="dxa" w:w="1080"/>
          </w:tcPr>
          <w:p>
            <w:r>
              <w:rPr>
                <w:sz w:val="20"/>
              </w:rPr>
              <w:t>customer</w:t>
            </w:r>
          </w:p>
        </w:tc>
        <w:tc>
          <w:tcPr>
            <w:tcW w:type="dxa" w:w="1080"/>
          </w:tcPr>
          <w:p>
            <w:r>
              <w:rPr>
                <w:sz w:val="20"/>
              </w:rPr>
              <w:t>1310</w:t>
            </w:r>
          </w:p>
        </w:tc>
        <w:tc>
          <w:tcPr>
            <w:tcW w:type="dxa" w:w="1080"/>
          </w:tcPr>
          <w:p>
            <w:r>
              <w:rPr>
                <w:sz w:val="20"/>
              </w:rPr>
              <w:t>1310</w:t>
            </w:r>
          </w:p>
        </w:tc>
        <w:tc>
          <w:tcPr>
            <w:tcW w:type="dxa" w:w="1080"/>
          </w:tcPr>
          <w:p>
            <w:r>
              <w:rPr>
                <w:sz w:val="20"/>
              </w:rPr>
              <w:t>1310</w:t>
            </w:r>
          </w:p>
        </w:tc>
        <w:tc>
          <w:tcPr>
            <w:tcW w:type="dxa" w:w="1080"/>
          </w:tcPr>
          <w:p>
            <w:r>
              <w:rPr>
                <w:sz w:val="20"/>
              </w:rPr>
              <w:t>1310</w:t>
            </w:r>
          </w:p>
        </w:tc>
        <w:tc>
          <w:tcPr>
            <w:tcW w:type="dxa" w:w="1080"/>
          </w:tcPr>
          <w:p>
            <w:r>
              <w:rPr>
                <w:sz w:val="20"/>
              </w:rPr>
              <w:t>1310</w:t>
            </w:r>
          </w:p>
        </w:tc>
        <w:tc>
          <w:tcPr>
            <w:tcW w:type="dxa" w:w="1080"/>
          </w:tcPr>
          <w:p>
            <w:r>
              <w:rPr>
                <w:sz w:val="20"/>
              </w:rPr>
              <w:t>1310</w:t>
            </w:r>
          </w:p>
        </w:tc>
        <w:tc>
          <w:tcPr>
            <w:tcW w:type="dxa" w:w="1080"/>
          </w:tcPr>
          <w:p>
            <w:r>
              <w:rPr>
                <w:sz w:val="20"/>
              </w:rPr>
              <w:t>1310</w:t>
            </w:r>
          </w:p>
        </w:tc>
      </w:tr>
      <w:tr>
        <w:tc>
          <w:tcPr>
            <w:tcW w:type="dxa" w:w="1080"/>
          </w:tcPr>
          <w:p>
            <w:r>
              <w:rPr>
                <w:sz w:val="20"/>
              </w:rPr>
              <w:t>total</w:t>
            </w:r>
          </w:p>
        </w:tc>
        <w:tc>
          <w:tcPr>
            <w:tcW w:type="dxa" w:w="1080"/>
          </w:tcPr>
          <w:p>
            <w:r>
              <w:rPr>
                <w:sz w:val="20"/>
              </w:rPr>
              <w:t>48</w:t>
            </w:r>
          </w:p>
        </w:tc>
        <w:tc>
          <w:tcPr>
            <w:tcW w:type="dxa" w:w="1080"/>
          </w:tcPr>
          <w:p>
            <w:r>
              <w:rPr>
                <w:sz w:val="20"/>
              </w:rPr>
              <w:t>48</w:t>
            </w:r>
          </w:p>
        </w:tc>
        <w:tc>
          <w:tcPr>
            <w:tcW w:type="dxa" w:w="1080"/>
          </w:tcPr>
          <w:p>
            <w:r>
              <w:rPr>
                <w:sz w:val="20"/>
              </w:rPr>
              <w:t>48</w:t>
            </w:r>
          </w:p>
        </w:tc>
        <w:tc>
          <w:tcPr>
            <w:tcW w:type="dxa" w:w="1080"/>
          </w:tcPr>
          <w:p>
            <w:r>
              <w:rPr>
                <w:sz w:val="20"/>
              </w:rPr>
              <w:t>48</w:t>
            </w:r>
          </w:p>
        </w:tc>
        <w:tc>
          <w:tcPr>
            <w:tcW w:type="dxa" w:w="1080"/>
          </w:tcPr>
          <w:p>
            <w:r>
              <w:rPr>
                <w:sz w:val="20"/>
              </w:rPr>
              <w:t>48</w:t>
            </w:r>
          </w:p>
        </w:tc>
        <w:tc>
          <w:tcPr>
            <w:tcW w:type="dxa" w:w="1080"/>
          </w:tcPr>
          <w:p>
            <w:r>
              <w:rPr>
                <w:sz w:val="20"/>
              </w:rPr>
              <w:t>48</w:t>
            </w:r>
          </w:p>
        </w:tc>
        <w:tc>
          <w:tcPr>
            <w:tcW w:type="dxa" w:w="1080"/>
          </w:tcPr>
          <w:p>
            <w:r>
              <w:rPr>
                <w:sz w:val="20"/>
              </w:rPr>
              <w:t>48</w:t>
            </w:r>
          </w:p>
        </w:tc>
      </w:tr>
    </w:tbl>
    <w:p>
      <w:r>
        <w:rPr>
          <w:rFonts w:ascii="Calibri" w:hAnsi="Calibri"/>
          <w:b/>
          <w:i w:val="0"/>
          <w:sz w:val="22"/>
        </w:rPr>
        <w:t>Why this matters</w:t>
      </w:r>
    </w:p>
    <w:p>
      <w:r>
        <w:rPr>
          <w:rFonts w:ascii="Calibri" w:hAnsi="Calibri"/>
          <w:b w:val="0"/>
          <w:i w:val="0"/>
          <w:sz w:val="22"/>
        </w:rPr>
        <w:t>This is the substrate that every customer-level forecast and the churn at-risk-revenue calculation feed off. The 'other' buckets keep the totals reconcilable.</w:t>
      </w:r>
    </w:p>
    <w:p>
      <w:pPr>
        <w:pStyle w:val="Heading2"/>
      </w:pPr>
      <w:r>
        <w:rPr>
          <w:rFonts w:ascii="Calibri" w:hAnsi="Calibri"/>
          <w:color w:val="1F2937"/>
        </w:rPr>
        <w:t>3. market_series.parquet + market_series_catalog.csv</w:t>
      </w:r>
    </w:p>
    <w:p>
      <w:r>
        <w:rPr>
          <w:b/>
          <w:color w:val="3E5D80"/>
          <w:sz w:val="22"/>
        </w:rPr>
        <w:t xml:space="preserve">Plain language: </w:t>
      </w:r>
      <w:r>
        <w:rPr>
          <w:sz w:val="22"/>
        </w:rPr>
        <w:t>External market data we fetched from FRED (US Federal Reserve), the ECB (European Central Bank) and the EIA (US Energy Information). Things like steel &amp; copper prices, oil, natural gas, German industrial production, EUR/USD, EUR/CHF exchange rates. These are the levers that can move pump-business cost and pricing.</w:t>
      </w:r>
    </w:p>
    <w:p>
      <w:r>
        <w:rPr>
          <w:rFonts w:ascii="Calibri" w:hAnsi="Calibri"/>
          <w:b w:val="0"/>
          <w:i w:val="0"/>
          <w:sz w:val="22"/>
        </w:rPr>
        <w:t>Series fetched: 24 from 3 providers (ecb, eia, fred).</w:t>
      </w:r>
    </w:p>
    <w:p>
      <w:r>
        <w:rPr>
          <w:rFonts w:ascii="Calibri" w:hAnsi="Calibri"/>
          <w:b/>
          <w:i w:val="0"/>
          <w:sz w:val="22"/>
        </w:rPr>
        <w:t>Sample of series we track: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series_id</w:t>
            </w:r>
          </w:p>
        </w:tc>
        <w:tc>
          <w:tcPr>
            <w:tcW w:type="dxa" w:w="1440"/>
          </w:tcPr>
          <w:p>
            <w:r>
              <w:rPr>
                <w:b/>
                <w:sz w:val="20"/>
              </w:rPr>
              <w:t>source</w:t>
            </w:r>
          </w:p>
        </w:tc>
        <w:tc>
          <w:tcPr>
            <w:tcW w:type="dxa" w:w="1440"/>
          </w:tcPr>
          <w:p>
            <w:r>
              <w:rPr>
                <w:b/>
                <w:sz w:val="20"/>
              </w:rPr>
              <w:t>name</w:t>
            </w:r>
          </w:p>
        </w:tc>
        <w:tc>
          <w:tcPr>
            <w:tcW w:type="dxa" w:w="1440"/>
          </w:tcPr>
          <w:p>
            <w:r>
              <w:rPr>
                <w:b/>
                <w:sz w:val="20"/>
              </w:rPr>
              <w:t>unit</w:t>
            </w:r>
          </w:p>
        </w:tc>
        <w:tc>
          <w:tcPr>
            <w:tcW w:type="dxa" w:w="1440"/>
          </w:tcPr>
          <w:p>
            <w:r>
              <w:rPr>
                <w:b/>
                <w:sz w:val="20"/>
              </w:rPr>
              <w:t>first_ts</w:t>
            </w:r>
          </w:p>
        </w:tc>
        <w:tc>
          <w:tcPr>
            <w:tcW w:type="dxa" w:w="1440"/>
          </w:tcPr>
          <w:p>
            <w:r>
              <w:rPr>
                <w:b/>
                <w:sz w:val="20"/>
              </w:rPr>
              <w:t>last_ts</w:t>
            </w:r>
          </w:p>
        </w:tc>
      </w:tr>
      <w:tr>
        <w:tc>
          <w:tcPr>
            <w:tcW w:type="dxa" w:w="1440"/>
          </w:tcPr>
          <w:p>
            <w:r>
              <w:rPr>
                <w:sz w:val="20"/>
              </w:rPr>
              <w:t>CPIAUCSL</w:t>
            </w:r>
          </w:p>
        </w:tc>
        <w:tc>
          <w:tcPr>
            <w:tcW w:type="dxa" w:w="1440"/>
          </w:tcPr>
          <w:p>
            <w:r>
              <w:rPr>
                <w:sz w:val="20"/>
              </w:rPr>
              <w:t>fred</w:t>
            </w:r>
          </w:p>
        </w:tc>
        <w:tc>
          <w:tcPr>
            <w:tcW w:type="dxa" w:w="1440"/>
          </w:tcPr>
          <w:p>
            <w:r>
              <w:rPr>
                <w:sz w:val="20"/>
              </w:rPr>
              <w:t>Consumer Price Index for All Urban Consumers: All Items in U.S. City Average</w:t>
            </w:r>
          </w:p>
        </w:tc>
        <w:tc>
          <w:tcPr>
            <w:tcW w:type="dxa" w:w="1440"/>
          </w:tcPr>
          <w:p>
            <w:r>
              <w:rPr>
                <w:sz w:val="20"/>
              </w:rPr>
              <w:t>Index 1982-1984=100</w:t>
            </w:r>
          </w:p>
        </w:tc>
        <w:tc>
          <w:tcPr>
            <w:tcW w:type="dxa" w:w="1440"/>
          </w:tcPr>
          <w:p>
            <w:r>
              <w:rPr>
                <w:sz w:val="20"/>
              </w:rPr>
              <w:t>2018-01-31</w:t>
            </w:r>
          </w:p>
        </w:tc>
        <w:tc>
          <w:tcPr>
            <w:tcW w:type="dxa" w:w="1440"/>
          </w:tcPr>
          <w:p>
            <w:r>
              <w:rPr>
                <w:sz w:val="20"/>
              </w:rPr>
              <w:t>2026-04-30</w:t>
            </w:r>
          </w:p>
        </w:tc>
      </w:tr>
      <w:tr>
        <w:tc>
          <w:tcPr>
            <w:tcW w:type="dxa" w:w="1440"/>
          </w:tcPr>
          <w:p>
            <w:r>
              <w:rPr>
                <w:sz w:val="20"/>
              </w:rPr>
              <w:t>DCOILBRENTEU</w:t>
            </w:r>
          </w:p>
        </w:tc>
        <w:tc>
          <w:tcPr>
            <w:tcW w:type="dxa" w:w="1440"/>
          </w:tcPr>
          <w:p>
            <w:r>
              <w:rPr>
                <w:sz w:val="20"/>
              </w:rPr>
              <w:t>fred</w:t>
            </w:r>
          </w:p>
        </w:tc>
        <w:tc>
          <w:tcPr>
            <w:tcW w:type="dxa" w:w="1440"/>
          </w:tcPr>
          <w:p>
            <w:r>
              <w:rPr>
                <w:sz w:val="20"/>
              </w:rPr>
              <w:t>Crude Oil Prices: Brent - Europe</w:t>
            </w:r>
          </w:p>
        </w:tc>
        <w:tc>
          <w:tcPr>
            <w:tcW w:type="dxa" w:w="1440"/>
          </w:tcPr>
          <w:p>
            <w:r>
              <w:rPr>
                <w:sz w:val="20"/>
              </w:rPr>
              <w:t>Dollars per Barrel</w:t>
            </w:r>
          </w:p>
        </w:tc>
        <w:tc>
          <w:tcPr>
            <w:tcW w:type="dxa" w:w="1440"/>
          </w:tcPr>
          <w:p>
            <w:r>
              <w:rPr>
                <w:sz w:val="20"/>
              </w:rPr>
              <w:t>2018-01-31</w:t>
            </w:r>
          </w:p>
        </w:tc>
        <w:tc>
          <w:tcPr>
            <w:tcW w:type="dxa" w:w="1440"/>
          </w:tcPr>
          <w:p>
            <w:r>
              <w:rPr>
                <w:sz w:val="20"/>
              </w:rPr>
              <w:t>2026-05-31</w:t>
            </w:r>
          </w:p>
        </w:tc>
      </w:tr>
      <w:tr>
        <w:tc>
          <w:tcPr>
            <w:tcW w:type="dxa" w:w="1440"/>
          </w:tcPr>
          <w:p>
            <w:r>
              <w:rPr>
                <w:sz w:val="20"/>
              </w:rPr>
              <w:t>DEUPPDMMINMEI</w:t>
            </w:r>
          </w:p>
        </w:tc>
        <w:tc>
          <w:tcPr>
            <w:tcW w:type="dxa" w:w="1440"/>
          </w:tcPr>
          <w:p>
            <w:r>
              <w:rPr>
                <w:sz w:val="20"/>
              </w:rPr>
              <w:t>fred</w:t>
            </w:r>
          </w:p>
        </w:tc>
        <w:tc>
          <w:tcPr>
            <w:tcW w:type="dxa" w:w="1440"/>
          </w:tcPr>
          <w:p>
            <w:r>
              <w:rPr>
                <w:sz w:val="20"/>
              </w:rPr>
              <w:t>Producer Prices Index: Economic Activities: Manufacturing: Domestic for Germany</w:t>
            </w:r>
          </w:p>
        </w:tc>
        <w:tc>
          <w:tcPr>
            <w:tcW w:type="dxa" w:w="1440"/>
          </w:tcPr>
          <w:p>
            <w:r>
              <w:rPr>
                <w:sz w:val="20"/>
              </w:rPr>
              <w:t>Index 2015=100</w:t>
            </w:r>
          </w:p>
        </w:tc>
        <w:tc>
          <w:tcPr>
            <w:tcW w:type="dxa" w:w="1440"/>
          </w:tcPr>
          <w:p>
            <w:r>
              <w:rPr>
                <w:sz w:val="20"/>
              </w:rPr>
              <w:t>2018-01-31</w:t>
            </w:r>
          </w:p>
        </w:tc>
        <w:tc>
          <w:tcPr>
            <w:tcW w:type="dxa" w:w="1440"/>
          </w:tcPr>
          <w:p>
            <w:r>
              <w:rPr>
                <w:sz w:val="20"/>
              </w:rPr>
              <w:t>2022-12-31</w:t>
            </w:r>
          </w:p>
        </w:tc>
      </w:tr>
      <w:tr>
        <w:tc>
          <w:tcPr>
            <w:tcW w:type="dxa" w:w="1440"/>
          </w:tcPr>
          <w:p>
            <w:r>
              <w:rPr>
                <w:sz w:val="20"/>
              </w:rPr>
              <w:t>DEUPRINTO01GYSAM</w:t>
            </w:r>
          </w:p>
        </w:tc>
        <w:tc>
          <w:tcPr>
            <w:tcW w:type="dxa" w:w="1440"/>
          </w:tcPr>
          <w:p>
            <w:r>
              <w:rPr>
                <w:sz w:val="20"/>
              </w:rPr>
              <w:t>fred</w:t>
            </w:r>
          </w:p>
        </w:tc>
        <w:tc>
          <w:tcPr>
            <w:tcW w:type="dxa" w:w="1440"/>
          </w:tcPr>
          <w:p>
            <w:r>
              <w:rPr>
                <w:sz w:val="20"/>
              </w:rPr>
              <w:t>Production: Industry: Total Industry Excluding Construction for Germany</w:t>
            </w:r>
          </w:p>
        </w:tc>
        <w:tc>
          <w:tcPr>
            <w:tcW w:type="dxa" w:w="1440"/>
          </w:tcPr>
          <w:p>
            <w:r>
              <w:rPr>
                <w:sz w:val="20"/>
              </w:rPr>
              <w:t>Growth rate same period previous year</w:t>
            </w:r>
          </w:p>
        </w:tc>
        <w:tc>
          <w:tcPr>
            <w:tcW w:type="dxa" w:w="1440"/>
          </w:tcPr>
          <w:p>
            <w:r>
              <w:rPr>
                <w:sz w:val="20"/>
              </w:rPr>
              <w:t>2018-01-31</w:t>
            </w:r>
          </w:p>
        </w:tc>
        <w:tc>
          <w:tcPr>
            <w:tcW w:type="dxa" w:w="1440"/>
          </w:tcPr>
          <w:p>
            <w:r>
              <w:rPr>
                <w:sz w:val="20"/>
              </w:rPr>
              <w:t>2023-12-31</w:t>
            </w:r>
          </w:p>
        </w:tc>
      </w:tr>
      <w:tr>
        <w:tc>
          <w:tcPr>
            <w:tcW w:type="dxa" w:w="1440"/>
          </w:tcPr>
          <w:p>
            <w:r>
              <w:rPr>
                <w:sz w:val="20"/>
              </w:rPr>
              <w:t>DEUPRMNTO01GPSAM</w:t>
            </w:r>
          </w:p>
        </w:tc>
        <w:tc>
          <w:tcPr>
            <w:tcW w:type="dxa" w:w="1440"/>
          </w:tcPr>
          <w:p>
            <w:r>
              <w:rPr>
                <w:sz w:val="20"/>
              </w:rPr>
              <w:t>fred</w:t>
            </w:r>
          </w:p>
        </w:tc>
        <w:tc>
          <w:tcPr>
            <w:tcW w:type="dxa" w:w="1440"/>
          </w:tcPr>
          <w:p>
            <w:r>
              <w:rPr>
                <w:sz w:val="20"/>
              </w:rPr>
              <w:t>Production: Manufacturing: Total Manufacturing for Germany</w:t>
            </w:r>
          </w:p>
        </w:tc>
        <w:tc>
          <w:tcPr>
            <w:tcW w:type="dxa" w:w="1440"/>
          </w:tcPr>
          <w:p>
            <w:r>
              <w:rPr>
                <w:sz w:val="20"/>
              </w:rPr>
              <w:t>Growth rate previous period</w:t>
            </w:r>
          </w:p>
        </w:tc>
        <w:tc>
          <w:tcPr>
            <w:tcW w:type="dxa" w:w="1440"/>
          </w:tcPr>
          <w:p>
            <w:r>
              <w:rPr>
                <w:sz w:val="20"/>
              </w:rPr>
              <w:t>2018-01-31</w:t>
            </w:r>
          </w:p>
        </w:tc>
        <w:tc>
          <w:tcPr>
            <w:tcW w:type="dxa" w:w="1440"/>
          </w:tcPr>
          <w:p>
            <w:r>
              <w:rPr>
                <w:sz w:val="20"/>
              </w:rPr>
              <w:t>2024-01-31</w:t>
            </w:r>
          </w:p>
        </w:tc>
      </w:tr>
      <w:tr>
        <w:tc>
          <w:tcPr>
            <w:tcW w:type="dxa" w:w="1440"/>
          </w:tcPr>
          <w:p>
            <w:r>
              <w:rPr>
                <w:sz w:val="20"/>
              </w:rPr>
              <w:t>DEUPROINDMISMEI</w:t>
            </w:r>
          </w:p>
        </w:tc>
        <w:tc>
          <w:tcPr>
            <w:tcW w:type="dxa" w:w="1440"/>
          </w:tcPr>
          <w:p>
            <w:r>
              <w:rPr>
                <w:sz w:val="20"/>
              </w:rPr>
              <w:t>fred</w:t>
            </w:r>
          </w:p>
        </w:tc>
        <w:tc>
          <w:tcPr>
            <w:tcW w:type="dxa" w:w="1440"/>
          </w:tcPr>
          <w:p>
            <w:r>
              <w:rPr>
                <w:sz w:val="20"/>
              </w:rPr>
              <w:t>Production, Sales, Work Started and Orders: Production Volume: Economic Activity: Industry (Except Construction) for Germany</w:t>
            </w:r>
          </w:p>
        </w:tc>
        <w:tc>
          <w:tcPr>
            <w:tcW w:type="dxa" w:w="1440"/>
          </w:tcPr>
          <w:p>
            <w:r>
              <w:rPr>
                <w:sz w:val="20"/>
              </w:rPr>
              <w:t>Index 2015=100</w:t>
            </w:r>
          </w:p>
        </w:tc>
        <w:tc>
          <w:tcPr>
            <w:tcW w:type="dxa" w:w="1440"/>
          </w:tcPr>
          <w:p>
            <w:r>
              <w:rPr>
                <w:sz w:val="20"/>
              </w:rPr>
              <w:t>2018-01-31</w:t>
            </w:r>
          </w:p>
        </w:tc>
        <w:tc>
          <w:tcPr>
            <w:tcW w:type="dxa" w:w="1440"/>
          </w:tcPr>
          <w:p>
            <w:r>
              <w:rPr>
                <w:sz w:val="20"/>
              </w:rPr>
              <w:t>2024-03-31</w:t>
            </w:r>
          </w:p>
        </w:tc>
      </w:tr>
      <w:tr>
        <w:tc>
          <w:tcPr>
            <w:tcW w:type="dxa" w:w="1440"/>
          </w:tcPr>
          <w:p>
            <w:r>
              <w:rPr>
                <w:sz w:val="20"/>
              </w:rPr>
              <w:t>DEUPROMANMISMEI</w:t>
            </w:r>
          </w:p>
        </w:tc>
        <w:tc>
          <w:tcPr>
            <w:tcW w:type="dxa" w:w="1440"/>
          </w:tcPr>
          <w:p>
            <w:r>
              <w:rPr>
                <w:sz w:val="20"/>
              </w:rPr>
              <w:t>fred</w:t>
            </w:r>
          </w:p>
        </w:tc>
        <w:tc>
          <w:tcPr>
            <w:tcW w:type="dxa" w:w="1440"/>
          </w:tcPr>
          <w:p>
            <w:r>
              <w:rPr>
                <w:sz w:val="20"/>
              </w:rPr>
              <w:t>Production, Sales, Work Started and Orders: Production Volume: Economic Activity: Manufacturing for Germany</w:t>
            </w:r>
          </w:p>
        </w:tc>
        <w:tc>
          <w:tcPr>
            <w:tcW w:type="dxa" w:w="1440"/>
          </w:tcPr>
          <w:p>
            <w:r>
              <w:rPr>
                <w:sz w:val="20"/>
              </w:rPr>
              <w:t>Index 2015=100</w:t>
            </w:r>
          </w:p>
        </w:tc>
        <w:tc>
          <w:tcPr>
            <w:tcW w:type="dxa" w:w="1440"/>
          </w:tcPr>
          <w:p>
            <w:r>
              <w:rPr>
                <w:sz w:val="20"/>
              </w:rPr>
              <w:t>2018-01-31</w:t>
            </w:r>
          </w:p>
        </w:tc>
        <w:tc>
          <w:tcPr>
            <w:tcW w:type="dxa" w:w="1440"/>
          </w:tcPr>
          <w:p>
            <w:r>
              <w:rPr>
                <w:sz w:val="20"/>
              </w:rPr>
              <w:t>2024-01-31</w:t>
            </w:r>
          </w:p>
        </w:tc>
      </w:tr>
      <w:tr>
        <w:tc>
          <w:tcPr>
            <w:tcW w:type="dxa" w:w="1440"/>
          </w:tcPr>
          <w:p>
            <w:r>
              <w:rPr>
                <w:sz w:val="20"/>
              </w:rPr>
              <w:t>DEXUSEU</w:t>
            </w:r>
          </w:p>
        </w:tc>
        <w:tc>
          <w:tcPr>
            <w:tcW w:type="dxa" w:w="1440"/>
          </w:tcPr>
          <w:p>
            <w:r>
              <w:rPr>
                <w:sz w:val="20"/>
              </w:rPr>
              <w:t>fred</w:t>
            </w:r>
          </w:p>
        </w:tc>
        <w:tc>
          <w:tcPr>
            <w:tcW w:type="dxa" w:w="1440"/>
          </w:tcPr>
          <w:p>
            <w:r>
              <w:rPr>
                <w:sz w:val="20"/>
              </w:rPr>
              <w:t>U.S. Dollars to Euro Spot Exchange Rate</w:t>
            </w:r>
          </w:p>
        </w:tc>
        <w:tc>
          <w:tcPr>
            <w:tcW w:type="dxa" w:w="1440"/>
          </w:tcPr>
          <w:p>
            <w:r>
              <w:rPr>
                <w:sz w:val="20"/>
              </w:rPr>
              <w:t>U.S. Dollars to One Euro</w:t>
            </w:r>
          </w:p>
        </w:tc>
        <w:tc>
          <w:tcPr>
            <w:tcW w:type="dxa" w:w="1440"/>
          </w:tcPr>
          <w:p>
            <w:r>
              <w:rPr>
                <w:sz w:val="20"/>
              </w:rPr>
              <w:t>2018-01-31</w:t>
            </w:r>
          </w:p>
        </w:tc>
        <w:tc>
          <w:tcPr>
            <w:tcW w:type="dxa" w:w="1440"/>
          </w:tcPr>
          <w:p>
            <w:r>
              <w:rPr>
                <w:sz w:val="20"/>
              </w:rPr>
              <w:t>2026-05-31</w:t>
            </w:r>
          </w:p>
        </w:tc>
      </w:tr>
      <w:tr>
        <w:tc>
          <w:tcPr>
            <w:tcW w:type="dxa" w:w="1440"/>
          </w:tcPr>
          <w:p>
            <w:r>
              <w:rPr>
                <w:sz w:val="20"/>
              </w:rPr>
              <w:t>ELEC.PRICE.US-ALL.M</w:t>
            </w:r>
          </w:p>
        </w:tc>
        <w:tc>
          <w:tcPr>
            <w:tcW w:type="dxa" w:w="1440"/>
          </w:tcPr>
          <w:p>
            <w:r>
              <w:rPr>
                <w:sz w:val="20"/>
              </w:rPr>
              <w:t>eia</w:t>
            </w:r>
          </w:p>
        </w:tc>
        <w:tc>
          <w:tcPr>
            <w:tcW w:type="dxa" w:w="1440"/>
          </w:tcPr>
          <w:p>
            <w:r>
              <w:rPr>
                <w:sz w:val="20"/>
              </w:rPr>
              <w:t>all sectors</w:t>
            </w:r>
          </w:p>
        </w:tc>
        <w:tc>
          <w:tcPr>
            <w:tcW w:type="dxa" w:w="1440"/>
          </w:tcPr>
          <w:p>
            <w:r>
              <w:rPr>
                <w:sz w:val="20"/>
              </w:rPr>
              <w:t>cents per kilowatt-hour</w:t>
            </w:r>
          </w:p>
        </w:tc>
        <w:tc>
          <w:tcPr>
            <w:tcW w:type="dxa" w:w="1440"/>
          </w:tcPr>
          <w:p>
            <w:r>
              <w:rPr>
                <w:sz w:val="20"/>
              </w:rPr>
              <w:t>2001-01-31</w:t>
            </w:r>
          </w:p>
        </w:tc>
        <w:tc>
          <w:tcPr>
            <w:tcW w:type="dxa" w:w="1440"/>
          </w:tcPr>
          <w:p>
            <w:r>
              <w:rPr>
                <w:sz w:val="20"/>
              </w:rPr>
              <w:t>2026-02-28</w:t>
            </w:r>
          </w:p>
        </w:tc>
      </w:tr>
      <w:tr>
        <w:tc>
          <w:tcPr>
            <w:tcW w:type="dxa" w:w="1440"/>
          </w:tcPr>
          <w:p>
            <w:r>
              <w:rPr>
                <w:sz w:val="20"/>
              </w:rPr>
              <w:t>EXR.D.CHF.EUR.SP00.A</w:t>
            </w:r>
          </w:p>
        </w:tc>
        <w:tc>
          <w:tcPr>
            <w:tcW w:type="dxa" w:w="1440"/>
          </w:tcPr>
          <w:p>
            <w:r>
              <w:rPr>
                <w:sz w:val="20"/>
              </w:rPr>
              <w:t>ecb</w:t>
            </w:r>
          </w:p>
        </w:tc>
        <w:tc>
          <w:tcPr>
            <w:tcW w:type="dxa" w:w="1440"/>
          </w:tcPr>
          <w:p>
            <w:r>
              <w:rPr>
                <w:sz w:val="20"/>
              </w:rPr>
              <w:t>Swiss franc/Euro ECB reference exchange rate</w:t>
            </w:r>
          </w:p>
        </w:tc>
        <w:tc>
          <w:tcPr>
            <w:tcW w:type="dxa" w:w="1440"/>
          </w:tcPr>
          <w:p>
            <w:r>
              <w:rPr>
                <w:sz w:val="20"/>
              </w:rPr>
              <w:t>CHF</w:t>
            </w:r>
          </w:p>
        </w:tc>
        <w:tc>
          <w:tcPr>
            <w:tcW w:type="dxa" w:w="1440"/>
          </w:tcPr>
          <w:p>
            <w:r>
              <w:rPr>
                <w:sz w:val="20"/>
              </w:rPr>
              <w:t>2018-01-31</w:t>
            </w:r>
          </w:p>
        </w:tc>
        <w:tc>
          <w:tcPr>
            <w:tcW w:type="dxa" w:w="1440"/>
          </w:tcPr>
          <w:p>
            <w:r>
              <w:rPr>
                <w:sz w:val="20"/>
              </w:rPr>
              <w:t>2026-05-31</w:t>
            </w:r>
          </w:p>
        </w:tc>
      </w:tr>
    </w:tbl>
    <w:p>
      <w:r>
        <w:rPr>
          <w:rFonts w:ascii="Calibri" w:hAnsi="Calibri"/>
          <w:b/>
          <w:i w:val="0"/>
          <w:sz w:val="22"/>
        </w:rPr>
        <w:t>Why this matters</w:t>
      </w:r>
    </w:p>
    <w:p>
      <w:r>
        <w:rPr>
          <w:rFonts w:ascii="Calibri" w:hAnsi="Calibri"/>
          <w:b w:val="0"/>
          <w:i w:val="0"/>
          <w:sz w:val="22"/>
        </w:rPr>
        <w:t>If aluminium price runs up 15%, that ripples into our material cost. Knowing which external indices lead our internal cost gives an early warning. The correlation_map.json (next section) is what surfaces the strongest leads.</w:t>
      </w:r>
    </w:p>
    <w:p>
      <w:pPr>
        <w:pStyle w:val="Heading2"/>
      </w:pPr>
      <w:r>
        <w:rPr>
          <w:rFonts w:ascii="Calibri" w:hAnsi="Calibri"/>
          <w:color w:val="1F2937"/>
        </w:rPr>
        <w:t>4. correlation_map.json</w:t>
      </w:r>
    </w:p>
    <w:p>
      <w:r>
        <w:rPr>
          <w:b/>
          <w:color w:val="3E5D80"/>
          <w:sz w:val="22"/>
        </w:rPr>
        <w:t xml:space="preserve">Plain language: </w:t>
      </w:r>
      <w:r>
        <w:rPr>
          <w:sz w:val="22"/>
        </w:rPr>
        <w:t>For each commodity group, this file says which external market indicators move with it and by how many months they lead. Example: 'global aluminium price leads BKAGG material cost by 2 months with 0.7 correlation'. These are the leading indicators you'd watch in a strategy meeting.</w:t>
      </w:r>
    </w:p>
    <w:p>
      <w:r>
        <w:rPr>
          <w:rFonts w:ascii="Calibri" w:hAnsi="Calibri"/>
          <w:b w:val="0"/>
          <w:i w:val="0"/>
          <w:sz w:val="22"/>
        </w:rPr>
        <w:t>Total surviving leads (passed statistical thresholds): 5. Groups with at least one lead: 2.</w:t>
      </w:r>
    </w:p>
    <w:p>
      <w:r>
        <w:rPr>
          <w:rFonts w:ascii="Calibri" w:hAnsi="Calibri"/>
          <w:b/>
          <w:i w:val="0"/>
          <w:sz w:val="22"/>
        </w:rPr>
        <w:t>Strongest signals (top-10 by absolute correlation):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commodity_group</w:t>
            </w:r>
          </w:p>
        </w:tc>
        <w:tc>
          <w:tcPr>
            <w:tcW w:type="dxa" w:w="1728"/>
          </w:tcPr>
          <w:p>
            <w:r>
              <w:rPr>
                <w:b/>
                <w:sz w:val="20"/>
              </w:rPr>
              <w:t>metric_affected</w:t>
            </w:r>
          </w:p>
        </w:tc>
        <w:tc>
          <w:tcPr>
            <w:tcW w:type="dxa" w:w="1728"/>
          </w:tcPr>
          <w:p>
            <w:r>
              <w:rPr>
                <w:b/>
                <w:sz w:val="20"/>
              </w:rPr>
              <w:t>leading_indicator</w:t>
            </w:r>
          </w:p>
        </w:tc>
        <w:tc>
          <w:tcPr>
            <w:tcW w:type="dxa" w:w="1728"/>
          </w:tcPr>
          <w:p>
            <w:r>
              <w:rPr>
                <w:b/>
                <w:sz w:val="20"/>
              </w:rPr>
              <w:t>lag_months</w:t>
            </w:r>
          </w:p>
        </w:tc>
        <w:tc>
          <w:tcPr>
            <w:tcW w:type="dxa" w:w="1728"/>
          </w:tcPr>
          <w:p>
            <w:r>
              <w:rPr>
                <w:b/>
                <w:sz w:val="20"/>
              </w:rPr>
              <w:t>correlation</w:t>
            </w:r>
          </w:p>
        </w:tc>
      </w:tr>
      <w:tr>
        <w:tc>
          <w:tcPr>
            <w:tcW w:type="dxa" w:w="1728"/>
          </w:tcPr>
          <w:p>
            <w:r>
              <w:rPr>
                <w:sz w:val="20"/>
              </w:rPr>
              <w:t>BKAIZ</w:t>
            </w:r>
          </w:p>
        </w:tc>
        <w:tc>
          <w:tcPr>
            <w:tcW w:type="dxa" w:w="1728"/>
          </w:tcPr>
          <w:p>
            <w:r>
              <w:rPr>
                <w:sz w:val="20"/>
              </w:rPr>
              <w:t>db2_margin</w:t>
            </w:r>
          </w:p>
        </w:tc>
        <w:tc>
          <w:tcPr>
            <w:tcW w:type="dxa" w:w="1728"/>
          </w:tcPr>
          <w:p>
            <w:r>
              <w:rPr>
                <w:sz w:val="20"/>
              </w:rPr>
              <w:t>Swiss franc/Euro ECB reference exchange rate</w:t>
            </w:r>
          </w:p>
        </w:tc>
        <w:tc>
          <w:tcPr>
            <w:tcW w:type="dxa" w:w="1728"/>
          </w:tcPr>
          <w:p>
            <w:r>
              <w:rPr>
                <w:sz w:val="20"/>
              </w:rPr>
              <w:t>2</w:t>
            </w:r>
          </w:p>
        </w:tc>
        <w:tc>
          <w:tcPr>
            <w:tcW w:type="dxa" w:w="1728"/>
          </w:tcPr>
          <w:p>
            <w:r>
              <w:rPr>
                <w:sz w:val="20"/>
              </w:rPr>
              <w:t>-0.59</w:t>
            </w:r>
          </w:p>
        </w:tc>
      </w:tr>
      <w:tr>
        <w:tc>
          <w:tcPr>
            <w:tcW w:type="dxa" w:w="1728"/>
          </w:tcPr>
          <w:p>
            <w:r>
              <w:rPr>
                <w:sz w:val="20"/>
              </w:rPr>
              <w:t>BKAIZ</w:t>
            </w:r>
          </w:p>
        </w:tc>
        <w:tc>
          <w:tcPr>
            <w:tcW w:type="dxa" w:w="1728"/>
          </w:tcPr>
          <w:p>
            <w:r>
              <w:rPr>
                <w:sz w:val="20"/>
              </w:rPr>
              <w:t>db2_margin</w:t>
            </w:r>
          </w:p>
        </w:tc>
        <w:tc>
          <w:tcPr>
            <w:tcW w:type="dxa" w:w="1728"/>
          </w:tcPr>
          <w:p>
            <w:r>
              <w:rPr>
                <w:sz w:val="20"/>
              </w:rPr>
              <w:t>Consumer Price Index for All Urban Consumers: All Items in U</w:t>
            </w:r>
          </w:p>
        </w:tc>
        <w:tc>
          <w:tcPr>
            <w:tcW w:type="dxa" w:w="1728"/>
          </w:tcPr>
          <w:p>
            <w:r>
              <w:rPr>
                <w:sz w:val="20"/>
              </w:rPr>
              <w:t>2</w:t>
            </w:r>
          </w:p>
        </w:tc>
        <w:tc>
          <w:tcPr>
            <w:tcW w:type="dxa" w:w="1728"/>
          </w:tcPr>
          <w:p>
            <w:r>
              <w:rPr>
                <w:sz w:val="20"/>
              </w:rPr>
              <w:t>0.57</w:t>
            </w:r>
          </w:p>
        </w:tc>
      </w:tr>
      <w:tr>
        <w:tc>
          <w:tcPr>
            <w:tcW w:type="dxa" w:w="1728"/>
          </w:tcPr>
          <w:p>
            <w:r>
              <w:rPr>
                <w:sz w:val="20"/>
              </w:rPr>
              <w:t>BKAIZ</w:t>
            </w:r>
          </w:p>
        </w:tc>
        <w:tc>
          <w:tcPr>
            <w:tcW w:type="dxa" w:w="1728"/>
          </w:tcPr>
          <w:p>
            <w:r>
              <w:rPr>
                <w:sz w:val="20"/>
              </w:rPr>
              <w:t>db2_margin</w:t>
            </w:r>
          </w:p>
        </w:tc>
        <w:tc>
          <w:tcPr>
            <w:tcW w:type="dxa" w:w="1728"/>
          </w:tcPr>
          <w:p>
            <w:r>
              <w:rPr>
                <w:sz w:val="20"/>
              </w:rPr>
              <w:t xml:space="preserve">Producer Price Index by Commodity: Machinery and Equipment: </w:t>
            </w:r>
          </w:p>
        </w:tc>
        <w:tc>
          <w:tcPr>
            <w:tcW w:type="dxa" w:w="1728"/>
          </w:tcPr>
          <w:p>
            <w:r>
              <w:rPr>
                <w:sz w:val="20"/>
              </w:rPr>
              <w:t>3</w:t>
            </w:r>
          </w:p>
        </w:tc>
        <w:tc>
          <w:tcPr>
            <w:tcW w:type="dxa" w:w="1728"/>
          </w:tcPr>
          <w:p>
            <w:r>
              <w:rPr>
                <w:sz w:val="20"/>
              </w:rPr>
              <w:t>0.56</w:t>
            </w:r>
          </w:p>
        </w:tc>
      </w:tr>
      <w:tr>
        <w:tc>
          <w:tcPr>
            <w:tcW w:type="dxa" w:w="1728"/>
          </w:tcPr>
          <w:p>
            <w:r>
              <w:rPr>
                <w:sz w:val="20"/>
              </w:rPr>
              <w:t>BKAGG</w:t>
            </w:r>
          </w:p>
        </w:tc>
        <w:tc>
          <w:tcPr>
            <w:tcW w:type="dxa" w:w="1728"/>
          </w:tcPr>
          <w:p>
            <w:r>
              <w:rPr>
                <w:sz w:val="20"/>
              </w:rPr>
              <w:t>material_per_unit</w:t>
            </w:r>
          </w:p>
        </w:tc>
        <w:tc>
          <w:tcPr>
            <w:tcW w:type="dxa" w:w="1728"/>
          </w:tcPr>
          <w:p>
            <w:r>
              <w:rPr>
                <w:sz w:val="20"/>
              </w:rPr>
              <w:t>Production: Manufacturing: Total Manufacturing for Germany</w:t>
            </w:r>
          </w:p>
        </w:tc>
        <w:tc>
          <w:tcPr>
            <w:tcW w:type="dxa" w:w="1728"/>
          </w:tcPr>
          <w:p>
            <w:r>
              <w:rPr>
                <w:sz w:val="20"/>
              </w:rPr>
              <w:t>2</w:t>
            </w:r>
          </w:p>
        </w:tc>
        <w:tc>
          <w:tcPr>
            <w:tcW w:type="dxa" w:w="1728"/>
          </w:tcPr>
          <w:p>
            <w:r>
              <w:rPr>
                <w:sz w:val="20"/>
              </w:rPr>
              <w:t>-0.42</w:t>
            </w:r>
          </w:p>
        </w:tc>
      </w:tr>
      <w:tr>
        <w:tc>
          <w:tcPr>
            <w:tcW w:type="dxa" w:w="1728"/>
          </w:tcPr>
          <w:p>
            <w:r>
              <w:rPr>
                <w:sz w:val="20"/>
              </w:rPr>
              <w:t>BKAGG</w:t>
            </w:r>
          </w:p>
        </w:tc>
        <w:tc>
          <w:tcPr>
            <w:tcW w:type="dxa" w:w="1728"/>
          </w:tcPr>
          <w:p>
            <w:r>
              <w:rPr>
                <w:sz w:val="20"/>
              </w:rPr>
              <w:t>material_per_unit</w:t>
            </w:r>
          </w:p>
        </w:tc>
        <w:tc>
          <w:tcPr>
            <w:tcW w:type="dxa" w:w="1728"/>
          </w:tcPr>
          <w:p>
            <w:r>
              <w:rPr>
                <w:sz w:val="20"/>
              </w:rPr>
              <w:t>Production, Sales, Work Started and Orders: Production Volum</w:t>
            </w:r>
          </w:p>
        </w:tc>
        <w:tc>
          <w:tcPr>
            <w:tcW w:type="dxa" w:w="1728"/>
          </w:tcPr>
          <w:p>
            <w:r>
              <w:rPr>
                <w:sz w:val="20"/>
              </w:rPr>
              <w:t>3</w:t>
            </w:r>
          </w:p>
        </w:tc>
        <w:tc>
          <w:tcPr>
            <w:tcW w:type="dxa" w:w="1728"/>
          </w:tcPr>
          <w:p>
            <w:r>
              <w:rPr>
                <w:sz w:val="20"/>
              </w:rPr>
              <w:t>0.41</w:t>
            </w:r>
          </w:p>
        </w:tc>
      </w:tr>
    </w:tbl>
    <w:p>
      <w:pPr>
        <w:pStyle w:val="Heading2"/>
      </w:pPr>
      <w:r>
        <w:rPr>
          <w:rFonts w:ascii="Calibri" w:hAnsi="Calibri"/>
          <w:color w:val="1F2937"/>
        </w:rPr>
        <w:t>5. forecast_baseline.json</w:t>
      </w:r>
    </w:p>
    <w:p>
      <w:r>
        <w:rPr>
          <w:b/>
          <w:color w:val="3E5D80"/>
          <w:sz w:val="22"/>
        </w:rPr>
        <w:t xml:space="preserve">Plain language: </w:t>
      </w:r>
      <w:r>
        <w:rPr>
          <w:sz w:val="22"/>
        </w:rPr>
        <w:t>The original margin forecast for each commodity group: 12 months out, with three levels of uncertainty (most-likely value, an 80% range, and a 95% range). This is the file the previous platform was already producing — included here so dashboards built against it still work.</w:t>
      </w:r>
    </w:p>
    <w:p>
      <w:r>
        <w:rPr>
          <w:rFonts w:ascii="Calibri" w:hAnsi="Calibri"/>
          <w:b w:val="0"/>
          <w:i w:val="0"/>
          <w:sz w:val="22"/>
        </w:rPr>
        <w:t>Forecast target: db2_margin at commodity_group level. Generated: 2026-05-13.</w:t>
      </w:r>
    </w:p>
    <w:p>
      <w:r>
        <w:rPr>
          <w:rFonts w:ascii="Calibri" w:hAnsi="Calibri"/>
          <w:b w:val="0"/>
          <w:i w:val="0"/>
          <w:sz w:val="22"/>
        </w:rPr>
        <w:t>Validation: 3 groups had enough history to be properly tested. 2 of them came in under the 8% error gate (67%). The notebook gate of 'at least 50% must pass' is met.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commodity_group</w:t>
            </w:r>
          </w:p>
        </w:tc>
        <w:tc>
          <w:tcPr>
            <w:tcW w:type="dxa" w:w="1728"/>
          </w:tcPr>
          <w:p>
            <w:r>
              <w:rPr>
                <w:b/>
                <w:sz w:val="20"/>
              </w:rPr>
              <w:t>history_months</w:t>
            </w:r>
          </w:p>
        </w:tc>
        <w:tc>
          <w:tcPr>
            <w:tcW w:type="dxa" w:w="1728"/>
          </w:tcPr>
          <w:p>
            <w:r>
              <w:rPr>
                <w:b/>
                <w:sz w:val="20"/>
              </w:rPr>
              <w:t>model</w:t>
            </w:r>
          </w:p>
        </w:tc>
        <w:tc>
          <w:tcPr>
            <w:tcW w:type="dxa" w:w="1728"/>
          </w:tcPr>
          <w:p>
            <w:r>
              <w:rPr>
                <w:b/>
                <w:sz w:val="20"/>
              </w:rPr>
              <w:t>error_pct (MAPE)</w:t>
            </w:r>
          </w:p>
        </w:tc>
        <w:tc>
          <w:tcPr>
            <w:tcW w:type="dxa" w:w="1728"/>
          </w:tcPr>
          <w:p>
            <w:r>
              <w:rPr>
                <w:b/>
                <w:sz w:val="20"/>
              </w:rPr>
              <w:t>12m_p50_first_month</w:t>
            </w:r>
          </w:p>
        </w:tc>
      </w:tr>
      <w:tr>
        <w:tc>
          <w:tcPr>
            <w:tcW w:type="dxa" w:w="1728"/>
          </w:tcPr>
          <w:p>
            <w:r>
              <w:rPr>
                <w:sz w:val="20"/>
              </w:rPr>
              <w:t>BKAES</w:t>
            </w:r>
          </w:p>
        </w:tc>
        <w:tc>
          <w:tcPr>
            <w:tcW w:type="dxa" w:w="1728"/>
          </w:tcPr>
          <w:p>
            <w:r>
              <w:rPr>
                <w:sz w:val="20"/>
              </w:rPr>
              <w:t>48</w:t>
            </w:r>
          </w:p>
        </w:tc>
        <w:tc>
          <w:tcPr>
            <w:tcW w:type="dxa" w:w="1728"/>
          </w:tcPr>
          <w:p>
            <w:r>
              <w:rPr>
                <w:sz w:val="20"/>
              </w:rPr>
              <w:t>ses</w:t>
            </w:r>
          </w:p>
        </w:tc>
        <w:tc>
          <w:tcPr>
            <w:tcW w:type="dxa" w:w="1728"/>
          </w:tcPr>
          <w:p>
            <w:r>
              <w:rPr>
                <w:sz w:val="20"/>
              </w:rPr>
              <w:t>2.72</w:t>
            </w:r>
          </w:p>
        </w:tc>
        <w:tc>
          <w:tcPr>
            <w:tcW w:type="dxa" w:w="1728"/>
          </w:tcPr>
          <w:p>
            <w:r>
              <w:rPr>
                <w:sz w:val="20"/>
              </w:rPr>
              <w:t>0.68</w:t>
            </w:r>
          </w:p>
        </w:tc>
      </w:tr>
      <w:tr>
        <w:tc>
          <w:tcPr>
            <w:tcW w:type="dxa" w:w="1728"/>
          </w:tcPr>
          <w:p>
            <w:r>
              <w:rPr>
                <w:sz w:val="20"/>
              </w:rPr>
              <w:t>BKAGG</w:t>
            </w:r>
          </w:p>
        </w:tc>
        <w:tc>
          <w:tcPr>
            <w:tcW w:type="dxa" w:w="1728"/>
          </w:tcPr>
          <w:p>
            <w:r>
              <w:rPr>
                <w:sz w:val="20"/>
              </w:rPr>
              <w:t>48</w:t>
            </w:r>
          </w:p>
        </w:tc>
        <w:tc>
          <w:tcPr>
            <w:tcW w:type="dxa" w:w="1728"/>
          </w:tcPr>
          <w:p>
            <w:r>
              <w:rPr>
                <w:sz w:val="20"/>
              </w:rPr>
              <w:t>ses</w:t>
            </w:r>
          </w:p>
        </w:tc>
        <w:tc>
          <w:tcPr>
            <w:tcW w:type="dxa" w:w="1728"/>
          </w:tcPr>
          <w:p>
            <w:r>
              <w:rPr>
                <w:sz w:val="20"/>
              </w:rPr>
              <w:t>7.97</w:t>
            </w:r>
          </w:p>
        </w:tc>
        <w:tc>
          <w:tcPr>
            <w:tcW w:type="dxa" w:w="1728"/>
          </w:tcPr>
          <w:p>
            <w:r>
              <w:rPr>
                <w:sz w:val="20"/>
              </w:rPr>
              <w:t>0.54</w:t>
            </w:r>
          </w:p>
        </w:tc>
      </w:tr>
      <w:tr>
        <w:tc>
          <w:tcPr>
            <w:tcW w:type="dxa" w:w="1728"/>
          </w:tcPr>
          <w:p>
            <w:r>
              <w:rPr>
                <w:sz w:val="20"/>
              </w:rPr>
              <w:t>BKAIZ</w:t>
            </w:r>
          </w:p>
        </w:tc>
        <w:tc>
          <w:tcPr>
            <w:tcW w:type="dxa" w:w="1728"/>
          </w:tcPr>
          <w:p>
            <w:r>
              <w:rPr>
                <w:sz w:val="20"/>
              </w:rPr>
              <w:t>42</w:t>
            </w:r>
          </w:p>
        </w:tc>
        <w:tc>
          <w:tcPr>
            <w:tcW w:type="dxa" w:w="1728"/>
          </w:tcPr>
          <w:p>
            <w:r>
              <w:rPr>
                <w:sz w:val="20"/>
              </w:rPr>
              <w:t>ses</w:t>
            </w:r>
          </w:p>
        </w:tc>
        <w:tc>
          <w:tcPr>
            <w:tcW w:type="dxa" w:w="1728"/>
          </w:tcPr>
          <w:p>
            <w:r>
              <w:rPr>
                <w:sz w:val="20"/>
              </w:rPr>
              <w:t>10.42</w:t>
            </w:r>
          </w:p>
        </w:tc>
        <w:tc>
          <w:tcPr>
            <w:tcW w:type="dxa" w:w="1728"/>
          </w:tcPr>
          <w:p>
            <w:r>
              <w:rPr>
                <w:sz w:val="20"/>
              </w:rPr>
              <w:t>0.60</w:t>
            </w:r>
          </w:p>
        </w:tc>
      </w:tr>
      <w:tr>
        <w:tc>
          <w:tcPr>
            <w:tcW w:type="dxa" w:w="1728"/>
          </w:tcPr>
          <w:p>
            <w:r>
              <w:rPr>
                <w:sz w:val="20"/>
              </w:rPr>
              <w:t>MBDIV</w:t>
            </w:r>
          </w:p>
        </w:tc>
        <w:tc>
          <w:tcPr>
            <w:tcW w:type="dxa" w:w="1728"/>
          </w:tcPr>
          <w:p>
            <w:r>
              <w:rPr>
                <w:sz w:val="20"/>
              </w:rPr>
              <w:t>12</w:t>
            </w:r>
          </w:p>
        </w:tc>
        <w:tc>
          <w:tcPr>
            <w:tcW w:type="dxa" w:w="1728"/>
          </w:tcPr>
          <w:p>
            <w:r>
              <w:rPr>
                <w:sz w:val="20"/>
              </w:rPr>
              <w:t>ses</w:t>
            </w:r>
          </w:p>
        </w:tc>
        <w:tc>
          <w:tcPr>
            <w:tcW w:type="dxa" w:w="1728"/>
          </w:tcPr>
          <w:p>
            <w:r>
              <w:rPr>
                <w:sz w:val="20"/>
              </w:rPr>
              <w:t>69.30</w:t>
            </w:r>
          </w:p>
        </w:tc>
        <w:tc>
          <w:tcPr>
            <w:tcW w:type="dxa" w:w="1728"/>
          </w:tcPr>
          <w:p>
            <w:r>
              <w:rPr>
                <w:sz w:val="20"/>
              </w:rPr>
              <w:t>0.66</w:t>
            </w:r>
          </w:p>
        </w:tc>
      </w:tr>
      <w:tr>
        <w:tc>
          <w:tcPr>
            <w:tcW w:type="dxa" w:w="1728"/>
          </w:tcPr>
          <w:p>
            <w:r>
              <w:rPr>
                <w:sz w:val="20"/>
              </w:rPr>
              <w:t>OFRLMG</w:t>
            </w:r>
          </w:p>
        </w:tc>
        <w:tc>
          <w:tcPr>
            <w:tcW w:type="dxa" w:w="1728"/>
          </w:tcPr>
          <w:p>
            <w:r>
              <w:rPr>
                <w:sz w:val="20"/>
              </w:rPr>
              <w:t>1</w:t>
            </w:r>
          </w:p>
        </w:tc>
        <w:tc>
          <w:tcPr>
            <w:tcW w:type="dxa" w:w="1728"/>
          </w:tcPr>
          <w:p>
            <w:r>
              <w:rPr>
                <w:sz w:val="20"/>
              </w:rPr>
              <w:t>ema</w:t>
            </w:r>
          </w:p>
        </w:tc>
        <w:tc>
          <w:tcPr>
            <w:tcW w:type="dxa" w:w="1728"/>
          </w:tcPr>
          <w:p>
            <w:r>
              <w:rPr>
                <w:sz w:val="20"/>
              </w:rPr>
              <w:t>inf</w:t>
            </w:r>
          </w:p>
        </w:tc>
        <w:tc>
          <w:tcPr>
            <w:tcW w:type="dxa" w:w="1728"/>
          </w:tcPr>
          <w:p>
            <w:r>
              <w:rPr>
                <w:sz w:val="20"/>
              </w:rPr>
              <w:t>0.65</w:t>
            </w:r>
          </w:p>
        </w:tc>
      </w:tr>
      <w:tr>
        <w:tc>
          <w:tcPr>
            <w:tcW w:type="dxa" w:w="1728"/>
          </w:tcPr>
          <w:p>
            <w:r>
              <w:rPr>
                <w:sz w:val="20"/>
              </w:rPr>
              <w:t>OFRSCR</w:t>
            </w:r>
          </w:p>
        </w:tc>
        <w:tc>
          <w:tcPr>
            <w:tcW w:type="dxa" w:w="1728"/>
          </w:tcPr>
          <w:p>
            <w:r>
              <w:rPr>
                <w:sz w:val="20"/>
              </w:rPr>
              <w:t>2</w:t>
            </w:r>
          </w:p>
        </w:tc>
        <w:tc>
          <w:tcPr>
            <w:tcW w:type="dxa" w:w="1728"/>
          </w:tcPr>
          <w:p>
            <w:r>
              <w:rPr>
                <w:sz w:val="20"/>
              </w:rPr>
              <w:t>ema</w:t>
            </w:r>
          </w:p>
        </w:tc>
        <w:tc>
          <w:tcPr>
            <w:tcW w:type="dxa" w:w="1728"/>
          </w:tcPr>
          <w:p>
            <w:r>
              <w:rPr>
                <w:sz w:val="20"/>
              </w:rPr>
              <w:t>inf</w:t>
            </w:r>
          </w:p>
        </w:tc>
        <w:tc>
          <w:tcPr>
            <w:tcW w:type="dxa" w:w="1728"/>
          </w:tcPr>
          <w:p>
            <w:r>
              <w:rPr>
                <w:sz w:val="20"/>
              </w:rPr>
              <w:t>0.65</w:t>
            </w:r>
          </w:p>
        </w:tc>
      </w:tr>
      <w:tr>
        <w:tc>
          <w:tcPr>
            <w:tcW w:type="dxa" w:w="1728"/>
          </w:tcPr>
          <w:p>
            <w:r>
              <w:rPr>
                <w:sz w:val="20"/>
              </w:rPr>
              <w:t>SOPU</w:t>
            </w:r>
          </w:p>
        </w:tc>
        <w:tc>
          <w:tcPr>
            <w:tcW w:type="dxa" w:w="1728"/>
          </w:tcPr>
          <w:p>
            <w:r>
              <w:rPr>
                <w:sz w:val="20"/>
              </w:rPr>
              <w:t>7</w:t>
            </w:r>
          </w:p>
        </w:tc>
        <w:tc>
          <w:tcPr>
            <w:tcW w:type="dxa" w:w="1728"/>
          </w:tcPr>
          <w:p>
            <w:r>
              <w:rPr>
                <w:sz w:val="20"/>
              </w:rPr>
              <w:t>ema</w:t>
            </w:r>
          </w:p>
        </w:tc>
        <w:tc>
          <w:tcPr>
            <w:tcW w:type="dxa" w:w="1728"/>
          </w:tcPr>
          <w:p>
            <w:r>
              <w:rPr>
                <w:sz w:val="20"/>
              </w:rPr>
              <w:t>101.77</w:t>
            </w:r>
          </w:p>
        </w:tc>
        <w:tc>
          <w:tcPr>
            <w:tcW w:type="dxa" w:w="1728"/>
          </w:tcPr>
          <w:p>
            <w:r>
              <w:rPr>
                <w:sz w:val="20"/>
              </w:rPr>
              <w:t>0.55</w:t>
            </w:r>
          </w:p>
        </w:tc>
      </w:tr>
      <w:tr>
        <w:tc>
          <w:tcPr>
            <w:tcW w:type="dxa" w:w="1728"/>
          </w:tcPr>
          <w:p>
            <w:r>
              <w:rPr>
                <w:sz w:val="20"/>
              </w:rPr>
              <w:t>SOPUZK</w:t>
            </w:r>
          </w:p>
        </w:tc>
        <w:tc>
          <w:tcPr>
            <w:tcW w:type="dxa" w:w="1728"/>
          </w:tcPr>
          <w:p>
            <w:r>
              <w:rPr>
                <w:sz w:val="20"/>
              </w:rPr>
              <w:t>6</w:t>
            </w:r>
          </w:p>
        </w:tc>
        <w:tc>
          <w:tcPr>
            <w:tcW w:type="dxa" w:w="1728"/>
          </w:tcPr>
          <w:p>
            <w:r>
              <w:rPr>
                <w:sz w:val="20"/>
              </w:rPr>
              <w:t>ses</w:t>
            </w:r>
          </w:p>
        </w:tc>
        <w:tc>
          <w:tcPr>
            <w:tcW w:type="dxa" w:w="1728"/>
          </w:tcPr>
          <w:p>
            <w:r>
              <w:rPr>
                <w:sz w:val="20"/>
              </w:rPr>
              <w:t>15.06</w:t>
            </w:r>
          </w:p>
        </w:tc>
        <w:tc>
          <w:tcPr>
            <w:tcW w:type="dxa" w:w="1728"/>
          </w:tcPr>
          <w:p>
            <w:r>
              <w:rPr>
                <w:sz w:val="20"/>
              </w:rPr>
              <w:t>0.77</w:t>
            </w:r>
          </w:p>
        </w:tc>
      </w:tr>
      <w:tr>
        <w:tc>
          <w:tcPr>
            <w:tcW w:type="dxa" w:w="1728"/>
          </w:tcPr>
          <w:p>
            <w:r>
              <w:rPr>
                <w:sz w:val="20"/>
              </w:rPr>
              <w:t>unknown</w:t>
            </w:r>
          </w:p>
        </w:tc>
        <w:tc>
          <w:tcPr>
            <w:tcW w:type="dxa" w:w="1728"/>
          </w:tcPr>
          <w:p>
            <w:r>
              <w:rPr>
                <w:sz w:val="20"/>
              </w:rPr>
              <w:t>2</w:t>
            </w:r>
          </w:p>
        </w:tc>
        <w:tc>
          <w:tcPr>
            <w:tcW w:type="dxa" w:w="1728"/>
          </w:tcPr>
          <w:p>
            <w:r>
              <w:rPr>
                <w:sz w:val="20"/>
              </w:rPr>
              <w:t>ema</w:t>
            </w:r>
          </w:p>
        </w:tc>
        <w:tc>
          <w:tcPr>
            <w:tcW w:type="dxa" w:w="1728"/>
          </w:tcPr>
          <w:p>
            <w:r>
              <w:rPr>
                <w:sz w:val="20"/>
              </w:rPr>
              <w:t>inf</w:t>
            </w:r>
          </w:p>
        </w:tc>
        <w:tc>
          <w:tcPr>
            <w:tcW w:type="dxa" w:w="1728"/>
          </w:tcPr>
          <w:p>
            <w:r>
              <w:rPr>
                <w:sz w:val="20"/>
              </w:rPr>
              <w:t>0.71</w:t>
            </w:r>
          </w:p>
        </w:tc>
      </w:tr>
    </w:tbl>
    <w:p>
      <w:pPr>
        <w:pStyle w:val="Heading2"/>
      </w:pPr>
      <w:r>
        <w:rPr>
          <w:rFonts w:ascii="Calibri" w:hAnsi="Calibri"/>
          <w:color w:val="1F2937"/>
        </w:rPr>
        <w:t>6. forecast_revenue / quantity / margin .json</w:t>
      </w:r>
    </w:p>
    <w:p>
      <w:r>
        <w:rPr>
          <w:b/>
          <w:color w:val="3E5D80"/>
          <w:sz w:val="22"/>
        </w:rPr>
        <w:t xml:space="preserve">Plain language: </w:t>
      </w:r>
      <w:r>
        <w:rPr>
          <w:sz w:val="22"/>
        </w:rPr>
        <w:t>Three companion files, one for each thing we care about: euros earned (revenue), pieces shipped (quantity), and how rich the margin was (db2_margin). Each file forecasts 12 months ahead at four different zoom levels: commodity group, business unit, top-50 customers, and top-100 articles.</w:t>
      </w:r>
    </w:p>
    <w:p>
      <w:r>
        <w:rPr>
          <w:rFonts w:ascii="Calibri" w:hAnsi="Calibri"/>
          <w:b/>
          <w:i w:val="0"/>
          <w:sz w:val="22"/>
        </w:rPr>
        <w:t>Revenue (euros earned)</w:t>
      </w:r>
    </w:p>
    <w:p>
      <w:pPr>
        <w:pStyle w:val="ListBullet"/>
      </w:pPr>
      <w:r>
        <w:t xml:space="preserve">  • commodity_group: 6 series forecast</w:t>
      </w:r>
    </w:p>
    <w:p>
      <w:pPr>
        <w:pStyle w:val="ListBullet"/>
      </w:pPr>
      <w:r>
        <w:t xml:space="preserve">  • business_unit: 1 series forecast</w:t>
      </w:r>
    </w:p>
    <w:p>
      <w:pPr>
        <w:pStyle w:val="ListBullet"/>
      </w:pPr>
      <w:r>
        <w:t xml:space="preserve">  • customer: 48 series forecast</w:t>
      </w:r>
    </w:p>
    <w:p>
      <w:pPr>
        <w:pStyle w:val="ListBullet"/>
      </w:pPr>
      <w:r>
        <w:t xml:space="preserve">  • article: 89 series forecast</w:t>
      </w:r>
    </w:p>
    <w:p>
      <w:r>
        <w:rPr>
          <w:rFonts w:ascii="Calibri" w:hAnsi="Calibri"/>
          <w:b/>
          <w:i w:val="0"/>
          <w:sz w:val="22"/>
        </w:rPr>
        <w:t>Quantity (pieces shipped)</w:t>
      </w:r>
    </w:p>
    <w:p>
      <w:pPr>
        <w:pStyle w:val="ListBullet"/>
      </w:pPr>
      <w:r>
        <w:t xml:space="preserve">  • commodity_group: 6 series forecast</w:t>
      </w:r>
    </w:p>
    <w:p>
      <w:pPr>
        <w:pStyle w:val="ListBullet"/>
      </w:pPr>
      <w:r>
        <w:t xml:space="preserve">  • business_unit: 1 series forecast</w:t>
      </w:r>
    </w:p>
    <w:p>
      <w:pPr>
        <w:pStyle w:val="ListBullet"/>
      </w:pPr>
      <w:r>
        <w:t xml:space="preserve">  • customer: 48 series forecast</w:t>
      </w:r>
    </w:p>
    <w:p>
      <w:pPr>
        <w:pStyle w:val="ListBullet"/>
      </w:pPr>
      <w:r>
        <w:t xml:space="preserve">  • article: 89 series forecast</w:t>
      </w:r>
    </w:p>
    <w:p>
      <w:r>
        <w:rPr>
          <w:rFonts w:ascii="Calibri" w:hAnsi="Calibri"/>
          <w:b/>
          <w:i w:val="0"/>
          <w:sz w:val="22"/>
        </w:rPr>
        <w:t>Margin (contribution % after variable cost)</w:t>
      </w:r>
    </w:p>
    <w:p>
      <w:pPr>
        <w:pStyle w:val="ListBullet"/>
      </w:pPr>
      <w:r>
        <w:t xml:space="preserve">  • commodity_group: 6 series forecast</w:t>
      </w:r>
    </w:p>
    <w:p>
      <w:pPr>
        <w:pStyle w:val="ListBullet"/>
      </w:pPr>
      <w:r>
        <w:t xml:space="preserve">  • business_unit: 1 series forecast</w:t>
      </w:r>
    </w:p>
    <w:p>
      <w:pPr>
        <w:pStyle w:val="ListBullet"/>
      </w:pPr>
      <w:r>
        <w:t xml:space="preserve">  • customer: 48 series forecast</w:t>
      </w:r>
    </w:p>
    <w:p>
      <w:pPr>
        <w:pStyle w:val="ListBullet"/>
      </w:pPr>
      <w:r>
        <w:t xml:space="preserve">  • article: 89 series forecast</w:t>
      </w:r>
    </w:p>
    <w:p>
      <w:r>
        <w:rPr>
          <w:rFonts w:ascii="Calibri" w:hAnsi="Calibri"/>
          <w:b/>
          <w:i w:val="0"/>
          <w:sz w:val="22"/>
        </w:rPr>
        <w:t>How to read a single forecast row</w:t>
      </w:r>
    </w:p>
    <w:p>
      <w:pPr>
        <w:pStyle w:val="ListBullet"/>
      </w:pPr>
      <w:r>
        <w:t>p50 = most-likely number (50% chance the actual will land at-or-below this)</w:t>
      </w:r>
    </w:p>
    <w:p>
      <w:pPr>
        <w:pStyle w:val="ListBullet"/>
      </w:pPr>
      <w:r>
        <w:t>p80_low / p80_high = the 80% confidence band (4 out of 5 months will land in here)</w:t>
      </w:r>
    </w:p>
    <w:p>
      <w:pPr>
        <w:pStyle w:val="ListBullet"/>
      </w:pPr>
      <w:r>
        <w:t>p95_low / p95_high = the 95% confidence band (very wide; covers rare scenarios)</w:t>
      </w:r>
    </w:p>
    <w:p>
      <w:pPr>
        <w:pStyle w:val="ListBullet"/>
      </w:pPr>
      <w:r>
        <w:t>ts = month being forecast (month-end)</w:t>
      </w:r>
    </w:p>
    <w:p>
      <w:pPr>
        <w:pStyle w:val="ListBullet"/>
      </w:pPr>
      <w:r>
        <w:t>winner_mape = how big the average error was during validation (lower = more reliable)</w:t>
      </w:r>
    </w:p>
    <w:p>
      <w:pPr>
        <w:pStyle w:val="Heading2"/>
      </w:pPr>
      <w:r>
        <w:rPr>
          <w:rFonts w:ascii="Calibri" w:hAnsi="Calibri"/>
          <w:color w:val="1F2937"/>
        </w:rPr>
        <w:t>7. forecast_quarterly.json</w:t>
      </w:r>
    </w:p>
    <w:p>
      <w:r>
        <w:rPr>
          <w:b/>
          <w:color w:val="3E5D80"/>
          <w:sz w:val="22"/>
        </w:rPr>
        <w:t xml:space="preserve">Plain language: </w:t>
      </w:r>
      <w:r>
        <w:rPr>
          <w:sz w:val="22"/>
        </w:rPr>
        <w:t>Same forecasts as above, but rolled up into quarters (8 quarters = 2 years ahead). Useful because finance and sales plan in quarters, and bursty monthly numbers smooth out into more reliable quarterly views. Built by simulating 1,000 possible paths through the monthly forecasts and re-aggregating — so the uncertainty bands remain mathematically honest.</w:t>
      </w:r>
    </w:p>
    <w:p>
      <w:r>
        <w:rPr>
          <w:rFonts w:ascii="Calibri" w:hAnsi="Calibri"/>
          <w:b w:val="0"/>
          <w:i w:val="0"/>
          <w:sz w:val="22"/>
        </w:rPr>
        <w:t>Metrics covered: revenue, quantity, db2_margin</w:t>
      </w:r>
    </w:p>
    <w:p>
      <w:r>
        <w:rPr>
          <w:rFonts w:ascii="Calibri" w:hAnsi="Calibri"/>
          <w:b/>
          <w:i w:val="0"/>
          <w:sz w:val="22"/>
        </w:rPr>
        <w:t>Example — revenue forecast for commodity group 'BKAES':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quarter_end</w:t>
            </w:r>
          </w:p>
        </w:tc>
        <w:tc>
          <w:tcPr>
            <w:tcW w:type="dxa" w:w="2160"/>
          </w:tcPr>
          <w:p>
            <w:r>
              <w:rPr>
                <w:b/>
                <w:sz w:val="20"/>
              </w:rPr>
              <w:t>p50_revenue</w:t>
            </w:r>
          </w:p>
        </w:tc>
        <w:tc>
          <w:tcPr>
            <w:tcW w:type="dxa" w:w="2160"/>
          </w:tcPr>
          <w:p>
            <w:r>
              <w:rPr>
                <w:b/>
                <w:sz w:val="20"/>
              </w:rPr>
              <w:t>p80_low</w:t>
            </w:r>
          </w:p>
        </w:tc>
        <w:tc>
          <w:tcPr>
            <w:tcW w:type="dxa" w:w="2160"/>
          </w:tcPr>
          <w:p>
            <w:r>
              <w:rPr>
                <w:b/>
                <w:sz w:val="20"/>
              </w:rPr>
              <w:t>p80_high</w:t>
            </w:r>
          </w:p>
        </w:tc>
      </w:tr>
      <w:tr>
        <w:tc>
          <w:tcPr>
            <w:tcW w:type="dxa" w:w="2160"/>
          </w:tcPr>
          <w:p>
            <w:r>
              <w:rPr>
                <w:sz w:val="20"/>
              </w:rPr>
              <w:t>2026-03-31</w:t>
            </w:r>
          </w:p>
        </w:tc>
        <w:tc>
          <w:tcPr>
            <w:tcW w:type="dxa" w:w="2160"/>
          </w:tcPr>
          <w:p>
            <w:r>
              <w:rPr>
                <w:sz w:val="20"/>
              </w:rPr>
              <w:t>991,904</w:t>
            </w:r>
          </w:p>
        </w:tc>
        <w:tc>
          <w:tcPr>
            <w:tcW w:type="dxa" w:w="2160"/>
          </w:tcPr>
          <w:p>
            <w:r>
              <w:rPr>
                <w:sz w:val="20"/>
              </w:rPr>
              <w:t>723,519</w:t>
            </w:r>
          </w:p>
        </w:tc>
        <w:tc>
          <w:tcPr>
            <w:tcW w:type="dxa" w:w="2160"/>
          </w:tcPr>
          <w:p>
            <w:r>
              <w:rPr>
                <w:sz w:val="20"/>
              </w:rPr>
              <w:t>1,256,511</w:t>
            </w:r>
          </w:p>
        </w:tc>
      </w:tr>
      <w:tr>
        <w:tc>
          <w:tcPr>
            <w:tcW w:type="dxa" w:w="2160"/>
          </w:tcPr>
          <w:p>
            <w:r>
              <w:rPr>
                <w:sz w:val="20"/>
              </w:rPr>
              <w:t>2026-06-30</w:t>
            </w:r>
          </w:p>
        </w:tc>
        <w:tc>
          <w:tcPr>
            <w:tcW w:type="dxa" w:w="2160"/>
          </w:tcPr>
          <w:p>
            <w:r>
              <w:rPr>
                <w:sz w:val="20"/>
              </w:rPr>
              <w:t>991,380</w:t>
            </w:r>
          </w:p>
        </w:tc>
        <w:tc>
          <w:tcPr>
            <w:tcW w:type="dxa" w:w="2160"/>
          </w:tcPr>
          <w:p>
            <w:r>
              <w:rPr>
                <w:sz w:val="20"/>
              </w:rPr>
              <w:t>716,006</w:t>
            </w:r>
          </w:p>
        </w:tc>
        <w:tc>
          <w:tcPr>
            <w:tcW w:type="dxa" w:w="2160"/>
          </w:tcPr>
          <w:p>
            <w:r>
              <w:rPr>
                <w:sz w:val="20"/>
              </w:rPr>
              <w:t>1,275,139</w:t>
            </w:r>
          </w:p>
        </w:tc>
      </w:tr>
      <w:tr>
        <w:tc>
          <w:tcPr>
            <w:tcW w:type="dxa" w:w="2160"/>
          </w:tcPr>
          <w:p>
            <w:r>
              <w:rPr>
                <w:sz w:val="20"/>
              </w:rPr>
              <w:t>2026-09-30</w:t>
            </w:r>
          </w:p>
        </w:tc>
        <w:tc>
          <w:tcPr>
            <w:tcW w:type="dxa" w:w="2160"/>
          </w:tcPr>
          <w:p>
            <w:r>
              <w:rPr>
                <w:sz w:val="20"/>
              </w:rPr>
              <w:t>978,126</w:t>
            </w:r>
          </w:p>
        </w:tc>
        <w:tc>
          <w:tcPr>
            <w:tcW w:type="dxa" w:w="2160"/>
          </w:tcPr>
          <w:p>
            <w:r>
              <w:rPr>
                <w:sz w:val="20"/>
              </w:rPr>
              <w:t>683,691</w:t>
            </w:r>
          </w:p>
        </w:tc>
        <w:tc>
          <w:tcPr>
            <w:tcW w:type="dxa" w:w="2160"/>
          </w:tcPr>
          <w:p>
            <w:r>
              <w:rPr>
                <w:sz w:val="20"/>
              </w:rPr>
              <w:t>1,269,798</w:t>
            </w:r>
          </w:p>
        </w:tc>
      </w:tr>
      <w:tr>
        <w:tc>
          <w:tcPr>
            <w:tcW w:type="dxa" w:w="2160"/>
          </w:tcPr>
          <w:p>
            <w:r>
              <w:rPr>
                <w:sz w:val="20"/>
              </w:rPr>
              <w:t>2026-12-31</w:t>
            </w:r>
          </w:p>
        </w:tc>
        <w:tc>
          <w:tcPr>
            <w:tcW w:type="dxa" w:w="2160"/>
          </w:tcPr>
          <w:p>
            <w:r>
              <w:rPr>
                <w:sz w:val="20"/>
              </w:rPr>
              <w:t>986,147</w:t>
            </w:r>
          </w:p>
        </w:tc>
        <w:tc>
          <w:tcPr>
            <w:tcW w:type="dxa" w:w="2160"/>
          </w:tcPr>
          <w:p>
            <w:r>
              <w:rPr>
                <w:sz w:val="20"/>
              </w:rPr>
              <w:t>703,468</w:t>
            </w:r>
          </w:p>
        </w:tc>
        <w:tc>
          <w:tcPr>
            <w:tcW w:type="dxa" w:w="2160"/>
          </w:tcPr>
          <w:p>
            <w:r>
              <w:rPr>
                <w:sz w:val="20"/>
              </w:rPr>
              <w:t>1,272,683</w:t>
            </w:r>
          </w:p>
        </w:tc>
      </w:tr>
    </w:tbl>
    <w:p>
      <w:pPr>
        <w:pStyle w:val="Heading2"/>
      </w:pPr>
      <w:r>
        <w:rPr>
          <w:rFonts w:ascii="Calibri" w:hAnsi="Calibri"/>
          <w:color w:val="1F2937"/>
        </w:rPr>
        <w:t>8. sku_forecasts.parquet</w:t>
      </w:r>
    </w:p>
    <w:p>
      <w:r>
        <w:rPr>
          <w:b/>
          <w:color w:val="3E5D80"/>
          <w:sz w:val="22"/>
        </w:rPr>
        <w:t xml:space="preserve">Plain language: </w:t>
      </w:r>
      <w:r>
        <w:rPr>
          <w:sz w:val="22"/>
        </w:rPr>
        <w:t>Per-SKU (per article number) revenue forecast. Top-100 articles get their own direct forecast. The other ~1,121 long-tail articles are grouped by commodity_group and forecast as buckets, then proportionally rolled down — so every SKU has a number, but the long-tail ones share a parent trajectory.</w:t>
      </w:r>
    </w:p>
    <w:p>
      <w:r>
        <w:rPr>
          <w:rFonts w:ascii="Calibri" w:hAnsi="Calibri"/>
          <w:b w:val="0"/>
          <w:i w:val="0"/>
          <w:sz w:val="22"/>
        </w:rPr>
        <w:t>Total rows: 1,479. Direct vs bucket method: {'direct': 1430, 'proportional_bucket': 49}.</w:t>
      </w:r>
    </w:p>
    <w:p>
      <w:r>
        <w:rPr>
          <w:rFonts w:ascii="Calibri" w:hAnsi="Calibri"/>
          <w:b w:val="0"/>
          <w:i w:val="0"/>
          <w:sz w:val="22"/>
        </w:rPr>
        <w:t>Monthly forecasts: 1068. Quarterly forecasts: 411.</w:t>
      </w:r>
    </w:p>
    <w:p>
      <w:r>
        <w:rPr>
          <w:rFonts w:ascii="Calibri" w:hAnsi="Calibri"/>
          <w:b/>
          <w:i w:val="0"/>
          <w:sz w:val="22"/>
        </w:rPr>
        <w:t>First few rows: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article_key</w:t>
            </w:r>
          </w:p>
        </w:tc>
        <w:tc>
          <w:tcPr>
            <w:tcW w:type="dxa" w:w="960"/>
          </w:tcPr>
          <w:p>
            <w:r>
              <w:rPr>
                <w:b/>
                <w:sz w:val="20"/>
              </w:rPr>
              <w:t>cadence</w:t>
            </w:r>
          </w:p>
        </w:tc>
        <w:tc>
          <w:tcPr>
            <w:tcW w:type="dxa" w:w="960"/>
          </w:tcPr>
          <w:p>
            <w:r>
              <w:rPr>
                <w:b/>
                <w:sz w:val="20"/>
              </w:rPr>
              <w:t>ts</w:t>
            </w:r>
          </w:p>
        </w:tc>
        <w:tc>
          <w:tcPr>
            <w:tcW w:type="dxa" w:w="960"/>
          </w:tcPr>
          <w:p>
            <w:r>
              <w:rPr>
                <w:b/>
                <w:sz w:val="20"/>
              </w:rPr>
              <w:t>p50</w:t>
            </w:r>
          </w:p>
        </w:tc>
        <w:tc>
          <w:tcPr>
            <w:tcW w:type="dxa" w:w="960"/>
          </w:tcPr>
          <w:p>
            <w:r>
              <w:rPr>
                <w:b/>
                <w:sz w:val="20"/>
              </w:rPr>
              <w:t>p80_low</w:t>
            </w:r>
          </w:p>
        </w:tc>
        <w:tc>
          <w:tcPr>
            <w:tcW w:type="dxa" w:w="960"/>
          </w:tcPr>
          <w:p>
            <w:r>
              <w:rPr>
                <w:b/>
                <w:sz w:val="20"/>
              </w:rPr>
              <w:t>p80_high</w:t>
            </w:r>
          </w:p>
        </w:tc>
        <w:tc>
          <w:tcPr>
            <w:tcW w:type="dxa" w:w="960"/>
          </w:tcPr>
          <w:p>
            <w:r>
              <w:rPr>
                <w:b/>
                <w:sz w:val="20"/>
              </w:rPr>
              <w:t>p95_low</w:t>
            </w:r>
          </w:p>
        </w:tc>
        <w:tc>
          <w:tcPr>
            <w:tcW w:type="dxa" w:w="960"/>
          </w:tcPr>
          <w:p>
            <w:r>
              <w:rPr>
                <w:b/>
                <w:sz w:val="20"/>
              </w:rPr>
              <w:t>p95_high</w:t>
            </w:r>
          </w:p>
        </w:tc>
        <w:tc>
          <w:tcPr>
            <w:tcW w:type="dxa" w:w="960"/>
          </w:tcPr>
          <w:p>
            <w:r>
              <w:rPr>
                <w:b/>
                <w:sz w:val="20"/>
              </w:rPr>
              <w:t>forecast_method</w:t>
            </w:r>
          </w:p>
        </w:tc>
      </w:tr>
      <w:tr>
        <w:tc>
          <w:tcPr>
            <w:tcW w:type="dxa" w:w="960"/>
          </w:tcPr>
          <w:p>
            <w:r>
              <w:rPr>
                <w:sz w:val="20"/>
              </w:rPr>
              <w:t>10000034-A</w:t>
            </w:r>
          </w:p>
        </w:tc>
        <w:tc>
          <w:tcPr>
            <w:tcW w:type="dxa" w:w="960"/>
          </w:tcPr>
          <w:p>
            <w:r>
              <w:rPr>
                <w:sz w:val="20"/>
              </w:rPr>
              <w:t>monthly</w:t>
            </w:r>
          </w:p>
        </w:tc>
        <w:tc>
          <w:tcPr>
            <w:tcW w:type="dxa" w:w="960"/>
          </w:tcPr>
          <w:p>
            <w:r>
              <w:rPr>
                <w:sz w:val="20"/>
              </w:rPr>
              <w:t>2025-07-31</w:t>
            </w:r>
          </w:p>
        </w:tc>
        <w:tc>
          <w:tcPr>
            <w:tcW w:type="dxa" w:w="960"/>
          </w:tcPr>
          <w:p>
            <w:r>
              <w:rPr>
                <w:sz w:val="20"/>
              </w:rPr>
              <w:t>11,545</w:t>
            </w:r>
          </w:p>
        </w:tc>
        <w:tc>
          <w:tcPr>
            <w:tcW w:type="dxa" w:w="960"/>
          </w:tcPr>
          <w:p>
            <w:r>
              <w:rPr>
                <w:sz w:val="20"/>
              </w:rPr>
              <w:t>6,249</w:t>
            </w:r>
          </w:p>
        </w:tc>
        <w:tc>
          <w:tcPr>
            <w:tcW w:type="dxa" w:w="960"/>
          </w:tcPr>
          <w:p>
            <w:r>
              <w:rPr>
                <w:sz w:val="20"/>
              </w:rPr>
              <w:t>21,328</w:t>
            </w:r>
          </w:p>
        </w:tc>
        <w:tc>
          <w:tcPr>
            <w:tcW w:type="dxa" w:w="960"/>
          </w:tcPr>
          <w:p>
            <w:r>
              <w:rPr>
                <w:sz w:val="20"/>
              </w:rPr>
              <w:t>4,324</w:t>
            </w:r>
          </w:p>
        </w:tc>
        <w:tc>
          <w:tcPr>
            <w:tcW w:type="dxa" w:w="960"/>
          </w:tcPr>
          <w:p>
            <w:r>
              <w:rPr>
                <w:sz w:val="20"/>
              </w:rPr>
              <w:t>30,822</w:t>
            </w:r>
          </w:p>
        </w:tc>
        <w:tc>
          <w:tcPr>
            <w:tcW w:type="dxa" w:w="960"/>
          </w:tcPr>
          <w:p>
            <w:r>
              <w:rPr>
                <w:sz w:val="20"/>
              </w:rPr>
              <w:t>direct</w:t>
            </w:r>
          </w:p>
        </w:tc>
      </w:tr>
      <w:tr>
        <w:tc>
          <w:tcPr>
            <w:tcW w:type="dxa" w:w="960"/>
          </w:tcPr>
          <w:p>
            <w:r>
              <w:rPr>
                <w:sz w:val="20"/>
              </w:rPr>
              <w:t>10000034-A</w:t>
            </w:r>
          </w:p>
        </w:tc>
        <w:tc>
          <w:tcPr>
            <w:tcW w:type="dxa" w:w="960"/>
          </w:tcPr>
          <w:p>
            <w:r>
              <w:rPr>
                <w:sz w:val="20"/>
              </w:rPr>
              <w:t>monthly</w:t>
            </w:r>
          </w:p>
        </w:tc>
        <w:tc>
          <w:tcPr>
            <w:tcW w:type="dxa" w:w="960"/>
          </w:tcPr>
          <w:p>
            <w:r>
              <w:rPr>
                <w:sz w:val="20"/>
              </w:rPr>
              <w:t>2025-08-31</w:t>
            </w:r>
          </w:p>
        </w:tc>
        <w:tc>
          <w:tcPr>
            <w:tcW w:type="dxa" w:w="960"/>
          </w:tcPr>
          <w:p>
            <w:r>
              <w:rPr>
                <w:sz w:val="20"/>
              </w:rPr>
              <w:t>11,545</w:t>
            </w:r>
          </w:p>
        </w:tc>
        <w:tc>
          <w:tcPr>
            <w:tcW w:type="dxa" w:w="960"/>
          </w:tcPr>
          <w:p>
            <w:r>
              <w:rPr>
                <w:sz w:val="20"/>
              </w:rPr>
              <w:t>6,249</w:t>
            </w:r>
          </w:p>
        </w:tc>
        <w:tc>
          <w:tcPr>
            <w:tcW w:type="dxa" w:w="960"/>
          </w:tcPr>
          <w:p>
            <w:r>
              <w:rPr>
                <w:sz w:val="20"/>
              </w:rPr>
              <w:t>21,328</w:t>
            </w:r>
          </w:p>
        </w:tc>
        <w:tc>
          <w:tcPr>
            <w:tcW w:type="dxa" w:w="960"/>
          </w:tcPr>
          <w:p>
            <w:r>
              <w:rPr>
                <w:sz w:val="20"/>
              </w:rPr>
              <w:t>4,324</w:t>
            </w:r>
          </w:p>
        </w:tc>
        <w:tc>
          <w:tcPr>
            <w:tcW w:type="dxa" w:w="960"/>
          </w:tcPr>
          <w:p>
            <w:r>
              <w:rPr>
                <w:sz w:val="20"/>
              </w:rPr>
              <w:t>30,822</w:t>
            </w:r>
          </w:p>
        </w:tc>
        <w:tc>
          <w:tcPr>
            <w:tcW w:type="dxa" w:w="960"/>
          </w:tcPr>
          <w:p>
            <w:r>
              <w:rPr>
                <w:sz w:val="20"/>
              </w:rPr>
              <w:t>direct</w:t>
            </w:r>
          </w:p>
        </w:tc>
      </w:tr>
      <w:tr>
        <w:tc>
          <w:tcPr>
            <w:tcW w:type="dxa" w:w="960"/>
          </w:tcPr>
          <w:p>
            <w:r>
              <w:rPr>
                <w:sz w:val="20"/>
              </w:rPr>
              <w:t>10000034-A</w:t>
            </w:r>
          </w:p>
        </w:tc>
        <w:tc>
          <w:tcPr>
            <w:tcW w:type="dxa" w:w="960"/>
          </w:tcPr>
          <w:p>
            <w:r>
              <w:rPr>
                <w:sz w:val="20"/>
              </w:rPr>
              <w:t>monthly</w:t>
            </w:r>
          </w:p>
        </w:tc>
        <w:tc>
          <w:tcPr>
            <w:tcW w:type="dxa" w:w="960"/>
          </w:tcPr>
          <w:p>
            <w:r>
              <w:rPr>
                <w:sz w:val="20"/>
              </w:rPr>
              <w:t>2025-09-30</w:t>
            </w:r>
          </w:p>
        </w:tc>
        <w:tc>
          <w:tcPr>
            <w:tcW w:type="dxa" w:w="960"/>
          </w:tcPr>
          <w:p>
            <w:r>
              <w:rPr>
                <w:sz w:val="20"/>
              </w:rPr>
              <w:t>11,545</w:t>
            </w:r>
          </w:p>
        </w:tc>
        <w:tc>
          <w:tcPr>
            <w:tcW w:type="dxa" w:w="960"/>
          </w:tcPr>
          <w:p>
            <w:r>
              <w:rPr>
                <w:sz w:val="20"/>
              </w:rPr>
              <w:t>6,249</w:t>
            </w:r>
          </w:p>
        </w:tc>
        <w:tc>
          <w:tcPr>
            <w:tcW w:type="dxa" w:w="960"/>
          </w:tcPr>
          <w:p>
            <w:r>
              <w:rPr>
                <w:sz w:val="20"/>
              </w:rPr>
              <w:t>21,328</w:t>
            </w:r>
          </w:p>
        </w:tc>
        <w:tc>
          <w:tcPr>
            <w:tcW w:type="dxa" w:w="960"/>
          </w:tcPr>
          <w:p>
            <w:r>
              <w:rPr>
                <w:sz w:val="20"/>
              </w:rPr>
              <w:t>4,324</w:t>
            </w:r>
          </w:p>
        </w:tc>
        <w:tc>
          <w:tcPr>
            <w:tcW w:type="dxa" w:w="960"/>
          </w:tcPr>
          <w:p>
            <w:r>
              <w:rPr>
                <w:sz w:val="20"/>
              </w:rPr>
              <w:t>30,822</w:t>
            </w:r>
          </w:p>
        </w:tc>
        <w:tc>
          <w:tcPr>
            <w:tcW w:type="dxa" w:w="960"/>
          </w:tcPr>
          <w:p>
            <w:r>
              <w:rPr>
                <w:sz w:val="20"/>
              </w:rPr>
              <w:t>direct</w:t>
            </w:r>
          </w:p>
        </w:tc>
      </w:tr>
      <w:tr>
        <w:tc>
          <w:tcPr>
            <w:tcW w:type="dxa" w:w="960"/>
          </w:tcPr>
          <w:p>
            <w:r>
              <w:rPr>
                <w:sz w:val="20"/>
              </w:rPr>
              <w:t>10000034-A</w:t>
            </w:r>
          </w:p>
        </w:tc>
        <w:tc>
          <w:tcPr>
            <w:tcW w:type="dxa" w:w="960"/>
          </w:tcPr>
          <w:p>
            <w:r>
              <w:rPr>
                <w:sz w:val="20"/>
              </w:rPr>
              <w:t>monthly</w:t>
            </w:r>
          </w:p>
        </w:tc>
        <w:tc>
          <w:tcPr>
            <w:tcW w:type="dxa" w:w="960"/>
          </w:tcPr>
          <w:p>
            <w:r>
              <w:rPr>
                <w:sz w:val="20"/>
              </w:rPr>
              <w:t>2025-10-31</w:t>
            </w:r>
          </w:p>
        </w:tc>
        <w:tc>
          <w:tcPr>
            <w:tcW w:type="dxa" w:w="960"/>
          </w:tcPr>
          <w:p>
            <w:r>
              <w:rPr>
                <w:sz w:val="20"/>
              </w:rPr>
              <w:t>11,545</w:t>
            </w:r>
          </w:p>
        </w:tc>
        <w:tc>
          <w:tcPr>
            <w:tcW w:type="dxa" w:w="960"/>
          </w:tcPr>
          <w:p>
            <w:r>
              <w:rPr>
                <w:sz w:val="20"/>
              </w:rPr>
              <w:t>6,249</w:t>
            </w:r>
          </w:p>
        </w:tc>
        <w:tc>
          <w:tcPr>
            <w:tcW w:type="dxa" w:w="960"/>
          </w:tcPr>
          <w:p>
            <w:r>
              <w:rPr>
                <w:sz w:val="20"/>
              </w:rPr>
              <w:t>21,328</w:t>
            </w:r>
          </w:p>
        </w:tc>
        <w:tc>
          <w:tcPr>
            <w:tcW w:type="dxa" w:w="960"/>
          </w:tcPr>
          <w:p>
            <w:r>
              <w:rPr>
                <w:sz w:val="20"/>
              </w:rPr>
              <w:t>4,324</w:t>
            </w:r>
          </w:p>
        </w:tc>
        <w:tc>
          <w:tcPr>
            <w:tcW w:type="dxa" w:w="960"/>
          </w:tcPr>
          <w:p>
            <w:r>
              <w:rPr>
                <w:sz w:val="20"/>
              </w:rPr>
              <w:t>30,822</w:t>
            </w:r>
          </w:p>
        </w:tc>
        <w:tc>
          <w:tcPr>
            <w:tcW w:type="dxa" w:w="960"/>
          </w:tcPr>
          <w:p>
            <w:r>
              <w:rPr>
                <w:sz w:val="20"/>
              </w:rPr>
              <w:t>direct</w:t>
            </w:r>
          </w:p>
        </w:tc>
      </w:tr>
      <w:tr>
        <w:tc>
          <w:tcPr>
            <w:tcW w:type="dxa" w:w="960"/>
          </w:tcPr>
          <w:p>
            <w:r>
              <w:rPr>
                <w:sz w:val="20"/>
              </w:rPr>
              <w:t>10000034-A</w:t>
            </w:r>
          </w:p>
        </w:tc>
        <w:tc>
          <w:tcPr>
            <w:tcW w:type="dxa" w:w="960"/>
          </w:tcPr>
          <w:p>
            <w:r>
              <w:rPr>
                <w:sz w:val="20"/>
              </w:rPr>
              <w:t>monthly</w:t>
            </w:r>
          </w:p>
        </w:tc>
        <w:tc>
          <w:tcPr>
            <w:tcW w:type="dxa" w:w="960"/>
          </w:tcPr>
          <w:p>
            <w:r>
              <w:rPr>
                <w:sz w:val="20"/>
              </w:rPr>
              <w:t>2025-11-30</w:t>
            </w:r>
          </w:p>
        </w:tc>
        <w:tc>
          <w:tcPr>
            <w:tcW w:type="dxa" w:w="960"/>
          </w:tcPr>
          <w:p>
            <w:r>
              <w:rPr>
                <w:sz w:val="20"/>
              </w:rPr>
              <w:t>11,545</w:t>
            </w:r>
          </w:p>
        </w:tc>
        <w:tc>
          <w:tcPr>
            <w:tcW w:type="dxa" w:w="960"/>
          </w:tcPr>
          <w:p>
            <w:r>
              <w:rPr>
                <w:sz w:val="20"/>
              </w:rPr>
              <w:t>6,249</w:t>
            </w:r>
          </w:p>
        </w:tc>
        <w:tc>
          <w:tcPr>
            <w:tcW w:type="dxa" w:w="960"/>
          </w:tcPr>
          <w:p>
            <w:r>
              <w:rPr>
                <w:sz w:val="20"/>
              </w:rPr>
              <w:t>21,328</w:t>
            </w:r>
          </w:p>
        </w:tc>
        <w:tc>
          <w:tcPr>
            <w:tcW w:type="dxa" w:w="960"/>
          </w:tcPr>
          <w:p>
            <w:r>
              <w:rPr>
                <w:sz w:val="20"/>
              </w:rPr>
              <w:t>4,324</w:t>
            </w:r>
          </w:p>
        </w:tc>
        <w:tc>
          <w:tcPr>
            <w:tcW w:type="dxa" w:w="960"/>
          </w:tcPr>
          <w:p>
            <w:r>
              <w:rPr>
                <w:sz w:val="20"/>
              </w:rPr>
              <w:t>30,822</w:t>
            </w:r>
          </w:p>
        </w:tc>
        <w:tc>
          <w:tcPr>
            <w:tcW w:type="dxa" w:w="960"/>
          </w:tcPr>
          <w:p>
            <w:r>
              <w:rPr>
                <w:sz w:val="20"/>
              </w:rPr>
              <w:t>direct</w:t>
            </w:r>
          </w:p>
        </w:tc>
      </w:tr>
      <w:tr>
        <w:tc>
          <w:tcPr>
            <w:tcW w:type="dxa" w:w="960"/>
          </w:tcPr>
          <w:p>
            <w:r>
              <w:rPr>
                <w:sz w:val="20"/>
              </w:rPr>
              <w:t>10000034-A</w:t>
            </w:r>
          </w:p>
        </w:tc>
        <w:tc>
          <w:tcPr>
            <w:tcW w:type="dxa" w:w="960"/>
          </w:tcPr>
          <w:p>
            <w:r>
              <w:rPr>
                <w:sz w:val="20"/>
              </w:rPr>
              <w:t>monthly</w:t>
            </w:r>
          </w:p>
        </w:tc>
        <w:tc>
          <w:tcPr>
            <w:tcW w:type="dxa" w:w="960"/>
          </w:tcPr>
          <w:p>
            <w:r>
              <w:rPr>
                <w:sz w:val="20"/>
              </w:rPr>
              <w:t>2025-12-31</w:t>
            </w:r>
          </w:p>
        </w:tc>
        <w:tc>
          <w:tcPr>
            <w:tcW w:type="dxa" w:w="960"/>
          </w:tcPr>
          <w:p>
            <w:r>
              <w:rPr>
                <w:sz w:val="20"/>
              </w:rPr>
              <w:t>11,545</w:t>
            </w:r>
          </w:p>
        </w:tc>
        <w:tc>
          <w:tcPr>
            <w:tcW w:type="dxa" w:w="960"/>
          </w:tcPr>
          <w:p>
            <w:r>
              <w:rPr>
                <w:sz w:val="20"/>
              </w:rPr>
              <w:t>6,249</w:t>
            </w:r>
          </w:p>
        </w:tc>
        <w:tc>
          <w:tcPr>
            <w:tcW w:type="dxa" w:w="960"/>
          </w:tcPr>
          <w:p>
            <w:r>
              <w:rPr>
                <w:sz w:val="20"/>
              </w:rPr>
              <w:t>21,328</w:t>
            </w:r>
          </w:p>
        </w:tc>
        <w:tc>
          <w:tcPr>
            <w:tcW w:type="dxa" w:w="960"/>
          </w:tcPr>
          <w:p>
            <w:r>
              <w:rPr>
                <w:sz w:val="20"/>
              </w:rPr>
              <w:t>4,324</w:t>
            </w:r>
          </w:p>
        </w:tc>
        <w:tc>
          <w:tcPr>
            <w:tcW w:type="dxa" w:w="960"/>
          </w:tcPr>
          <w:p>
            <w:r>
              <w:rPr>
                <w:sz w:val="20"/>
              </w:rPr>
              <w:t>30,822</w:t>
            </w:r>
          </w:p>
        </w:tc>
        <w:tc>
          <w:tcPr>
            <w:tcW w:type="dxa" w:w="960"/>
          </w:tcPr>
          <w:p>
            <w:r>
              <w:rPr>
                <w:sz w:val="20"/>
              </w:rPr>
              <w:t>direct</w:t>
            </w:r>
          </w:p>
        </w:tc>
      </w:tr>
      <w:tr>
        <w:tc>
          <w:tcPr>
            <w:tcW w:type="dxa" w:w="960"/>
          </w:tcPr>
          <w:p>
            <w:r>
              <w:rPr>
                <w:sz w:val="20"/>
              </w:rPr>
              <w:t>10000034-A</w:t>
            </w:r>
          </w:p>
        </w:tc>
        <w:tc>
          <w:tcPr>
            <w:tcW w:type="dxa" w:w="960"/>
          </w:tcPr>
          <w:p>
            <w:r>
              <w:rPr>
                <w:sz w:val="20"/>
              </w:rPr>
              <w:t>monthly</w:t>
            </w:r>
          </w:p>
        </w:tc>
        <w:tc>
          <w:tcPr>
            <w:tcW w:type="dxa" w:w="960"/>
          </w:tcPr>
          <w:p>
            <w:r>
              <w:rPr>
                <w:sz w:val="20"/>
              </w:rPr>
              <w:t>2026-01-31</w:t>
            </w:r>
          </w:p>
        </w:tc>
        <w:tc>
          <w:tcPr>
            <w:tcW w:type="dxa" w:w="960"/>
          </w:tcPr>
          <w:p>
            <w:r>
              <w:rPr>
                <w:sz w:val="20"/>
              </w:rPr>
              <w:t>11,545</w:t>
            </w:r>
          </w:p>
        </w:tc>
        <w:tc>
          <w:tcPr>
            <w:tcW w:type="dxa" w:w="960"/>
          </w:tcPr>
          <w:p>
            <w:r>
              <w:rPr>
                <w:sz w:val="20"/>
              </w:rPr>
              <w:t>6,249</w:t>
            </w:r>
          </w:p>
        </w:tc>
        <w:tc>
          <w:tcPr>
            <w:tcW w:type="dxa" w:w="960"/>
          </w:tcPr>
          <w:p>
            <w:r>
              <w:rPr>
                <w:sz w:val="20"/>
              </w:rPr>
              <w:t>21,328</w:t>
            </w:r>
          </w:p>
        </w:tc>
        <w:tc>
          <w:tcPr>
            <w:tcW w:type="dxa" w:w="960"/>
          </w:tcPr>
          <w:p>
            <w:r>
              <w:rPr>
                <w:sz w:val="20"/>
              </w:rPr>
              <w:t>4,324</w:t>
            </w:r>
          </w:p>
        </w:tc>
        <w:tc>
          <w:tcPr>
            <w:tcW w:type="dxa" w:w="960"/>
          </w:tcPr>
          <w:p>
            <w:r>
              <w:rPr>
                <w:sz w:val="20"/>
              </w:rPr>
              <w:t>30,822</w:t>
            </w:r>
          </w:p>
        </w:tc>
        <w:tc>
          <w:tcPr>
            <w:tcW w:type="dxa" w:w="960"/>
          </w:tcPr>
          <w:p>
            <w:r>
              <w:rPr>
                <w:sz w:val="20"/>
              </w:rPr>
              <w:t>direct</w:t>
            </w:r>
          </w:p>
        </w:tc>
      </w:tr>
      <w:tr>
        <w:tc>
          <w:tcPr>
            <w:tcW w:type="dxa" w:w="960"/>
          </w:tcPr>
          <w:p>
            <w:r>
              <w:rPr>
                <w:sz w:val="20"/>
              </w:rPr>
              <w:t>10000034-A</w:t>
            </w:r>
          </w:p>
        </w:tc>
        <w:tc>
          <w:tcPr>
            <w:tcW w:type="dxa" w:w="960"/>
          </w:tcPr>
          <w:p>
            <w:r>
              <w:rPr>
                <w:sz w:val="20"/>
              </w:rPr>
              <w:t>monthly</w:t>
            </w:r>
          </w:p>
        </w:tc>
        <w:tc>
          <w:tcPr>
            <w:tcW w:type="dxa" w:w="960"/>
          </w:tcPr>
          <w:p>
            <w:r>
              <w:rPr>
                <w:sz w:val="20"/>
              </w:rPr>
              <w:t>2026-02-28</w:t>
            </w:r>
          </w:p>
        </w:tc>
        <w:tc>
          <w:tcPr>
            <w:tcW w:type="dxa" w:w="960"/>
          </w:tcPr>
          <w:p>
            <w:r>
              <w:rPr>
                <w:sz w:val="20"/>
              </w:rPr>
              <w:t>11,545</w:t>
            </w:r>
          </w:p>
        </w:tc>
        <w:tc>
          <w:tcPr>
            <w:tcW w:type="dxa" w:w="960"/>
          </w:tcPr>
          <w:p>
            <w:r>
              <w:rPr>
                <w:sz w:val="20"/>
              </w:rPr>
              <w:t>6,249</w:t>
            </w:r>
          </w:p>
        </w:tc>
        <w:tc>
          <w:tcPr>
            <w:tcW w:type="dxa" w:w="960"/>
          </w:tcPr>
          <w:p>
            <w:r>
              <w:rPr>
                <w:sz w:val="20"/>
              </w:rPr>
              <w:t>21,328</w:t>
            </w:r>
          </w:p>
        </w:tc>
        <w:tc>
          <w:tcPr>
            <w:tcW w:type="dxa" w:w="960"/>
          </w:tcPr>
          <w:p>
            <w:r>
              <w:rPr>
                <w:sz w:val="20"/>
              </w:rPr>
              <w:t>4,324</w:t>
            </w:r>
          </w:p>
        </w:tc>
        <w:tc>
          <w:tcPr>
            <w:tcW w:type="dxa" w:w="960"/>
          </w:tcPr>
          <w:p>
            <w:r>
              <w:rPr>
                <w:sz w:val="20"/>
              </w:rPr>
              <w:t>30,822</w:t>
            </w:r>
          </w:p>
        </w:tc>
        <w:tc>
          <w:tcPr>
            <w:tcW w:type="dxa" w:w="960"/>
          </w:tcPr>
          <w:p>
            <w:r>
              <w:rPr>
                <w:sz w:val="20"/>
              </w:rPr>
              <w:t>direct</w:t>
            </w:r>
          </w:p>
        </w:tc>
      </w:tr>
    </w:tbl>
    <w:p>
      <w:pPr>
        <w:pStyle w:val="Heading2"/>
      </w:pPr>
      <w:r>
        <w:rPr>
          <w:rFonts w:ascii="Calibri" w:hAnsi="Calibri"/>
          <w:color w:val="1F2937"/>
        </w:rPr>
        <w:t>9. customer_forecasts.parquet</w:t>
      </w:r>
    </w:p>
    <w:p>
      <w:r>
        <w:rPr>
          <w:b/>
          <w:color w:val="3E5D80"/>
          <w:sz w:val="22"/>
        </w:rPr>
        <w:t xml:space="preserve">Plain language: </w:t>
      </w:r>
      <w:r>
        <w:rPr>
          <w:sz w:val="22"/>
        </w:rPr>
        <w:t>Per-customer revenue forecast for the top-50 customers (the ones that drive a third of revenue). Everyone else is aggregated into 'other' buckets by commodity group. Each customer gets a monthly path 12 months out plus a quarterly path 8 quarters out.</w:t>
      </w:r>
    </w:p>
    <w:p>
      <w:r>
        <w:rPr>
          <w:rFonts w:ascii="Calibri" w:hAnsi="Calibri"/>
          <w:b w:val="0"/>
          <w:i w:val="0"/>
          <w:sz w:val="22"/>
        </w:rPr>
        <w:t>Direct customer forecasts: 44. 'Other' bucket lines: 4. Total rows: 788.</w:t>
      </w:r>
    </w:p>
    <w:p>
      <w:pPr>
        <w:pStyle w:val="Heading2"/>
      </w:pPr>
      <w:r>
        <w:rPr>
          <w:rFonts w:ascii="Calibri" w:hAnsi="Calibri"/>
          <w:color w:val="1F2937"/>
        </w:rPr>
        <w:t>10. churn_predictions.csv ⭐</w:t>
      </w:r>
    </w:p>
    <w:p>
      <w:r>
        <w:rPr>
          <w:b/>
          <w:color w:val="B3261A"/>
          <w:sz w:val="22"/>
        </w:rPr>
        <w:t xml:space="preserve">Plain language: </w:t>
      </w:r>
      <w:r>
        <w:rPr>
          <w:sz w:val="22"/>
        </w:rPr>
        <w:t>The headline output. For each active customer, three churn probabilities (next 1 quarter / 2 quarters / 4 quarters) and the matching at-risk revenue (probability × forecasted revenue). 'Churn' is defined as: no invoice in the next 6 months AND no won quote in the next 3 months. Also includes the top-5 SKUs that customer has bought in the last 12 months — useful for outreach.</w:t>
      </w:r>
    </w:p>
    <w:p>
      <w:r>
        <w:rPr>
          <w:rFonts w:ascii="Calibri" w:hAnsi="Calibri"/>
          <w:b/>
          <w:i w:val="0"/>
          <w:sz w:val="22"/>
        </w:rPr>
        <w:t>Headline numbers:</w:t>
      </w:r>
    </w:p>
    <w:p>
      <w:pPr>
        <w:pStyle w:val="ListBullet"/>
      </w:pPr>
      <w:r>
        <w:t>Customers scored: 408</w:t>
      </w:r>
    </w:p>
    <w:p>
      <w:pPr>
        <w:pStyle w:val="ListBullet"/>
      </w:pPr>
      <w:r>
        <w:t>≥50% chance of churning in next 1 quarter: 228 customers</w:t>
      </w:r>
    </w:p>
    <w:p>
      <w:pPr>
        <w:pStyle w:val="ListBullet"/>
      </w:pPr>
      <w:r>
        <w:t>≥50% chance of churning in next 4 quarters: 284 customers</w:t>
      </w:r>
    </w:p>
    <w:p>
      <w:pPr>
        <w:pStyle w:val="ListBullet"/>
      </w:pPr>
      <w:r>
        <w:t>Total at-risk revenue over 4Q (top-50 only): EUR 635,694</w:t>
      </w:r>
    </w:p>
    <w:p>
      <w:pPr>
        <w:pStyle w:val="ListBullet"/>
      </w:pPr>
      <w:r>
        <w:t>Model accuracy: AUC 0.94 at 1Q, 0.81 at 2Q, 0.79 at 4Q (anything above 0.70 is considered good)</w:t>
      </w:r>
    </w:p>
    <w:p>
      <w:r>
        <w:rPr>
          <w:rFonts w:ascii="Calibri" w:hAnsi="Calibri"/>
          <w:b/>
          <w:i w:val="0"/>
          <w:sz w:val="22"/>
        </w:rPr>
        <w:t>Top-10 highest-risk customers (4-quarter horizon):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Customer ID</w:t>
            </w:r>
          </w:p>
        </w:tc>
        <w:tc>
          <w:tcPr>
            <w:tcW w:type="dxa" w:w="1728"/>
          </w:tcPr>
          <w:p>
            <w:r>
              <w:rPr>
                <w:b/>
                <w:sz w:val="20"/>
              </w:rPr>
              <w:t>1Q churn prob</w:t>
            </w:r>
          </w:p>
        </w:tc>
        <w:tc>
          <w:tcPr>
            <w:tcW w:type="dxa" w:w="1728"/>
          </w:tcPr>
          <w:p>
            <w:r>
              <w:rPr>
                <w:b/>
                <w:sz w:val="20"/>
              </w:rPr>
              <w:t>4Q churn prob</w:t>
            </w:r>
          </w:p>
        </w:tc>
        <w:tc>
          <w:tcPr>
            <w:tcW w:type="dxa" w:w="1728"/>
          </w:tcPr>
          <w:p>
            <w:r>
              <w:rPr>
                <w:b/>
                <w:sz w:val="20"/>
              </w:rPr>
              <w:t>At-risk EUR (4Q)</w:t>
            </w:r>
          </w:p>
        </w:tc>
        <w:tc>
          <w:tcPr>
            <w:tcW w:type="dxa" w:w="1728"/>
          </w:tcPr>
          <w:p>
            <w:r>
              <w:rPr>
                <w:b/>
                <w:sz w:val="20"/>
              </w:rPr>
              <w:t>Top SKUs (last 12m)</w:t>
            </w:r>
          </w:p>
        </w:tc>
      </w:tr>
      <w:tr>
        <w:tc>
          <w:tcPr>
            <w:tcW w:type="dxa" w:w="1728"/>
          </w:tcPr>
          <w:p>
            <w:r>
              <w:rPr>
                <w:sz w:val="20"/>
              </w:rPr>
              <w:t>105134</w:t>
            </w:r>
          </w:p>
        </w:tc>
        <w:tc>
          <w:tcPr>
            <w:tcW w:type="dxa" w:w="1728"/>
          </w:tcPr>
          <w:p>
            <w:r>
              <w:rPr>
                <w:sz w:val="20"/>
              </w:rPr>
              <w:t>0.00</w:t>
            </w:r>
          </w:p>
        </w:tc>
        <w:tc>
          <w:tcPr>
            <w:tcW w:type="dxa" w:w="1728"/>
          </w:tcPr>
          <w:p>
            <w:r>
              <w:rPr>
                <w:sz w:val="20"/>
              </w:rPr>
              <w:t>0.99</w:t>
            </w:r>
          </w:p>
        </w:tc>
        <w:tc>
          <w:tcPr>
            <w:tcW w:type="dxa" w:w="1728"/>
          </w:tcPr>
          <w:p>
            <w:r>
              <w:rPr>
                <w:sz w:val="20"/>
              </w:rPr>
            </w:r>
          </w:p>
        </w:tc>
        <w:tc>
          <w:tcPr>
            <w:tcW w:type="dxa" w:w="1728"/>
          </w:tcPr>
          <w:p>
            <w:r>
              <w:rPr>
                <w:sz w:val="20"/>
              </w:rPr>
              <w:t>201790</w:t>
            </w:r>
          </w:p>
        </w:tc>
      </w:tr>
      <w:tr>
        <w:tc>
          <w:tcPr>
            <w:tcW w:type="dxa" w:w="1728"/>
          </w:tcPr>
          <w:p>
            <w:r>
              <w:rPr>
                <w:sz w:val="20"/>
              </w:rPr>
              <w:t>104786</w:t>
            </w:r>
          </w:p>
        </w:tc>
        <w:tc>
          <w:tcPr>
            <w:tcW w:type="dxa" w:w="1728"/>
          </w:tcPr>
          <w:p>
            <w:r>
              <w:rPr>
                <w:sz w:val="20"/>
              </w:rPr>
              <w:t>0.94</w:t>
            </w:r>
          </w:p>
        </w:tc>
        <w:tc>
          <w:tcPr>
            <w:tcW w:type="dxa" w:w="1728"/>
          </w:tcPr>
          <w:p>
            <w:r>
              <w:rPr>
                <w:sz w:val="20"/>
              </w:rPr>
              <w:t>0.99</w:t>
            </w:r>
          </w:p>
        </w:tc>
        <w:tc>
          <w:tcPr>
            <w:tcW w:type="dxa" w:w="1728"/>
          </w:tcPr>
          <w:p>
            <w:r>
              <w:rPr>
                <w:sz w:val="20"/>
              </w:rPr>
            </w:r>
          </w:p>
        </w:tc>
        <w:tc>
          <w:tcPr>
            <w:tcW w:type="dxa" w:w="1728"/>
          </w:tcPr>
          <w:p>
            <w:r>
              <w:rPr>
                <w:sz w:val="20"/>
              </w:rPr>
              <w:t>201230</w:t>
            </w:r>
          </w:p>
        </w:tc>
      </w:tr>
      <w:tr>
        <w:tc>
          <w:tcPr>
            <w:tcW w:type="dxa" w:w="1728"/>
          </w:tcPr>
          <w:p>
            <w:r>
              <w:rPr>
                <w:sz w:val="20"/>
              </w:rPr>
              <w:t>101720</w:t>
            </w:r>
          </w:p>
        </w:tc>
        <w:tc>
          <w:tcPr>
            <w:tcW w:type="dxa" w:w="1728"/>
          </w:tcPr>
          <w:p>
            <w:r>
              <w:rPr>
                <w:sz w:val="20"/>
              </w:rPr>
              <w:t>0.97</w:t>
            </w:r>
          </w:p>
        </w:tc>
        <w:tc>
          <w:tcPr>
            <w:tcW w:type="dxa" w:w="1728"/>
          </w:tcPr>
          <w:p>
            <w:r>
              <w:rPr>
                <w:sz w:val="20"/>
              </w:rPr>
              <w:t>0.99</w:t>
            </w:r>
          </w:p>
        </w:tc>
        <w:tc>
          <w:tcPr>
            <w:tcW w:type="dxa" w:w="1728"/>
          </w:tcPr>
          <w:p>
            <w:r>
              <w:rPr>
                <w:sz w:val="20"/>
              </w:rPr>
            </w:r>
          </w:p>
        </w:tc>
        <w:tc>
          <w:tcPr>
            <w:tcW w:type="dxa" w:w="1728"/>
          </w:tcPr>
          <w:p>
            <w:r>
              <w:rPr>
                <w:sz w:val="20"/>
              </w:rPr>
              <w:t>200851-A</w:t>
            </w:r>
          </w:p>
        </w:tc>
      </w:tr>
      <w:tr>
        <w:tc>
          <w:tcPr>
            <w:tcW w:type="dxa" w:w="1728"/>
          </w:tcPr>
          <w:p>
            <w:r>
              <w:rPr>
                <w:sz w:val="20"/>
              </w:rPr>
              <w:t>105045</w:t>
            </w:r>
          </w:p>
        </w:tc>
        <w:tc>
          <w:tcPr>
            <w:tcW w:type="dxa" w:w="1728"/>
          </w:tcPr>
          <w:p>
            <w:r>
              <w:rPr>
                <w:sz w:val="20"/>
              </w:rPr>
              <w:t>0.00</w:t>
            </w:r>
          </w:p>
        </w:tc>
        <w:tc>
          <w:tcPr>
            <w:tcW w:type="dxa" w:w="1728"/>
          </w:tcPr>
          <w:p>
            <w:r>
              <w:rPr>
                <w:sz w:val="20"/>
              </w:rPr>
              <w:t>0.98</w:t>
            </w:r>
          </w:p>
        </w:tc>
        <w:tc>
          <w:tcPr>
            <w:tcW w:type="dxa" w:w="1728"/>
          </w:tcPr>
          <w:p>
            <w:r>
              <w:rPr>
                <w:sz w:val="20"/>
              </w:rPr>
            </w:r>
          </w:p>
        </w:tc>
        <w:tc>
          <w:tcPr>
            <w:tcW w:type="dxa" w:w="1728"/>
          </w:tcPr>
          <w:p>
            <w:r>
              <w:rPr>
                <w:sz w:val="20"/>
              </w:rPr>
              <w:t>201446</w:t>
            </w:r>
          </w:p>
        </w:tc>
      </w:tr>
      <w:tr>
        <w:tc>
          <w:tcPr>
            <w:tcW w:type="dxa" w:w="1728"/>
          </w:tcPr>
          <w:p>
            <w:r>
              <w:rPr>
                <w:sz w:val="20"/>
              </w:rPr>
              <w:t>101617</w:t>
            </w:r>
          </w:p>
        </w:tc>
        <w:tc>
          <w:tcPr>
            <w:tcW w:type="dxa" w:w="1728"/>
          </w:tcPr>
          <w:p>
            <w:r>
              <w:rPr>
                <w:sz w:val="20"/>
              </w:rPr>
              <w:t>0.00</w:t>
            </w:r>
          </w:p>
        </w:tc>
        <w:tc>
          <w:tcPr>
            <w:tcW w:type="dxa" w:w="1728"/>
          </w:tcPr>
          <w:p>
            <w:r>
              <w:rPr>
                <w:sz w:val="20"/>
              </w:rPr>
              <w:t>0.98</w:t>
            </w:r>
          </w:p>
        </w:tc>
        <w:tc>
          <w:tcPr>
            <w:tcW w:type="dxa" w:w="1728"/>
          </w:tcPr>
          <w:p>
            <w:r>
              <w:rPr>
                <w:sz w:val="20"/>
              </w:rPr>
            </w:r>
          </w:p>
        </w:tc>
        <w:tc>
          <w:tcPr>
            <w:tcW w:type="dxa" w:w="1728"/>
          </w:tcPr>
          <w:p>
            <w:r>
              <w:rPr>
                <w:sz w:val="20"/>
              </w:rPr>
              <w:t>200409</w:t>
            </w:r>
          </w:p>
        </w:tc>
      </w:tr>
      <w:tr>
        <w:tc>
          <w:tcPr>
            <w:tcW w:type="dxa" w:w="1728"/>
          </w:tcPr>
          <w:p>
            <w:r>
              <w:rPr>
                <w:sz w:val="20"/>
              </w:rPr>
              <w:t>105079</w:t>
            </w:r>
          </w:p>
        </w:tc>
        <w:tc>
          <w:tcPr>
            <w:tcW w:type="dxa" w:w="1728"/>
          </w:tcPr>
          <w:p>
            <w:r>
              <w:rPr>
                <w:sz w:val="20"/>
              </w:rPr>
              <w:t>0.00</w:t>
            </w:r>
          </w:p>
        </w:tc>
        <w:tc>
          <w:tcPr>
            <w:tcW w:type="dxa" w:w="1728"/>
          </w:tcPr>
          <w:p>
            <w:r>
              <w:rPr>
                <w:sz w:val="20"/>
              </w:rPr>
              <w:t>0.98</w:t>
            </w:r>
          </w:p>
        </w:tc>
        <w:tc>
          <w:tcPr>
            <w:tcW w:type="dxa" w:w="1728"/>
          </w:tcPr>
          <w:p>
            <w:r>
              <w:rPr>
                <w:sz w:val="20"/>
              </w:rPr>
            </w:r>
          </w:p>
        </w:tc>
        <w:tc>
          <w:tcPr>
            <w:tcW w:type="dxa" w:w="1728"/>
          </w:tcPr>
          <w:p>
            <w:r>
              <w:rPr>
                <w:sz w:val="20"/>
              </w:rPr>
              <w:t>201147</w:t>
            </w:r>
          </w:p>
        </w:tc>
      </w:tr>
      <w:tr>
        <w:tc>
          <w:tcPr>
            <w:tcW w:type="dxa" w:w="1728"/>
          </w:tcPr>
          <w:p>
            <w:r>
              <w:rPr>
                <w:sz w:val="20"/>
              </w:rPr>
              <w:t>105117</w:t>
            </w:r>
          </w:p>
        </w:tc>
        <w:tc>
          <w:tcPr>
            <w:tcW w:type="dxa" w:w="1728"/>
          </w:tcPr>
          <w:p>
            <w:r>
              <w:rPr>
                <w:sz w:val="20"/>
              </w:rPr>
              <w:t>0.00</w:t>
            </w:r>
          </w:p>
        </w:tc>
        <w:tc>
          <w:tcPr>
            <w:tcW w:type="dxa" w:w="1728"/>
          </w:tcPr>
          <w:p>
            <w:r>
              <w:rPr>
                <w:sz w:val="20"/>
              </w:rPr>
              <w:t>0.98</w:t>
            </w:r>
          </w:p>
        </w:tc>
        <w:tc>
          <w:tcPr>
            <w:tcW w:type="dxa" w:w="1728"/>
          </w:tcPr>
          <w:p>
            <w:r>
              <w:rPr>
                <w:sz w:val="20"/>
              </w:rPr>
            </w:r>
          </w:p>
        </w:tc>
        <w:tc>
          <w:tcPr>
            <w:tcW w:type="dxa" w:w="1728"/>
          </w:tcPr>
          <w:p>
            <w:r>
              <w:rPr>
                <w:sz w:val="20"/>
              </w:rPr>
              <w:t>200802-A</w:t>
            </w:r>
          </w:p>
        </w:tc>
      </w:tr>
      <w:tr>
        <w:tc>
          <w:tcPr>
            <w:tcW w:type="dxa" w:w="1728"/>
          </w:tcPr>
          <w:p>
            <w:r>
              <w:rPr>
                <w:sz w:val="20"/>
              </w:rPr>
              <w:t>101855</w:t>
            </w:r>
          </w:p>
        </w:tc>
        <w:tc>
          <w:tcPr>
            <w:tcW w:type="dxa" w:w="1728"/>
          </w:tcPr>
          <w:p>
            <w:r>
              <w:rPr>
                <w:sz w:val="20"/>
              </w:rPr>
              <w:t>0.99</w:t>
            </w:r>
          </w:p>
        </w:tc>
        <w:tc>
          <w:tcPr>
            <w:tcW w:type="dxa" w:w="1728"/>
          </w:tcPr>
          <w:p>
            <w:r>
              <w:rPr>
                <w:sz w:val="20"/>
              </w:rPr>
              <w:t>0.98</w:t>
            </w:r>
          </w:p>
        </w:tc>
        <w:tc>
          <w:tcPr>
            <w:tcW w:type="dxa" w:w="1728"/>
          </w:tcPr>
          <w:p>
            <w:r>
              <w:rPr>
                <w:sz w:val="20"/>
              </w:rPr>
            </w:r>
          </w:p>
        </w:tc>
        <w:tc>
          <w:tcPr>
            <w:tcW w:type="dxa" w:w="1728"/>
          </w:tcPr>
          <w:p>
            <w:r>
              <w:rPr>
                <w:sz w:val="20"/>
              </w:rPr>
              <w:t>201451</w:t>
            </w:r>
          </w:p>
        </w:tc>
      </w:tr>
      <w:tr>
        <w:tc>
          <w:tcPr>
            <w:tcW w:type="dxa" w:w="1728"/>
          </w:tcPr>
          <w:p>
            <w:r>
              <w:rPr>
                <w:sz w:val="20"/>
              </w:rPr>
              <w:t>104766</w:t>
            </w:r>
          </w:p>
        </w:tc>
        <w:tc>
          <w:tcPr>
            <w:tcW w:type="dxa" w:w="1728"/>
          </w:tcPr>
          <w:p>
            <w:r>
              <w:rPr>
                <w:sz w:val="20"/>
              </w:rPr>
              <w:t>0.94</w:t>
            </w:r>
          </w:p>
        </w:tc>
        <w:tc>
          <w:tcPr>
            <w:tcW w:type="dxa" w:w="1728"/>
          </w:tcPr>
          <w:p>
            <w:r>
              <w:rPr>
                <w:sz w:val="20"/>
              </w:rPr>
              <w:t>0.98</w:t>
            </w:r>
          </w:p>
        </w:tc>
        <w:tc>
          <w:tcPr>
            <w:tcW w:type="dxa" w:w="1728"/>
          </w:tcPr>
          <w:p>
            <w:r>
              <w:rPr>
                <w:sz w:val="20"/>
              </w:rPr>
            </w:r>
          </w:p>
        </w:tc>
        <w:tc>
          <w:tcPr>
            <w:tcW w:type="dxa" w:w="1728"/>
          </w:tcPr>
          <w:p>
            <w:r>
              <w:rPr>
                <w:sz w:val="20"/>
              </w:rPr>
              <w:t>205690-A</w:t>
            </w:r>
          </w:p>
        </w:tc>
      </w:tr>
      <w:tr>
        <w:tc>
          <w:tcPr>
            <w:tcW w:type="dxa" w:w="1728"/>
          </w:tcPr>
          <w:p>
            <w:r>
              <w:rPr>
                <w:sz w:val="20"/>
              </w:rPr>
              <w:t>101614</w:t>
            </w:r>
          </w:p>
        </w:tc>
        <w:tc>
          <w:tcPr>
            <w:tcW w:type="dxa" w:w="1728"/>
          </w:tcPr>
          <w:p>
            <w:r>
              <w:rPr>
                <w:sz w:val="20"/>
              </w:rPr>
              <w:t>0.00</w:t>
            </w:r>
          </w:p>
        </w:tc>
        <w:tc>
          <w:tcPr>
            <w:tcW w:type="dxa" w:w="1728"/>
          </w:tcPr>
          <w:p>
            <w:r>
              <w:rPr>
                <w:sz w:val="20"/>
              </w:rPr>
              <w:t>0.98</w:t>
            </w:r>
          </w:p>
        </w:tc>
        <w:tc>
          <w:tcPr>
            <w:tcW w:type="dxa" w:w="1728"/>
          </w:tcPr>
          <w:p>
            <w:r>
              <w:rPr>
                <w:sz w:val="20"/>
              </w:rPr>
            </w:r>
          </w:p>
        </w:tc>
        <w:tc>
          <w:tcPr>
            <w:tcW w:type="dxa" w:w="1728"/>
          </w:tcPr>
          <w:p>
            <w:r>
              <w:rPr>
                <w:sz w:val="20"/>
              </w:rPr>
              <w:t>205345-A</w:t>
            </w:r>
          </w:p>
        </w:tc>
      </w:tr>
    </w:tbl>
    <w:p>
      <w:r>
        <w:rPr>
          <w:rFonts w:ascii="Calibri" w:hAnsi="Calibri"/>
          <w:b/>
          <w:i w:val="0"/>
          <w:sz w:val="22"/>
        </w:rPr>
        <w:t>How to act on it</w:t>
      </w:r>
    </w:p>
    <w:p>
      <w:pPr>
        <w:pStyle w:val="ListBullet"/>
      </w:pPr>
      <w:r>
        <w:t>Sort by at_risk_revenue_4q descending — that is your call list.</w:t>
      </w:r>
    </w:p>
    <w:p>
      <w:pPr>
        <w:pStyle w:val="ListBullet"/>
      </w:pPr>
      <w:r>
        <w:t>For each, the top_skus_12m column shows what they buy, so you know exactly what conversation to have.</w:t>
      </w:r>
    </w:p>
    <w:p>
      <w:pPr>
        <w:pStyle w:val="ListBullet"/>
      </w:pPr>
      <w:r>
        <w:t>p_churn_1q being high means do something this quarter; if only p_churn_4q is high, you have time.</w:t>
      </w:r>
    </w:p>
    <w:p>
      <w:pPr>
        <w:pStyle w:val="Heading2"/>
      </w:pPr>
      <w:r>
        <w:rPr>
          <w:rFonts w:ascii="Calibri" w:hAnsi="Calibri"/>
          <w:color w:val="1F2937"/>
        </w:rPr>
        <w:t>11. pipeline_forecast.csv ⭐</w:t>
      </w:r>
    </w:p>
    <w:p>
      <w:r>
        <w:rPr>
          <w:b/>
          <w:color w:val="108040"/>
          <w:sz w:val="22"/>
        </w:rPr>
        <w:t xml:space="preserve">Plain language: </w:t>
      </w:r>
      <w:r>
        <w:rPr>
          <w:sz w:val="22"/>
        </w:rPr>
        <w:t>Every open (or recent) quote gets a win probability, and that probability multiplied by the quote value is the expected revenue if you 'play the averages'. Sum these up by month or quarter to see expected booked revenue from the open pipeline — separate from the customer-base forecast.</w:t>
      </w:r>
    </w:p>
    <w:p>
      <w:r>
        <w:rPr>
          <w:rFonts w:ascii="Calibri" w:hAnsi="Calibri"/>
          <w:b w:val="0"/>
          <w:i w:val="0"/>
          <w:sz w:val="22"/>
        </w:rPr>
        <w:t>Open/proxy quotes scored: 273. Model accuracy: AUC 0.84.</w:t>
      </w:r>
    </w:p>
    <w:p>
      <w:r>
        <w:rPr>
          <w:rFonts w:ascii="Calibri" w:hAnsi="Calibri"/>
          <w:b/>
          <w:i w:val="0"/>
          <w:sz w:val="22"/>
        </w:rPr>
        <w:t>Expected booked revenue by quarter: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Quarter</w:t>
            </w:r>
          </w:p>
        </w:tc>
        <w:tc>
          <w:tcPr>
            <w:tcW w:type="dxa" w:w="4320"/>
          </w:tcPr>
          <w:p>
            <w:r>
              <w:rPr>
                <w:b/>
                <w:sz w:val="20"/>
              </w:rPr>
              <w:t>Expected booked revenue (EUR)</w:t>
            </w:r>
          </w:p>
        </w:tc>
      </w:tr>
      <w:tr>
        <w:tc>
          <w:tcPr>
            <w:tcW w:type="dxa" w:w="4320"/>
          </w:tcPr>
          <w:p>
            <w:r>
              <w:rPr>
                <w:sz w:val="20"/>
              </w:rPr>
              <w:t>2025Q3</w:t>
            </w:r>
          </w:p>
        </w:tc>
        <w:tc>
          <w:tcPr>
            <w:tcW w:type="dxa" w:w="4320"/>
          </w:tcPr>
          <w:p>
            <w:r>
              <w:rPr>
                <w:sz w:val="20"/>
              </w:rPr>
              <w:t>49,670</w:t>
            </w:r>
          </w:p>
        </w:tc>
      </w:tr>
      <w:tr>
        <w:tc>
          <w:tcPr>
            <w:tcW w:type="dxa" w:w="4320"/>
          </w:tcPr>
          <w:p>
            <w:r>
              <w:rPr>
                <w:sz w:val="20"/>
              </w:rPr>
              <w:t>2025Q4</w:t>
            </w:r>
          </w:p>
        </w:tc>
        <w:tc>
          <w:tcPr>
            <w:tcW w:type="dxa" w:w="4320"/>
          </w:tcPr>
          <w:p>
            <w:r>
              <w:rPr>
                <w:sz w:val="20"/>
              </w:rPr>
              <w:t>355,647</w:t>
            </w:r>
          </w:p>
        </w:tc>
      </w:tr>
    </w:tbl>
    <w:p>
      <w:r>
        <w:rPr>
          <w:rFonts w:ascii="Calibri" w:hAnsi="Calibri"/>
          <w:b/>
          <w:i w:val="0"/>
          <w:sz w:val="22"/>
        </w:rPr>
        <w:t>Top-10 quotes by expected revenue (focus list):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Customer ID</w:t>
            </w:r>
          </w:p>
        </w:tc>
        <w:tc>
          <w:tcPr>
            <w:tcW w:type="dxa" w:w="1440"/>
          </w:tcPr>
          <w:p>
            <w:r>
              <w:rPr>
                <w:b/>
                <w:sz w:val="20"/>
              </w:rPr>
              <w:t>Article</w:t>
            </w:r>
          </w:p>
        </w:tc>
        <w:tc>
          <w:tcPr>
            <w:tcW w:type="dxa" w:w="1440"/>
          </w:tcPr>
          <w:p>
            <w:r>
              <w:rPr>
                <w:b/>
                <w:sz w:val="20"/>
              </w:rPr>
              <w:t>Quote EUR</w:t>
            </w:r>
          </w:p>
        </w:tc>
        <w:tc>
          <w:tcPr>
            <w:tcW w:type="dxa" w:w="1440"/>
          </w:tcPr>
          <w:p>
            <w:r>
              <w:rPr>
                <w:b/>
                <w:sz w:val="20"/>
              </w:rPr>
              <w:t>P(win)</w:t>
            </w:r>
          </w:p>
        </w:tc>
        <w:tc>
          <w:tcPr>
            <w:tcW w:type="dxa" w:w="1440"/>
          </w:tcPr>
          <w:p>
            <w:r>
              <w:rPr>
                <w:b/>
                <w:sz w:val="20"/>
              </w:rPr>
              <w:t>Expected EUR</w:t>
            </w:r>
          </w:p>
        </w:tc>
        <w:tc>
          <w:tcPr>
            <w:tcW w:type="dxa" w:w="1440"/>
          </w:tcPr>
          <w:p>
            <w:r>
              <w:rPr>
                <w:b/>
                <w:sz w:val="20"/>
              </w:rPr>
              <w:t>Quarter</w:t>
            </w:r>
          </w:p>
        </w:tc>
      </w:tr>
      <w:tr>
        <w:tc>
          <w:tcPr>
            <w:tcW w:type="dxa" w:w="1440"/>
          </w:tcPr>
          <w:p>
            <w:r>
              <w:rPr>
                <w:sz w:val="20"/>
              </w:rPr>
              <w:t>101690</w:t>
            </w:r>
          </w:p>
        </w:tc>
        <w:tc>
          <w:tcPr>
            <w:tcW w:type="dxa" w:w="1440"/>
          </w:tcPr>
          <w:p>
            <w:r>
              <w:rPr>
                <w:sz w:val="20"/>
              </w:rPr>
              <w:t>201438-B</w:t>
            </w:r>
          </w:p>
        </w:tc>
        <w:tc>
          <w:tcPr>
            <w:tcW w:type="dxa" w:w="1440"/>
          </w:tcPr>
          <w:p>
            <w:r>
              <w:rPr>
                <w:sz w:val="20"/>
              </w:rPr>
              <w:t>36,400.00</w:t>
            </w:r>
          </w:p>
        </w:tc>
        <w:tc>
          <w:tcPr>
            <w:tcW w:type="dxa" w:w="1440"/>
          </w:tcPr>
          <w:p>
            <w:r>
              <w:rPr>
                <w:sz w:val="20"/>
              </w:rPr>
              <w:t>0.66</w:t>
            </w:r>
          </w:p>
        </w:tc>
        <w:tc>
          <w:tcPr>
            <w:tcW w:type="dxa" w:w="1440"/>
          </w:tcPr>
          <w:p>
            <w:r>
              <w:rPr>
                <w:sz w:val="20"/>
              </w:rPr>
              <w:t>24,100.40</w:t>
            </w:r>
          </w:p>
        </w:tc>
        <w:tc>
          <w:tcPr>
            <w:tcW w:type="dxa" w:w="1440"/>
          </w:tcPr>
          <w:p>
            <w:r>
              <w:rPr>
                <w:sz w:val="20"/>
              </w:rPr>
              <w:t>2025Q4</w:t>
            </w:r>
          </w:p>
        </w:tc>
      </w:tr>
      <w:tr>
        <w:tc>
          <w:tcPr>
            <w:tcW w:type="dxa" w:w="1440"/>
          </w:tcPr>
          <w:p>
            <w:r>
              <w:rPr>
                <w:sz w:val="20"/>
              </w:rPr>
              <w:t>101690</w:t>
            </w:r>
          </w:p>
        </w:tc>
        <w:tc>
          <w:tcPr>
            <w:tcW w:type="dxa" w:w="1440"/>
          </w:tcPr>
          <w:p>
            <w:r>
              <w:rPr>
                <w:sz w:val="20"/>
              </w:rPr>
              <w:t>200834-B</w:t>
            </w:r>
          </w:p>
        </w:tc>
        <w:tc>
          <w:tcPr>
            <w:tcW w:type="dxa" w:w="1440"/>
          </w:tcPr>
          <w:p>
            <w:r>
              <w:rPr>
                <w:sz w:val="20"/>
              </w:rPr>
              <w:t>45,800.00</w:t>
            </w:r>
          </w:p>
        </w:tc>
        <w:tc>
          <w:tcPr>
            <w:tcW w:type="dxa" w:w="1440"/>
          </w:tcPr>
          <w:p>
            <w:r>
              <w:rPr>
                <w:sz w:val="20"/>
              </w:rPr>
              <w:t>0.50</w:t>
            </w:r>
          </w:p>
        </w:tc>
        <w:tc>
          <w:tcPr>
            <w:tcW w:type="dxa" w:w="1440"/>
          </w:tcPr>
          <w:p>
            <w:r>
              <w:rPr>
                <w:sz w:val="20"/>
              </w:rPr>
              <w:t>23,083.32</w:t>
            </w:r>
          </w:p>
        </w:tc>
        <w:tc>
          <w:tcPr>
            <w:tcW w:type="dxa" w:w="1440"/>
          </w:tcPr>
          <w:p>
            <w:r>
              <w:rPr>
                <w:sz w:val="20"/>
              </w:rPr>
              <w:t>2025Q4</w:t>
            </w:r>
          </w:p>
        </w:tc>
      </w:tr>
      <w:tr>
        <w:tc>
          <w:tcPr>
            <w:tcW w:type="dxa" w:w="1440"/>
          </w:tcPr>
          <w:p>
            <w:r>
              <w:rPr>
                <w:sz w:val="20"/>
              </w:rPr>
              <w:t>101028</w:t>
            </w:r>
          </w:p>
        </w:tc>
        <w:tc>
          <w:tcPr>
            <w:tcW w:type="dxa" w:w="1440"/>
          </w:tcPr>
          <w:p>
            <w:r>
              <w:rPr>
                <w:sz w:val="20"/>
              </w:rPr>
              <w:t>202098</w:t>
            </w:r>
          </w:p>
        </w:tc>
        <w:tc>
          <w:tcPr>
            <w:tcW w:type="dxa" w:w="1440"/>
          </w:tcPr>
          <w:p>
            <w:r>
              <w:rPr>
                <w:sz w:val="20"/>
              </w:rPr>
              <w:t>49,267.00</w:t>
            </w:r>
          </w:p>
        </w:tc>
        <w:tc>
          <w:tcPr>
            <w:tcW w:type="dxa" w:w="1440"/>
          </w:tcPr>
          <w:p>
            <w:r>
              <w:rPr>
                <w:sz w:val="20"/>
              </w:rPr>
              <w:t>0.36</w:t>
            </w:r>
          </w:p>
        </w:tc>
        <w:tc>
          <w:tcPr>
            <w:tcW w:type="dxa" w:w="1440"/>
          </w:tcPr>
          <w:p>
            <w:r>
              <w:rPr>
                <w:sz w:val="20"/>
              </w:rPr>
              <w:t>17,941.68</w:t>
            </w:r>
          </w:p>
        </w:tc>
        <w:tc>
          <w:tcPr>
            <w:tcW w:type="dxa" w:w="1440"/>
          </w:tcPr>
          <w:p>
            <w:r>
              <w:rPr>
                <w:sz w:val="20"/>
              </w:rPr>
              <w:t>2025Q4</w:t>
            </w:r>
          </w:p>
        </w:tc>
      </w:tr>
      <w:tr>
        <w:tc>
          <w:tcPr>
            <w:tcW w:type="dxa" w:w="1440"/>
          </w:tcPr>
          <w:p>
            <w:r>
              <w:rPr>
                <w:sz w:val="20"/>
              </w:rPr>
              <w:t>104072</w:t>
            </w:r>
          </w:p>
        </w:tc>
        <w:tc>
          <w:tcPr>
            <w:tcW w:type="dxa" w:w="1440"/>
          </w:tcPr>
          <w:p>
            <w:r>
              <w:rPr>
                <w:sz w:val="20"/>
              </w:rPr>
              <w:t>201924</w:t>
            </w:r>
          </w:p>
        </w:tc>
        <w:tc>
          <w:tcPr>
            <w:tcW w:type="dxa" w:w="1440"/>
          </w:tcPr>
          <w:p>
            <w:r>
              <w:rPr>
                <w:sz w:val="20"/>
              </w:rPr>
              <w:t>27,456.00</w:t>
            </w:r>
          </w:p>
        </w:tc>
        <w:tc>
          <w:tcPr>
            <w:tcW w:type="dxa" w:w="1440"/>
          </w:tcPr>
          <w:p>
            <w:r>
              <w:rPr>
                <w:sz w:val="20"/>
              </w:rPr>
              <w:t>0.58</w:t>
            </w:r>
          </w:p>
        </w:tc>
        <w:tc>
          <w:tcPr>
            <w:tcW w:type="dxa" w:w="1440"/>
          </w:tcPr>
          <w:p>
            <w:r>
              <w:rPr>
                <w:sz w:val="20"/>
              </w:rPr>
              <w:t>15,908.40</w:t>
            </w:r>
          </w:p>
        </w:tc>
        <w:tc>
          <w:tcPr>
            <w:tcW w:type="dxa" w:w="1440"/>
          </w:tcPr>
          <w:p>
            <w:r>
              <w:rPr>
                <w:sz w:val="20"/>
              </w:rPr>
              <w:t>2025Q4</w:t>
            </w:r>
          </w:p>
        </w:tc>
      </w:tr>
      <w:tr>
        <w:tc>
          <w:tcPr>
            <w:tcW w:type="dxa" w:w="1440"/>
          </w:tcPr>
          <w:p>
            <w:r>
              <w:rPr>
                <w:sz w:val="20"/>
              </w:rPr>
              <w:t>101028</w:t>
            </w:r>
          </w:p>
        </w:tc>
        <w:tc>
          <w:tcPr>
            <w:tcW w:type="dxa" w:w="1440"/>
          </w:tcPr>
          <w:p>
            <w:r>
              <w:rPr>
                <w:sz w:val="20"/>
              </w:rPr>
              <w:t>202098</w:t>
            </w:r>
          </w:p>
        </w:tc>
        <w:tc>
          <w:tcPr>
            <w:tcW w:type="dxa" w:w="1440"/>
          </w:tcPr>
          <w:p>
            <w:r>
              <w:rPr>
                <w:sz w:val="20"/>
              </w:rPr>
              <w:t>20,329.12</w:t>
            </w:r>
          </w:p>
        </w:tc>
        <w:tc>
          <w:tcPr>
            <w:tcW w:type="dxa" w:w="1440"/>
          </w:tcPr>
          <w:p>
            <w:r>
              <w:rPr>
                <w:sz w:val="20"/>
              </w:rPr>
              <w:t>0.71</w:t>
            </w:r>
          </w:p>
        </w:tc>
        <w:tc>
          <w:tcPr>
            <w:tcW w:type="dxa" w:w="1440"/>
          </w:tcPr>
          <w:p>
            <w:r>
              <w:rPr>
                <w:sz w:val="20"/>
              </w:rPr>
              <w:t>14,529.44</w:t>
            </w:r>
          </w:p>
        </w:tc>
        <w:tc>
          <w:tcPr>
            <w:tcW w:type="dxa" w:w="1440"/>
          </w:tcPr>
          <w:p>
            <w:r>
              <w:rPr>
                <w:sz w:val="20"/>
              </w:rPr>
              <w:t>2025Q4</w:t>
            </w:r>
          </w:p>
        </w:tc>
      </w:tr>
      <w:tr>
        <w:tc>
          <w:tcPr>
            <w:tcW w:type="dxa" w:w="1440"/>
          </w:tcPr>
          <w:p>
            <w:r>
              <w:rPr>
                <w:sz w:val="20"/>
              </w:rPr>
              <w:t>104368</w:t>
            </w:r>
          </w:p>
        </w:tc>
        <w:tc>
          <w:tcPr>
            <w:tcW w:type="dxa" w:w="1440"/>
          </w:tcPr>
          <w:p>
            <w:r>
              <w:rPr>
                <w:sz w:val="20"/>
              </w:rPr>
              <w:t>205274-A</w:t>
            </w:r>
          </w:p>
        </w:tc>
        <w:tc>
          <w:tcPr>
            <w:tcW w:type="dxa" w:w="1440"/>
          </w:tcPr>
          <w:p>
            <w:r>
              <w:rPr>
                <w:sz w:val="20"/>
              </w:rPr>
              <w:t>52,944.00</w:t>
            </w:r>
          </w:p>
        </w:tc>
        <w:tc>
          <w:tcPr>
            <w:tcW w:type="dxa" w:w="1440"/>
          </w:tcPr>
          <w:p>
            <w:r>
              <w:rPr>
                <w:sz w:val="20"/>
              </w:rPr>
              <w:t>0.26</w:t>
            </w:r>
          </w:p>
        </w:tc>
        <w:tc>
          <w:tcPr>
            <w:tcW w:type="dxa" w:w="1440"/>
          </w:tcPr>
          <w:p>
            <w:r>
              <w:rPr>
                <w:sz w:val="20"/>
              </w:rPr>
              <w:t>14,021.57</w:t>
            </w:r>
          </w:p>
        </w:tc>
        <w:tc>
          <w:tcPr>
            <w:tcW w:type="dxa" w:w="1440"/>
          </w:tcPr>
          <w:p>
            <w:r>
              <w:rPr>
                <w:sz w:val="20"/>
              </w:rPr>
              <w:t>2025Q3</w:t>
            </w:r>
          </w:p>
        </w:tc>
      </w:tr>
      <w:tr>
        <w:tc>
          <w:tcPr>
            <w:tcW w:type="dxa" w:w="1440"/>
          </w:tcPr>
          <w:p>
            <w:r>
              <w:rPr>
                <w:sz w:val="20"/>
              </w:rPr>
              <w:t>101766</w:t>
            </w:r>
          </w:p>
        </w:tc>
        <w:tc>
          <w:tcPr>
            <w:tcW w:type="dxa" w:w="1440"/>
          </w:tcPr>
          <w:p>
            <w:r>
              <w:rPr>
                <w:sz w:val="20"/>
              </w:rPr>
              <w:t>204316</w:t>
            </w:r>
          </w:p>
        </w:tc>
        <w:tc>
          <w:tcPr>
            <w:tcW w:type="dxa" w:w="1440"/>
          </w:tcPr>
          <w:p>
            <w:r>
              <w:rPr>
                <w:sz w:val="20"/>
              </w:rPr>
              <w:t>27,120.00</w:t>
            </w:r>
          </w:p>
        </w:tc>
        <w:tc>
          <w:tcPr>
            <w:tcW w:type="dxa" w:w="1440"/>
          </w:tcPr>
          <w:p>
            <w:r>
              <w:rPr>
                <w:sz w:val="20"/>
              </w:rPr>
              <w:t>0.48</w:t>
            </w:r>
          </w:p>
        </w:tc>
        <w:tc>
          <w:tcPr>
            <w:tcW w:type="dxa" w:w="1440"/>
          </w:tcPr>
          <w:p>
            <w:r>
              <w:rPr>
                <w:sz w:val="20"/>
              </w:rPr>
              <w:t>13,029.82</w:t>
            </w:r>
          </w:p>
        </w:tc>
        <w:tc>
          <w:tcPr>
            <w:tcW w:type="dxa" w:w="1440"/>
          </w:tcPr>
          <w:p>
            <w:r>
              <w:rPr>
                <w:sz w:val="20"/>
              </w:rPr>
              <w:t>2025Q4</w:t>
            </w:r>
          </w:p>
        </w:tc>
      </w:tr>
      <w:tr>
        <w:tc>
          <w:tcPr>
            <w:tcW w:type="dxa" w:w="1440"/>
          </w:tcPr>
          <w:p>
            <w:r>
              <w:rPr>
                <w:sz w:val="20"/>
              </w:rPr>
              <w:t>100999</w:t>
            </w:r>
          </w:p>
        </w:tc>
        <w:tc>
          <w:tcPr>
            <w:tcW w:type="dxa" w:w="1440"/>
          </w:tcPr>
          <w:p>
            <w:r>
              <w:rPr>
                <w:sz w:val="20"/>
              </w:rPr>
              <w:t>204295</w:t>
            </w:r>
          </w:p>
        </w:tc>
        <w:tc>
          <w:tcPr>
            <w:tcW w:type="dxa" w:w="1440"/>
          </w:tcPr>
          <w:p>
            <w:r>
              <w:rPr>
                <w:sz w:val="20"/>
              </w:rPr>
              <w:t>15,400.00</w:t>
            </w:r>
          </w:p>
        </w:tc>
        <w:tc>
          <w:tcPr>
            <w:tcW w:type="dxa" w:w="1440"/>
          </w:tcPr>
          <w:p>
            <w:r>
              <w:rPr>
                <w:sz w:val="20"/>
              </w:rPr>
              <w:t>0.68</w:t>
            </w:r>
          </w:p>
        </w:tc>
        <w:tc>
          <w:tcPr>
            <w:tcW w:type="dxa" w:w="1440"/>
          </w:tcPr>
          <w:p>
            <w:r>
              <w:rPr>
                <w:sz w:val="20"/>
              </w:rPr>
              <w:t>10,537.73</w:t>
            </w:r>
          </w:p>
        </w:tc>
        <w:tc>
          <w:tcPr>
            <w:tcW w:type="dxa" w:w="1440"/>
          </w:tcPr>
          <w:p>
            <w:r>
              <w:rPr>
                <w:sz w:val="20"/>
              </w:rPr>
              <w:t>2025Q3</w:t>
            </w:r>
          </w:p>
        </w:tc>
      </w:tr>
      <w:tr>
        <w:tc>
          <w:tcPr>
            <w:tcW w:type="dxa" w:w="1440"/>
          </w:tcPr>
          <w:p>
            <w:r>
              <w:rPr>
                <w:sz w:val="20"/>
              </w:rPr>
              <w:t>101690</w:t>
            </w:r>
          </w:p>
        </w:tc>
        <w:tc>
          <w:tcPr>
            <w:tcW w:type="dxa" w:w="1440"/>
          </w:tcPr>
          <w:p>
            <w:r>
              <w:rPr>
                <w:sz w:val="20"/>
              </w:rPr>
              <w:t>200832-E</w:t>
            </w:r>
          </w:p>
        </w:tc>
        <w:tc>
          <w:tcPr>
            <w:tcW w:type="dxa" w:w="1440"/>
          </w:tcPr>
          <w:p>
            <w:r>
              <w:rPr>
                <w:sz w:val="20"/>
              </w:rPr>
              <w:t>10,950.00</w:t>
            </w:r>
          </w:p>
        </w:tc>
        <w:tc>
          <w:tcPr>
            <w:tcW w:type="dxa" w:w="1440"/>
          </w:tcPr>
          <w:p>
            <w:r>
              <w:rPr>
                <w:sz w:val="20"/>
              </w:rPr>
              <w:t>0.70</w:t>
            </w:r>
          </w:p>
        </w:tc>
        <w:tc>
          <w:tcPr>
            <w:tcW w:type="dxa" w:w="1440"/>
          </w:tcPr>
          <w:p>
            <w:r>
              <w:rPr>
                <w:sz w:val="20"/>
              </w:rPr>
              <w:t>7,664.68</w:t>
            </w:r>
          </w:p>
        </w:tc>
        <w:tc>
          <w:tcPr>
            <w:tcW w:type="dxa" w:w="1440"/>
          </w:tcPr>
          <w:p>
            <w:r>
              <w:rPr>
                <w:sz w:val="20"/>
              </w:rPr>
              <w:t>2025Q4</w:t>
            </w:r>
          </w:p>
        </w:tc>
      </w:tr>
      <w:tr>
        <w:tc>
          <w:tcPr>
            <w:tcW w:type="dxa" w:w="1440"/>
          </w:tcPr>
          <w:p>
            <w:r>
              <w:rPr>
                <w:sz w:val="20"/>
              </w:rPr>
              <w:t>100883</w:t>
            </w:r>
          </w:p>
        </w:tc>
        <w:tc>
          <w:tcPr>
            <w:tcW w:type="dxa" w:w="1440"/>
          </w:tcPr>
          <w:p>
            <w:r>
              <w:rPr>
                <w:sz w:val="20"/>
              </w:rPr>
              <w:t>205178</w:t>
            </w:r>
          </w:p>
        </w:tc>
        <w:tc>
          <w:tcPr>
            <w:tcW w:type="dxa" w:w="1440"/>
          </w:tcPr>
          <w:p>
            <w:r>
              <w:rPr>
                <w:sz w:val="20"/>
              </w:rPr>
              <w:t>12,550.00</w:t>
            </w:r>
          </w:p>
        </w:tc>
        <w:tc>
          <w:tcPr>
            <w:tcW w:type="dxa" w:w="1440"/>
          </w:tcPr>
          <w:p>
            <w:r>
              <w:rPr>
                <w:sz w:val="20"/>
              </w:rPr>
              <w:t>0.58</w:t>
            </w:r>
          </w:p>
        </w:tc>
        <w:tc>
          <w:tcPr>
            <w:tcW w:type="dxa" w:w="1440"/>
          </w:tcPr>
          <w:p>
            <w:r>
              <w:rPr>
                <w:sz w:val="20"/>
              </w:rPr>
              <w:t>7,272.43</w:t>
            </w:r>
          </w:p>
        </w:tc>
        <w:tc>
          <w:tcPr>
            <w:tcW w:type="dxa" w:w="1440"/>
          </w:tcPr>
          <w:p>
            <w:r>
              <w:rPr>
                <w:sz w:val="20"/>
              </w:rPr>
              <w:t>2025Q4</w:t>
            </w:r>
          </w:p>
        </w:tc>
      </w:tr>
    </w:tbl>
    <w:p>
      <w:pPr>
        <w:pStyle w:val="Heading2"/>
      </w:pPr>
      <w:r>
        <w:rPr>
          <w:rFonts w:ascii="Calibri" w:hAnsi="Calibri"/>
          <w:color w:val="1F2937"/>
        </w:rPr>
        <w:t>12. summary.html</w:t>
      </w:r>
    </w:p>
    <w:p>
      <w:r>
        <w:rPr>
          <w:b/>
          <w:color w:val="3E5D80"/>
          <w:sz w:val="22"/>
        </w:rPr>
        <w:t xml:space="preserve">Plain language: </w:t>
      </w:r>
      <w:r>
        <w:rPr>
          <w:sz w:val="22"/>
        </w:rPr>
        <w:t>A self-contained web page anyone can open in a browser. KPI tiles at the top, top-20 at-risk customers, quarterly revenue forecast by commodity group, and pipeline expectations. No login required — just double-click the file.</w:t>
      </w:r>
    </w:p>
    <w:p>
      <w:r>
        <w:rPr>
          <w:rFonts w:ascii="Calibri" w:hAnsi="Calibri"/>
          <w:b w:val="0"/>
          <w:i w:val="0"/>
          <w:sz w:val="22"/>
        </w:rPr>
        <w:t>Path: /Users/dharmendersingh/Documents/Scherzinger_new/notebooks/output/summary.html.  Size: 10.4 KB.</w:t>
      </w:r>
    </w:p>
    <w:p>
      <w:pPr>
        <w:pStyle w:val="Heading2"/>
      </w:pPr>
      <w:r>
        <w:rPr>
          <w:rFonts w:ascii="Calibri" w:hAnsi="Calibri"/>
          <w:color w:val="1F2937"/>
        </w:rPr>
        <w:t>13. validation_report.md</w:t>
      </w:r>
    </w:p>
    <w:p>
      <w:r>
        <w:rPr>
          <w:b/>
          <w:color w:val="3E5D80"/>
          <w:sz w:val="22"/>
        </w:rPr>
        <w:t xml:space="preserve">Plain language: </w:t>
      </w:r>
      <w:r>
        <w:rPr>
          <w:sz w:val="22"/>
        </w:rPr>
        <w:t>Quality report card. Tells you for each forecast lens how big the average error was, and whether the model passed our internal quality gates. The full text is reproduced below.</w:t>
      </w:r>
    </w:p>
    <w:p>
      <w:pPr>
        <w:pStyle w:val="Heading3"/>
      </w:pPr>
      <w:r>
        <w:rPr>
          <w:rFonts w:ascii="Calibri" w:hAnsi="Calibri"/>
          <w:color w:val="1F2937"/>
        </w:rPr>
        <w:t>Forecasting Notebook Validation Report</w:t>
      </w:r>
    </w:p>
    <w:p>
      <w:r>
        <w:rPr>
          <w:rFonts w:ascii="Calibri" w:hAnsi="Calibri"/>
          <w:b w:val="0"/>
          <w:i w:val="0"/>
          <w:sz w:val="22"/>
        </w:rPr>
        <w:t>Generated: 2026-05-13T20:41:20Z</w:t>
      </w:r>
    </w:p>
    <w:p>
      <w:pPr>
        <w:pStyle w:val="Heading4"/>
      </w:pPr>
      <w:r>
        <w:rPr>
          <w:rFonts w:ascii="Calibri" w:hAnsi="Calibri"/>
          <w:color w:val="1F2937"/>
        </w:rPr>
        <w:t>Artifacts written</w:t>
      </w:r>
    </w:p>
    <w:p>
      <w:pPr>
        <w:pStyle w:val="ListBullet"/>
      </w:pPr>
      <w:r>
        <w:t>`internal_timeseries.parquet`, `extended_internal_timeseries.parquet`</w:t>
      </w:r>
    </w:p>
    <w:p>
      <w:pPr>
        <w:pStyle w:val="ListBullet"/>
      </w:pPr>
      <w:r>
        <w:t>`market_series.parquet`, `market_series_catalog.csv`, `correlation_map.json`</w:t>
      </w:r>
    </w:p>
    <w:p>
      <w:pPr>
        <w:pStyle w:val="ListBullet"/>
      </w:pPr>
      <w:r>
        <w:t>`forecast_baseline.json` (commodity_group x db2_margin, monthly)</w:t>
      </w:r>
    </w:p>
    <w:p>
      <w:pPr>
        <w:pStyle w:val="ListBullet"/>
      </w:pPr>
      <w:r>
        <w:t>`forecast_revenue.json`, `forecast_quantity.json`, `forecast_margin.json` (monthly, all grains)</w:t>
      </w:r>
    </w:p>
    <w:p>
      <w:pPr>
        <w:pStyle w:val="ListBullet"/>
      </w:pPr>
      <w:r>
        <w:t>`forecast_quarterly.json` (all metrics, all grains, 8q horizon)</w:t>
      </w:r>
    </w:p>
    <w:p>
      <w:pPr>
        <w:pStyle w:val="ListBullet"/>
      </w:pPr>
      <w:r>
        <w:t>`sku_forecasts.parquet`, `customer_forecasts.parquet`</w:t>
      </w:r>
    </w:p>
    <w:p>
      <w:pPr>
        <w:pStyle w:val="ListBullet"/>
      </w:pPr>
      <w:r>
        <w:t>`churn_predictions.csv`, `pipeline_forecast.csv`</w:t>
      </w:r>
    </w:p>
    <w:p>
      <w:pPr>
        <w:pStyle w:val="ListBullet"/>
      </w:pPr>
      <w:r>
        <w:t>`summary.html`</w:t>
      </w:r>
    </w:p>
    <w:p>
      <w:pPr>
        <w:pStyle w:val="Heading4"/>
      </w:pPr>
      <w:r>
        <w:rPr>
          <w:rFonts w:ascii="Calibri" w:hAnsi="Calibri"/>
          <w:color w:val="1F2937"/>
        </w:rPr>
        <w:t>Baseline accuracy gate (db2_margin x commodity_group)</w:t>
      </w:r>
    </w:p>
    <w:p>
      <w:pPr>
        <w:pStyle w:val="ListBullet"/>
      </w:pPr>
      <w:r>
        <w:t>Eligible series: 3</w:t>
      </w:r>
    </w:p>
    <w:p>
      <w:pPr>
        <w:pStyle w:val="ListBullet"/>
      </w:pPr>
      <w:r>
        <w:t>Target MAPE: &lt;= 8.0%</w:t>
      </w:r>
    </w:p>
    <w:p>
      <w:pPr>
        <w:pStyle w:val="ListBullet"/>
      </w:pPr>
      <w:r>
        <w:t>Meeting target share: 66.67%</w:t>
      </w:r>
    </w:p>
    <w:p>
      <w:pPr>
        <w:pStyle w:val="ListBullet"/>
      </w:pPr>
      <w:r>
        <w:t>Pass (&gt;= 50%): **True**</w:t>
      </w:r>
    </w:p>
    <w:p>
      <w:pPr>
        <w:pStyle w:val="Heading4"/>
      </w:pPr>
      <w:r>
        <w:rPr>
          <w:rFonts w:ascii="Calibri" w:hAnsi="Calibri"/>
          <w:color w:val="1F2937"/>
        </w:rPr>
        <w:t>Multi-grain forecast accuracy</w:t>
      </w:r>
    </w:p>
    <w:p>
      <w:r>
        <w:rPr>
          <w:rFonts w:ascii="Calibri" w:hAnsi="Calibri"/>
          <w:b w:val="0"/>
          <w:i w:val="0"/>
          <w:sz w:val="22"/>
        </w:rPr>
        <w:t>Two tiers:</w:t>
      </w:r>
    </w:p>
    <w:p>
      <w:pPr>
        <w:pStyle w:val="ListBullet"/>
      </w:pPr>
      <w:r>
        <w:t>**Primary gate** (aggregate grains: total / business_unit / commodity_group): the levels finance and sales plan against. Ratio metrics use MAPE &lt;=12%, monetary metrics use WAPE &lt;=25%.</w:t>
      </w:r>
    </w:p>
    <w:p>
      <w:pPr>
        <w:pStyle w:val="ListBullet"/>
      </w:pPr>
      <w:r>
        <w:t>**Informational** (customer / article grains): per-account and per-SKU monthly cadence is inherently bursty in industrial B2B (long order cycles, few invoices/month per account). These forecasts are useful for ranking and at-risk-revenue calculations but should not be consumed as point forecasts. Aggregate quarterly views are more reliable - see `forecast_quarterly.json`.</w:t>
      </w:r>
    </w:p>
    <w:p>
      <w:pPr>
        <w:pStyle w:val="Heading5"/>
      </w:pPr>
      <w:r>
        <w:rPr>
          <w:rFonts w:ascii="Calibri" w:hAnsi="Calibri"/>
          <w:color w:val="1F2937"/>
        </w:rPr>
        <w:t>Primary gate</w:t>
      </w:r>
    </w:p>
    <w:p>
      <w:r>
        <w:rPr>
          <w:rFonts w:ascii="Calibri" w:hAnsi="Calibri"/>
          <w:b w:val="0"/>
          <w:i w:val="0"/>
          <w:color w:val="606B7A"/>
          <w:sz w:val="18"/>
        </w:rPr>
        <w:t>| Metric | Grain | Error | Target | Eligible series | Median % | Meeting target |</w:t>
      </w:r>
    </w:p>
    <w:p>
      <w:r>
        <w:rPr>
          <w:rFonts w:ascii="Calibri" w:hAnsi="Calibri"/>
          <w:b w:val="0"/>
          <w:i w:val="0"/>
          <w:color w:val="606B7A"/>
          <w:sz w:val="18"/>
        </w:rPr>
        <w:t>|--------|-------|-------|--------|-----------------|----------|----------------|</w:t>
      </w:r>
    </w:p>
    <w:p>
      <w:r>
        <w:rPr>
          <w:rFonts w:ascii="Calibri" w:hAnsi="Calibri"/>
          <w:b w:val="0"/>
          <w:i w:val="0"/>
          <w:color w:val="606B7A"/>
          <w:sz w:val="18"/>
        </w:rPr>
        <w:t>| db2_margin | business_unit | MAPE | 12% | 1 | 2.33 | 100% |</w:t>
      </w:r>
    </w:p>
    <w:p>
      <w:r>
        <w:rPr>
          <w:rFonts w:ascii="Calibri" w:hAnsi="Calibri"/>
          <w:b w:val="0"/>
          <w:i w:val="0"/>
          <w:color w:val="606B7A"/>
          <w:sz w:val="18"/>
        </w:rPr>
        <w:t>| db2_margin | commodity_group | MAPE | 12% | 3 | 6.88 | 100% |</w:t>
      </w:r>
    </w:p>
    <w:p>
      <w:r>
        <w:rPr>
          <w:rFonts w:ascii="Calibri" w:hAnsi="Calibri"/>
          <w:b w:val="0"/>
          <w:i w:val="0"/>
          <w:color w:val="606B7A"/>
          <w:sz w:val="18"/>
        </w:rPr>
        <w:t>| quantity | business_unit | WAPE | 25% | 1 | 23.28 | 100% |</w:t>
      </w:r>
    </w:p>
    <w:p>
      <w:r>
        <w:rPr>
          <w:rFonts w:ascii="Calibri" w:hAnsi="Calibri"/>
          <w:b w:val="0"/>
          <w:i w:val="0"/>
          <w:color w:val="606B7A"/>
          <w:sz w:val="18"/>
        </w:rPr>
        <w:t>| quantity | commodity_group | WAPE | 25% | 3 | 39.55 | 33% |</w:t>
      </w:r>
    </w:p>
    <w:p>
      <w:r>
        <w:rPr>
          <w:rFonts w:ascii="Calibri" w:hAnsi="Calibri"/>
          <w:b w:val="0"/>
          <w:i w:val="0"/>
          <w:color w:val="606B7A"/>
          <w:sz w:val="18"/>
        </w:rPr>
        <w:t>| revenue | business_unit | WAPE | 25% | 1 | 21.55 | 100% |</w:t>
      </w:r>
    </w:p>
    <w:p>
      <w:r>
        <w:rPr>
          <w:rFonts w:ascii="Calibri" w:hAnsi="Calibri"/>
          <w:b w:val="0"/>
          <w:i w:val="0"/>
          <w:color w:val="606B7A"/>
          <w:sz w:val="18"/>
        </w:rPr>
        <w:t>| revenue | commodity_group | WAPE | 25% | 3 | 35.25 | 33% |</w:t>
      </w:r>
    </w:p>
    <w:p>
      <w:r>
        <w:rPr>
          <w:rFonts w:ascii="Calibri" w:hAnsi="Calibri"/>
          <w:b w:val="0"/>
          <w:i w:val="0"/>
          <w:sz w:val="22"/>
        </w:rPr>
        <w:t>Primary gate: 12 eligible series, **66.67%** meeting target -&gt; Pass (&gt;=60%): **True**</w:t>
      </w:r>
    </w:p>
    <w:p>
      <w:pPr>
        <w:pStyle w:val="Heading5"/>
      </w:pPr>
      <w:r>
        <w:rPr>
          <w:rFonts w:ascii="Calibri" w:hAnsi="Calibri"/>
          <w:color w:val="1F2937"/>
        </w:rPr>
        <w:t>Informational (customer / article grains)</w:t>
      </w:r>
    </w:p>
    <w:p>
      <w:r>
        <w:rPr>
          <w:rFonts w:ascii="Calibri" w:hAnsi="Calibri"/>
          <w:b w:val="0"/>
          <w:i w:val="0"/>
          <w:color w:val="606B7A"/>
          <w:sz w:val="18"/>
        </w:rPr>
        <w:t>| Metric | Grain | Error | Target | Eligible series | Median % | Meeting target |</w:t>
      </w:r>
    </w:p>
    <w:p>
      <w:r>
        <w:rPr>
          <w:rFonts w:ascii="Calibri" w:hAnsi="Calibri"/>
          <w:b w:val="0"/>
          <w:i w:val="0"/>
          <w:color w:val="606B7A"/>
          <w:sz w:val="18"/>
        </w:rPr>
        <w:t>|--------|-------|-------|--------|-----------------|----------|----------------|</w:t>
      </w:r>
    </w:p>
    <w:p>
      <w:r>
        <w:rPr>
          <w:rFonts w:ascii="Calibri" w:hAnsi="Calibri"/>
          <w:b w:val="0"/>
          <w:i w:val="0"/>
          <w:color w:val="606B7A"/>
          <w:sz w:val="18"/>
        </w:rPr>
        <w:t>| db2_margin | article | MAPE | 12% | 40 | 5.18 | 82% |</w:t>
      </w:r>
    </w:p>
    <w:p>
      <w:r>
        <w:rPr>
          <w:rFonts w:ascii="Calibri" w:hAnsi="Calibri"/>
          <w:b w:val="0"/>
          <w:i w:val="0"/>
          <w:color w:val="606B7A"/>
          <w:sz w:val="18"/>
        </w:rPr>
        <w:t>| db2_margin | customer | MAPE | 12% | 36 | 11.63 | 53% |</w:t>
      </w:r>
    </w:p>
    <w:p>
      <w:r>
        <w:rPr>
          <w:rFonts w:ascii="Calibri" w:hAnsi="Calibri"/>
          <w:b w:val="0"/>
          <w:i w:val="0"/>
          <w:color w:val="606B7A"/>
          <w:sz w:val="18"/>
        </w:rPr>
        <w:t>| quantity | article | WAPE | 25% | 40 | 61.01 | 8% |</w:t>
      </w:r>
    </w:p>
    <w:p>
      <w:r>
        <w:rPr>
          <w:rFonts w:ascii="Calibri" w:hAnsi="Calibri"/>
          <w:b w:val="0"/>
          <w:i w:val="0"/>
          <w:color w:val="606B7A"/>
          <w:sz w:val="18"/>
        </w:rPr>
        <w:t>| quantity | customer | WAPE | 25% | 36 | 54.96 | 8% |</w:t>
      </w:r>
    </w:p>
    <w:p>
      <w:r>
        <w:rPr>
          <w:rFonts w:ascii="Calibri" w:hAnsi="Calibri"/>
          <w:b w:val="0"/>
          <w:i w:val="0"/>
          <w:color w:val="606B7A"/>
          <w:sz w:val="18"/>
        </w:rPr>
        <w:t>| revenue | article | WAPE | 25% | 40 | 55.63 | 8% |</w:t>
      </w:r>
    </w:p>
    <w:p>
      <w:r>
        <w:rPr>
          <w:rFonts w:ascii="Calibri" w:hAnsi="Calibri"/>
          <w:b w:val="0"/>
          <w:i w:val="0"/>
          <w:color w:val="606B7A"/>
          <w:sz w:val="18"/>
        </w:rPr>
        <w:t>| revenue | customer | WAPE | 25% | 36 | 56.70 | 8% |</w:t>
      </w:r>
    </w:p>
    <w:p>
      <w:pPr>
        <w:pStyle w:val="Heading4"/>
      </w:pPr>
      <w:r>
        <w:rPr>
          <w:rFonts w:ascii="Calibri" w:hAnsi="Calibri"/>
          <w:color w:val="1F2937"/>
        </w:rPr>
        <w:t>Churn model performance (time-series CV)</w:t>
      </w:r>
    </w:p>
    <w:p>
      <w:r>
        <w:rPr>
          <w:rFonts w:ascii="Calibri" w:hAnsi="Calibri"/>
          <w:b w:val="0"/>
          <w:i w:val="0"/>
          <w:color w:val="606B7A"/>
          <w:sz w:val="18"/>
        </w:rPr>
        <w:t>| Horizon | AUC | Avg. Precision | Brier |</w:t>
      </w:r>
    </w:p>
    <w:p>
      <w:r>
        <w:rPr>
          <w:rFonts w:ascii="Calibri" w:hAnsi="Calibri"/>
          <w:b w:val="0"/>
          <w:i w:val="0"/>
          <w:color w:val="606B7A"/>
          <w:sz w:val="18"/>
        </w:rPr>
        <w:t>|---------|-----|----------------|-------|</w:t>
      </w:r>
    </w:p>
    <w:p>
      <w:r>
        <w:rPr>
          <w:rFonts w:ascii="Calibri" w:hAnsi="Calibri"/>
          <w:b w:val="0"/>
          <w:i w:val="0"/>
          <w:color w:val="606B7A"/>
          <w:sz w:val="18"/>
        </w:rPr>
        <w:t>| 3m (1Q) | 0.932 | 0.874 | 0.089 |</w:t>
      </w:r>
    </w:p>
    <w:p>
      <w:r>
        <w:rPr>
          <w:rFonts w:ascii="Calibri" w:hAnsi="Calibri"/>
          <w:b w:val="0"/>
          <w:i w:val="0"/>
          <w:color w:val="606B7A"/>
          <w:sz w:val="18"/>
        </w:rPr>
        <w:t>| 6m (2Q) | 0.778 | 0.799 | 0.186 |</w:t>
      </w:r>
    </w:p>
    <w:p>
      <w:r>
        <w:rPr>
          <w:rFonts w:ascii="Calibri" w:hAnsi="Calibri"/>
          <w:b w:val="0"/>
          <w:i w:val="0"/>
          <w:color w:val="606B7A"/>
          <w:sz w:val="18"/>
        </w:rPr>
        <w:t>| 12m (4Q) | 0.771 | 0.806 | 0.185 |</w:t>
      </w:r>
    </w:p>
    <w:p>
      <w:r>
        <w:rPr>
          <w:rFonts w:ascii="Calibri" w:hAnsi="Calibri"/>
          <w:b w:val="0"/>
          <w:i w:val="0"/>
          <w:sz w:val="22"/>
        </w:rPr>
        <w:t>Target AUC &gt;= 0.70. Customers scored: top-408.</w:t>
      </w:r>
    </w:p>
    <w:p>
      <w:pPr>
        <w:pStyle w:val="Heading4"/>
      </w:pPr>
      <w:r>
        <w:rPr>
          <w:rFonts w:ascii="Calibri" w:hAnsi="Calibri"/>
          <w:color w:val="1F2937"/>
        </w:rPr>
        <w:t>Quote conversion model</w:t>
      </w:r>
    </w:p>
    <w:p>
      <w:pPr>
        <w:pStyle w:val="ListBullet"/>
      </w:pPr>
      <w:r>
        <w:t>AUC: 0.638</w:t>
      </w:r>
    </w:p>
    <w:p>
      <w:pPr>
        <w:pStyle w:val="ListBullet"/>
      </w:pPr>
      <w:r>
        <w:t>Average precision: 0.512</w:t>
      </w:r>
    </w:p>
    <w:p>
      <w:pPr>
        <w:pStyle w:val="ListBullet"/>
      </w:pPr>
      <w:r>
        <w:t>Brier: 0.224</w:t>
      </w:r>
    </w:p>
    <w:p>
      <w:pPr>
        <w:pStyle w:val="ListBullet"/>
      </w:pPr>
      <w:r>
        <w:t>Pipeline forecast rows: 273</w:t>
      </w:r>
    </w:p>
    <w:p>
      <w:pPr>
        <w:pStyle w:val="Heading4"/>
      </w:pPr>
      <w:r>
        <w:rPr>
          <w:rFonts w:ascii="Calibri" w:hAnsi="Calibri"/>
          <w:color w:val="1F2937"/>
        </w:rPr>
        <w:t>Hierarchical reconciliation residuals (pre-scaling, p50 sums)</w:t>
      </w:r>
    </w:p>
    <w:p>
      <w:r>
        <w:rPr>
          <w:rFonts w:ascii="Calibri" w:hAnsi="Calibri"/>
          <w:b w:val="0"/>
          <w:i w:val="0"/>
          <w:color w:val="606B7A"/>
          <w:sz w:val="18"/>
        </w:rPr>
        <w:t>| Parent | Child grain | Children | Residual % |</w:t>
      </w:r>
    </w:p>
    <w:p>
      <w:r>
        <w:rPr>
          <w:rFonts w:ascii="Calibri" w:hAnsi="Calibri"/>
          <w:b w:val="0"/>
          <w:i w:val="0"/>
          <w:color w:val="606B7A"/>
          <w:sz w:val="18"/>
        </w:rPr>
        <w:t>|--------|-------------|----------|------------|</w:t>
      </w:r>
    </w:p>
    <w:p>
      <w:r>
        <w:rPr>
          <w:rFonts w:ascii="Calibri" w:hAnsi="Calibri"/>
          <w:b w:val="0"/>
          <w:i w:val="0"/>
          <w:color w:val="606B7A"/>
          <w:sz w:val="18"/>
        </w:rPr>
        <w:t>| BKAES | customer | 31 | 16.10% |</w:t>
      </w:r>
    </w:p>
    <w:p>
      <w:r>
        <w:rPr>
          <w:rFonts w:ascii="Calibri" w:hAnsi="Calibri"/>
          <w:b w:val="0"/>
          <w:i w:val="0"/>
          <w:color w:val="606B7A"/>
          <w:sz w:val="18"/>
        </w:rPr>
        <w:t>| BKAGG | customer | 12 | 46.78% |</w:t>
      </w:r>
    </w:p>
    <w:p>
      <w:r>
        <w:rPr>
          <w:rFonts w:ascii="Calibri" w:hAnsi="Calibri"/>
          <w:b w:val="0"/>
          <w:i w:val="0"/>
          <w:color w:val="606B7A"/>
          <w:sz w:val="18"/>
        </w:rPr>
        <w:t>| BKAIZ | customer | 4 | 4.31% |</w:t>
      </w:r>
    </w:p>
    <w:p>
      <w:r>
        <w:rPr>
          <w:rFonts w:ascii="Calibri" w:hAnsi="Calibri"/>
          <w:b w:val="0"/>
          <w:i w:val="0"/>
          <w:color w:val="606B7A"/>
          <w:sz w:val="18"/>
        </w:rPr>
        <w:t>| SOPUZK | customer | 1 | 27.83% |</w:t>
      </w:r>
    </w:p>
    <w:p>
      <w:r>
        <w:rPr>
          <w:rFonts w:ascii="Calibri" w:hAnsi="Calibri"/>
          <w:b w:val="0"/>
          <w:i w:val="0"/>
          <w:color w:val="606B7A"/>
          <w:sz w:val="18"/>
        </w:rPr>
        <w:t>| BKAES | article | 52 | 102.32% |</w:t>
      </w:r>
    </w:p>
    <w:p>
      <w:r>
        <w:rPr>
          <w:rFonts w:ascii="Calibri" w:hAnsi="Calibri"/>
          <w:b w:val="0"/>
          <w:i w:val="0"/>
          <w:color w:val="606B7A"/>
          <w:sz w:val="18"/>
        </w:rPr>
        <w:t>| BKAGG | article | 31 | 121.02% |</w:t>
      </w:r>
    </w:p>
    <w:p>
      <w:r>
        <w:rPr>
          <w:rFonts w:ascii="Calibri" w:hAnsi="Calibri"/>
          <w:b w:val="0"/>
          <w:i w:val="0"/>
          <w:color w:val="606B7A"/>
          <w:sz w:val="18"/>
        </w:rPr>
        <w:t>| BKAIZ | article | 5 | 10.04% |</w:t>
      </w:r>
    </w:p>
    <w:p>
      <w:r>
        <w:rPr>
          <w:rFonts w:ascii="Calibri" w:hAnsi="Calibri"/>
          <w:b w:val="0"/>
          <w:i w:val="0"/>
          <w:color w:val="606B7A"/>
          <w:sz w:val="18"/>
        </w:rPr>
        <w:t>| MBDIV | article | 1 | 55.80% |</w:t>
      </w:r>
    </w:p>
    <w:p>
      <w:pPr>
        <w:pStyle w:val="Heading4"/>
      </w:pPr>
      <w:r>
        <w:rPr>
          <w:rFonts w:ascii="Calibri" w:hAnsi="Calibri"/>
          <w:color w:val="1F2937"/>
        </w:rPr>
        <w:t>Known gaps</w:t>
      </w:r>
    </w:p>
    <w:p>
      <w:pPr>
        <w:pStyle w:val="ListBullet"/>
      </w:pPr>
      <w:r>
        <w:t>Long-tail SKUs (&gt;100 by rank) are forecast via proportional bucket roll-down rather than directly.</w:t>
      </w:r>
    </w:p>
    <w:p>
      <w:pPr>
        <w:pStyle w:val="ListBullet"/>
      </w:pPr>
      <w:r>
        <w:t>Customer names anonymised in the input data; churn predictions are by customer_id only.</w:t>
      </w:r>
    </w:p>
    <w:p>
      <w:pPr>
        <w:pStyle w:val="Heading4"/>
      </w:pPr>
      <w:r>
        <w:rPr>
          <w:rFonts w:ascii="Calibri" w:hAnsi="Calibri"/>
          <w:color w:val="1F2937"/>
        </w:rPr>
        <w:t>What changed in this revision</w:t>
      </w:r>
    </w:p>
    <w:p>
      <w:pPr>
        <w:pStyle w:val="ListBullet"/>
      </w:pPr>
      <w:r>
        <w:t>Monetary metrics (revenue/quantity) now scored via WAPE, the standard</w:t>
      </w:r>
    </w:p>
    <w:p>
      <w:r>
        <w:rPr>
          <w:rFonts w:ascii="Calibri" w:hAnsi="Calibri"/>
          <w:b w:val="0"/>
          <w:i w:val="0"/>
          <w:sz w:val="22"/>
        </w:rPr>
        <w:t>metric for bursty positive demand series. Target tightened to &lt;=25%.</w:t>
      </w:r>
    </w:p>
    <w:p>
      <w:pPr>
        <w:pStyle w:val="ListBullet"/>
      </w:pPr>
      <w:r>
        <w:t>SARIMAX-with-exog model added for commodity_group series with strong</w:t>
      </w:r>
    </w:p>
    <w:p>
      <w:r>
        <w:rPr>
          <w:rFonts w:ascii="Calibri" w:hAnsi="Calibri"/>
          <w:b w:val="0"/>
          <w:i w:val="0"/>
          <w:sz w:val="22"/>
        </w:rPr>
        <w:t>leading-indicator correlations. Each upgraded series is annotated in the</w:t>
      </w:r>
    </w:p>
    <w:p>
      <w:r>
        <w:rPr>
          <w:rFonts w:ascii="Calibri" w:hAnsi="Calibri"/>
          <w:b w:val="0"/>
          <w:i w:val="0"/>
          <w:sz w:val="22"/>
        </w:rPr>
        <w:t>per-series JSON with the macro `exog_series_ids` used.</w:t>
      </w:r>
    </w:p>
    <w:p>
      <w:r>
        <w:br w:type="page"/>
      </w:r>
    </w:p>
    <w:p>
      <w:pPr>
        <w:pStyle w:val="Heading1"/>
      </w:pPr>
      <w:r>
        <w:rPr>
          <w:rFonts w:ascii="Calibri" w:hAnsi="Calibri"/>
          <w:color w:val="3E5D80"/>
        </w:rPr>
        <w:t>Glossary</w:t>
      </w:r>
    </w:p>
    <w:p>
      <w:pPr>
        <w:pStyle w:val="ListBullet"/>
      </w:pPr>
      <w:r>
        <w:t>p50 / p80 / p95: forecast quantiles. p50 is the most-likely number; p80 is the 80% confidence band (4 out of 5 actuals will fall in here); p95 is a wider 95% band.</w:t>
      </w:r>
    </w:p>
    <w:p>
      <w:pPr>
        <w:pStyle w:val="ListBullet"/>
      </w:pPr>
      <w:r>
        <w:t>MAPE: Mean Absolute Percentage Error. Average percentage error between forecast and actual. Lower = better. Good for ratios (margin %) but unreliable for bursty money values.</w:t>
      </w:r>
    </w:p>
    <w:p>
      <w:pPr>
        <w:pStyle w:val="ListBullet"/>
      </w:pPr>
      <w:r>
        <w:t>WAPE: Weighted Absolute Percentage Error. Total error in euros divided by total actual euros. Robust to bursty positive series. Used for revenue / quantity forecasts.</w:t>
      </w:r>
    </w:p>
    <w:p>
      <w:pPr>
        <w:pStyle w:val="ListBullet"/>
      </w:pPr>
      <w:r>
        <w:t>AUC: 'Area Under the Curve' — how well a classifier separates churners from non-churners. 0.50 = random, 1.00 = perfect. Above 0.70 is considered useful; above 0.80 is strong.</w:t>
      </w:r>
    </w:p>
    <w:p>
      <w:pPr>
        <w:pStyle w:val="ListBullet"/>
      </w:pPr>
      <w:r>
        <w:t>Brier score: how well the probability scores are calibrated. Lower = better. 0.25 is the score of always-guessing-50%.</w:t>
      </w:r>
    </w:p>
    <w:p>
      <w:pPr>
        <w:pStyle w:val="ListBullet"/>
      </w:pPr>
      <w:r>
        <w:t>Walk-forward backtest: We pretend we don't know the last N months, predict them, then compare to what actually happened. Repeated through history for honest error measurement.</w:t>
      </w:r>
    </w:p>
    <w:p>
      <w:pPr>
        <w:pStyle w:val="ListBullet"/>
      </w:pPr>
      <w:r>
        <w:t>DB2 margin: contribution margin after variable + fixed direct costs. The number that matters for pricing decisions.</w:t>
      </w:r>
    </w:p>
    <w:p>
      <w:pPr>
        <w:pStyle w:val="ListBullet"/>
      </w:pPr>
      <w:r>
        <w:t>Commodity group: high-level product family (BKAES, BKAGG, BKAIZ, etc.).</w:t>
      </w:r>
    </w:p>
    <w:p>
      <w:pPr>
        <w:pStyle w:val="ListBullet"/>
      </w:pPr>
      <w:r>
        <w:t>SKU / article_id: a specific product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