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UTAS, Nizwa</w:t>
      </w:r>
    </w:p>
    <w:p>
      <w:pPr>
        <w:jc w:val="center"/>
      </w:pPr>
      <w:r>
        <w:rPr>
          <w:b/>
          <w:sz w:val="24"/>
        </w:rPr>
        <w:t>INFORMATION TECHNOLOGY DEPARTMENT</w:t>
      </w:r>
    </w:p>
    <w:p>
      <w:pPr>
        <w:jc w:val="center"/>
      </w:pPr>
      <w:r>
        <w:rPr>
          <w:b/>
          <w:color w:val="1F4E79"/>
          <w:sz w:val="32"/>
        </w:rPr>
        <w:t>CORRECTED COURSE PROJECT TRACING SHEET - PHASE I</w:t>
      </w:r>
    </w:p>
    <w:p>
      <w:pPr>
        <w:jc w:val="center"/>
      </w:pPr>
      <w:r>
        <w:rPr>
          <w:sz w:val="18"/>
        </w:rPr>
        <w:t>Semester: Fall / Academic Year: 2024-2025 | Corrected from current AMS codebase on 13 May 2026</w:t>
      </w:r>
    </w:p>
    <w:p>
      <w:pPr>
        <w:pStyle w:val="Heading1"/>
      </w:pPr>
      <w:r>
        <w:rPr>
          <w:rFonts w:ascii="Arial" w:hAnsi="Arial"/>
        </w:rPr>
        <w:t>Scope and Status Key</w:t>
      </w:r>
    </w:p>
    <w:p>
      <w:r>
        <w:rPr>
          <w:b/>
        </w:rPr>
        <w:t xml:space="preserve">Purpose: </w:t>
      </w:r>
      <w:r>
        <w:t>This document replaces the outdated Phase I tracking sheet. It is based on the current AMS repository at /Users/monta/Dev/AMS, the original Word tracking sheet, and the supplied screenshot objective.</w:t>
      </w:r>
    </w:p>
    <w:p>
      <w:r>
        <w:rPr>
          <w:b/>
        </w:rPr>
        <w:t xml:space="preserve">Status key: </w:t>
      </w:r>
      <w:r>
        <w:t>Implemented = present in current code; Partial = some part exists but the original requirement is not fully met; Not evidenced = no implementation was found in the repository review.</w:t>
      </w:r>
    </w:p>
    <w:p>
      <w:pPr>
        <w:pStyle w:val="Heading1"/>
      </w:pPr>
      <w:r>
        <w:rPr>
          <w:rFonts w:ascii="Arial" w:hAnsi="Arial"/>
        </w:rPr>
        <w:t>Implementation Summary</w:t>
      </w:r>
    </w:p>
    <w:tbl>
      <w:tblPr>
        <w:tblStyle w:val="TableGrid"/>
        <w:tblW w:type="auto" w:w="0"/>
        <w:jc w:val="center"/>
        <w:tblLook w:firstColumn="1" w:firstRow="1" w:lastColumn="0" w:lastRow="0" w:noHBand="0" w:noVBand="1" w:val="04A0"/>
      </w:tblPr>
      <w:tblGrid>
        <w:gridCol w:w="5179"/>
        <w:gridCol w:w="5179"/>
        <w:gridCol w:w="5179"/>
      </w:tblGrid>
      <w:tr>
        <w:tc>
          <w:tcPr>
            <w:tcW w:type="dxa" w:w="2160"/>
            <w:vAlign w:val="top"/>
            <w:shd w:fill="1F4E79"/>
          </w:tcPr>
          <w:p>
            <w:pPr>
              <w:jc w:val="left"/>
            </w:pPr>
            <w:r/>
            <w:r>
              <w:rPr>
                <w:b/>
                <w:color w:val="FFFFFF"/>
                <w:sz w:val="18"/>
              </w:rPr>
              <w:t>Status</w:t>
            </w:r>
          </w:p>
        </w:tc>
        <w:tc>
          <w:tcPr>
            <w:tcW w:type="dxa" w:w="1152"/>
            <w:vAlign w:val="top"/>
            <w:shd w:fill="1F4E79"/>
          </w:tcPr>
          <w:p>
            <w:pPr>
              <w:jc w:val="left"/>
            </w:pPr>
            <w:r/>
            <w:r>
              <w:rPr>
                <w:b/>
                <w:color w:val="FFFFFF"/>
                <w:sz w:val="18"/>
              </w:rPr>
              <w:t>Count</w:t>
            </w:r>
          </w:p>
        </w:tc>
        <w:tc>
          <w:tcPr>
            <w:tcW w:type="dxa" w:w="11520"/>
            <w:vAlign w:val="top"/>
            <w:shd w:fill="1F4E79"/>
          </w:tcPr>
          <w:p>
            <w:pPr>
              <w:jc w:val="left"/>
            </w:pPr>
            <w:r/>
            <w:r>
              <w:rPr>
                <w:b/>
                <w:color w:val="FFFFFF"/>
                <w:sz w:val="18"/>
              </w:rPr>
              <w:t>Meaning</w:t>
            </w:r>
          </w:p>
        </w:tc>
      </w:tr>
      <w:tr>
        <w:tc>
          <w:tcPr>
            <w:tcW w:type="dxa" w:w="2160"/>
            <w:vAlign w:val="top"/>
            <w:shd w:fill="D9EAD3"/>
          </w:tcPr>
          <w:p>
            <w:pPr>
              <w:jc w:val="left"/>
            </w:pPr>
            <w:r/>
            <w:r>
              <w:rPr>
                <w:b/>
                <w:sz w:val="18"/>
              </w:rPr>
              <w:t>Implemented</w:t>
            </w:r>
          </w:p>
        </w:tc>
        <w:tc>
          <w:tcPr>
            <w:tcW w:type="dxa" w:w="1152"/>
            <w:vAlign w:val="top"/>
          </w:tcPr>
          <w:p>
            <w:pPr>
              <w:jc w:val="left"/>
            </w:pPr>
            <w:r/>
            <w:r>
              <w:rPr>
                <w:b w:val="0"/>
                <w:sz w:val="18"/>
              </w:rPr>
              <w:t>11</w:t>
            </w:r>
          </w:p>
        </w:tc>
        <w:tc>
          <w:tcPr>
            <w:tcW w:type="dxa" w:w="11520"/>
            <w:vAlign w:val="top"/>
          </w:tcPr>
          <w:p>
            <w:pPr>
              <w:jc w:val="left"/>
            </w:pPr>
            <w:r/>
            <w:r>
              <w:rPr>
                <w:b w:val="0"/>
                <w:sz w:val="18"/>
              </w:rPr>
              <w:t>The task is supported by current AMS code.</w:t>
            </w:r>
          </w:p>
        </w:tc>
      </w:tr>
      <w:tr>
        <w:tc>
          <w:tcPr>
            <w:tcW w:type="dxa" w:w="2160"/>
            <w:vAlign w:val="top"/>
            <w:shd w:fill="FFF2CC"/>
          </w:tcPr>
          <w:p>
            <w:pPr>
              <w:jc w:val="left"/>
            </w:pPr>
            <w:r/>
            <w:r>
              <w:rPr>
                <w:b/>
                <w:sz w:val="18"/>
              </w:rPr>
              <w:t>Partial</w:t>
            </w:r>
          </w:p>
        </w:tc>
        <w:tc>
          <w:tcPr>
            <w:tcW w:type="dxa" w:w="1152"/>
            <w:vAlign w:val="top"/>
          </w:tcPr>
          <w:p>
            <w:pPr>
              <w:jc w:val="left"/>
            </w:pPr>
            <w:r/>
            <w:r>
              <w:rPr>
                <w:b w:val="0"/>
                <w:sz w:val="18"/>
              </w:rPr>
              <w:t>7</w:t>
            </w:r>
          </w:p>
        </w:tc>
        <w:tc>
          <w:tcPr>
            <w:tcW w:type="dxa" w:w="11520"/>
            <w:vAlign w:val="top"/>
          </w:tcPr>
          <w:p>
            <w:pPr>
              <w:jc w:val="left"/>
            </w:pPr>
            <w:r/>
            <w:r>
              <w:rPr>
                <w:b w:val="0"/>
                <w:sz w:val="18"/>
              </w:rPr>
              <w:t>The code supports part of the task, but a requirement remains missing or changed.</w:t>
            </w:r>
          </w:p>
        </w:tc>
      </w:tr>
      <w:tr>
        <w:tc>
          <w:tcPr>
            <w:tcW w:type="dxa" w:w="2160"/>
            <w:vAlign w:val="top"/>
            <w:shd w:fill="F4CCCC"/>
          </w:tcPr>
          <w:p>
            <w:pPr>
              <w:jc w:val="left"/>
            </w:pPr>
            <w:r/>
            <w:r>
              <w:rPr>
                <w:b/>
                <w:sz w:val="18"/>
              </w:rPr>
              <w:t>Not evidenced</w:t>
            </w:r>
          </w:p>
        </w:tc>
        <w:tc>
          <w:tcPr>
            <w:tcW w:type="dxa" w:w="1152"/>
            <w:vAlign w:val="top"/>
          </w:tcPr>
          <w:p>
            <w:pPr>
              <w:jc w:val="left"/>
            </w:pPr>
            <w:r/>
            <w:r>
              <w:rPr>
                <w:b w:val="0"/>
                <w:sz w:val="18"/>
              </w:rPr>
              <w:t>4</w:t>
            </w:r>
          </w:p>
        </w:tc>
        <w:tc>
          <w:tcPr>
            <w:tcW w:type="dxa" w:w="11520"/>
            <w:vAlign w:val="top"/>
          </w:tcPr>
          <w:p>
            <w:pPr>
              <w:jc w:val="left"/>
            </w:pPr>
            <w:r/>
            <w:r>
              <w:rPr>
                <w:b w:val="0"/>
                <w:sz w:val="18"/>
              </w:rPr>
              <w:t>No matching implementation was found in the repository.</w:t>
            </w:r>
          </w:p>
        </w:tc>
      </w:tr>
    </w:tbl>
    <w:p>
      <w:pPr>
        <w:pStyle w:val="Heading1"/>
      </w:pPr>
      <w:r>
        <w:rPr>
          <w:rFonts w:ascii="Arial" w:hAnsi="Arial"/>
        </w:rPr>
        <w:t>Corrected Tracking Sheet</w:t>
      </w:r>
    </w:p>
    <w:p>
      <w:r>
        <w:rPr>
          <w:i/>
          <w:sz w:val="18"/>
        </w:rPr>
        <w:t>The old sheet used circuit/topology wording. That has been replaced with actual AMS module references because AMS is a Laravel/Filament software system, not a circuit project.</w:t>
      </w:r>
    </w:p>
    <w:tbl>
      <w:tblPr>
        <w:tblStyle w:val="TableGrid"/>
        <w:tblW w:type="auto" w:w="0"/>
        <w:jc w:val="center"/>
        <w:tblLook w:firstColumn="1" w:firstRow="1" w:lastColumn="0" w:lastRow="0" w:noHBand="0" w:noVBand="1" w:val="04A0"/>
      </w:tblPr>
      <w:tblGrid>
        <w:gridCol w:w="2590"/>
        <w:gridCol w:w="2590"/>
        <w:gridCol w:w="2590"/>
        <w:gridCol w:w="2590"/>
        <w:gridCol w:w="2590"/>
        <w:gridCol w:w="2590"/>
      </w:tblGrid>
      <w:tr>
        <w:trPr>
          <w:tblHeader w:val="true"/>
        </w:trPr>
        <w:tc>
          <w:tcPr>
            <w:tcW w:type="dxa" w:w="1512"/>
            <w:vAlign w:val="top"/>
            <w:shd w:fill="1F4E79"/>
          </w:tcPr>
          <w:p>
            <w:pPr>
              <w:jc w:val="left"/>
            </w:pPr>
            <w:r/>
            <w:r>
              <w:rPr>
                <w:b/>
                <w:color w:val="FFFFFF"/>
                <w:sz w:val="17"/>
              </w:rPr>
              <w:t>Objective / Task ID</w:t>
            </w:r>
          </w:p>
        </w:tc>
        <w:tc>
          <w:tcPr>
            <w:tcW w:type="dxa" w:w="4536"/>
            <w:vAlign w:val="top"/>
            <w:shd w:fill="1F4E79"/>
          </w:tcPr>
          <w:p>
            <w:pPr>
              <w:jc w:val="left"/>
            </w:pPr>
            <w:r/>
            <w:r>
              <w:rPr>
                <w:b/>
                <w:color w:val="FFFFFF"/>
                <w:sz w:val="17"/>
              </w:rPr>
              <w:t>Corrected objective or task</w:t>
            </w:r>
          </w:p>
        </w:tc>
        <w:tc>
          <w:tcPr>
            <w:tcW w:type="dxa" w:w="792"/>
            <w:vAlign w:val="top"/>
            <w:shd w:fill="1F4E79"/>
          </w:tcPr>
          <w:p>
            <w:pPr>
              <w:jc w:val="left"/>
            </w:pPr>
            <w:r/>
            <w:r>
              <w:rPr>
                <w:b/>
                <w:color w:val="FFFFFF"/>
                <w:sz w:val="17"/>
              </w:rPr>
              <w:t>Priority</w:t>
            </w:r>
          </w:p>
        </w:tc>
        <w:tc>
          <w:tcPr>
            <w:tcW w:type="dxa" w:w="1296"/>
            <w:vAlign w:val="top"/>
            <w:shd w:fill="1F4E79"/>
          </w:tcPr>
          <w:p>
            <w:pPr>
              <w:jc w:val="left"/>
            </w:pPr>
            <w:r/>
            <w:r>
              <w:rPr>
                <w:b/>
                <w:color w:val="FFFFFF"/>
                <w:sz w:val="17"/>
              </w:rPr>
              <w:t>Status</w:t>
            </w:r>
          </w:p>
        </w:tc>
        <w:tc>
          <w:tcPr>
            <w:tcW w:type="dxa" w:w="3960"/>
            <w:vAlign w:val="top"/>
            <w:shd w:fill="1F4E79"/>
          </w:tcPr>
          <w:p>
            <w:pPr>
              <w:jc w:val="left"/>
            </w:pPr>
            <w:r/>
            <w:r>
              <w:rPr>
                <w:b/>
                <w:color w:val="FFFFFF"/>
                <w:sz w:val="17"/>
              </w:rPr>
              <w:t>AMS reference</w:t>
            </w:r>
          </w:p>
        </w:tc>
        <w:tc>
          <w:tcPr>
            <w:tcW w:type="dxa" w:w="3960"/>
            <w:vAlign w:val="top"/>
            <w:shd w:fill="1F4E79"/>
          </w:tcPr>
          <w:p>
            <w:pPr>
              <w:jc w:val="left"/>
            </w:pPr>
            <w:r/>
            <w:r>
              <w:rPr>
                <w:b/>
                <w:color w:val="FFFFFF"/>
                <w:sz w:val="17"/>
              </w:rPr>
              <w:t>Verification / test case</w:t>
            </w:r>
          </w:p>
        </w:tc>
      </w:tr>
      <w:tr>
        <w:tc>
          <w:tcPr>
            <w:tcW w:type="dxa" w:w="15540"/>
            <w:gridSpan w:val="6"/>
            <w:vAlign w:val="top"/>
            <w:shd w:fill="D9EAF7"/>
          </w:tcPr>
          <w:p>
            <w:pPr>
              <w:jc w:val="left"/>
            </w:pPr>
            <w:r/>
            <w:r>
              <w:rPr>
                <w:b/>
                <w:sz w:val="18"/>
              </w:rPr>
              <w:t>Objective 1: Secure role-based login and access control for AMS users.</w:t>
            </w:r>
          </w:p>
        </w:tc>
      </w:tr>
      <w:tr>
        <w:tc>
          <w:tcPr>
            <w:tcW w:type="dxa" w:w="1512"/>
            <w:vAlign w:val="top"/>
          </w:tcPr>
          <w:p>
            <w:pPr>
              <w:jc w:val="left"/>
            </w:pPr>
            <w:r/>
            <w:r>
              <w:rPr>
                <w:b/>
                <w:sz w:val="15"/>
              </w:rPr>
              <w:t>O1-T1</w:t>
            </w:r>
          </w:p>
        </w:tc>
        <w:tc>
          <w:tcPr>
            <w:tcW w:type="dxa" w:w="4536"/>
            <w:vAlign w:val="top"/>
          </w:tcPr>
          <w:p>
            <w:pPr>
              <w:jc w:val="left"/>
            </w:pPr>
            <w:r/>
            <w:r>
              <w:rPr>
                <w:b w:val="0"/>
                <w:sz w:val="15"/>
              </w:rPr>
              <w:t>Provide login interfaces for the current AMS roles through the Admin, Staff, and Student panels. The current staff role is Reviewer/Supervisor, not separate Reviewer I and Reviewer II accounts.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Admin, Staff, and Student panel providers: app/Providers/Filament/*PanelProvider.php. Panel routing: app/Models/User.php canAccessPanel().</w:t>
            </w:r>
          </w:p>
        </w:tc>
        <w:tc>
          <w:tcPr>
            <w:tcW w:type="dxa" w:w="3960"/>
            <w:vAlign w:val="top"/>
          </w:tcPr>
          <w:p>
            <w:pPr>
              <w:jc w:val="left"/>
            </w:pPr>
            <w:r/>
            <w:r>
              <w:rPr>
                <w:b w:val="0"/>
                <w:sz w:val="15"/>
              </w:rPr>
              <w:t>Manual: approved Super Admin/Coordinator reaches /admin; approved Reviewer/Supervisor reaches /staff; approved Student reaches /student.</w:t>
            </w:r>
          </w:p>
        </w:tc>
      </w:tr>
      <w:tr>
        <w:tc>
          <w:tcPr>
            <w:tcW w:type="dxa" w:w="1512"/>
            <w:vAlign w:val="top"/>
          </w:tcPr>
          <w:p>
            <w:pPr>
              <w:jc w:val="left"/>
            </w:pPr>
            <w:r/>
            <w:r>
              <w:rPr>
                <w:b/>
                <w:sz w:val="15"/>
              </w:rPr>
              <w:t>O1-T2</w:t>
            </w:r>
          </w:p>
        </w:tc>
        <w:tc>
          <w:tcPr>
            <w:tcW w:type="dxa" w:w="4536"/>
            <w:vAlign w:val="top"/>
          </w:tcPr>
          <w:p>
            <w:pPr>
              <w:jc w:val="left"/>
            </w:pPr>
            <w:r/>
            <w:r>
              <w:rPr>
                <w:b w:val="0"/>
                <w:sz w:val="15"/>
              </w:rPr>
              <w:t>Authenticate users securely, reject invalid credentials, and limit repeated login or two-factor attempts.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Laravel Fortify configuration and rate limiters: config/fortify.php; app/Providers/FortifyServiceProvider.php.</w:t>
            </w:r>
          </w:p>
        </w:tc>
        <w:tc>
          <w:tcPr>
            <w:tcW w:type="dxa" w:w="3960"/>
            <w:vAlign w:val="top"/>
          </w:tcPr>
          <w:p>
            <w:pPr>
              <w:jc w:val="left"/>
            </w:pPr>
            <w:r/>
            <w:r>
              <w:rPr>
                <w:b w:val="0"/>
                <w:sz w:val="15"/>
              </w:rPr>
              <w:t>Manual: invalid login is rejected; repeated login and two-factor attempts are rate limited to 5 per minute.</w:t>
            </w:r>
          </w:p>
        </w:tc>
      </w:tr>
      <w:tr>
        <w:tc>
          <w:tcPr>
            <w:tcW w:type="dxa" w:w="1512"/>
            <w:vAlign w:val="top"/>
          </w:tcPr>
          <w:p>
            <w:pPr>
              <w:jc w:val="left"/>
            </w:pPr>
            <w:r/>
            <w:r>
              <w:rPr>
                <w:b/>
                <w:sz w:val="15"/>
              </w:rPr>
              <w:t>O1-T3</w:t>
            </w:r>
          </w:p>
        </w:tc>
        <w:tc>
          <w:tcPr>
            <w:tcW w:type="dxa" w:w="4536"/>
            <w:vAlign w:val="top"/>
          </w:tcPr>
          <w:p>
            <w:pPr>
              <w:jc w:val="left"/>
            </w:pPr>
            <w:r/>
            <w:r>
              <w:rPr>
                <w:b w:val="0"/>
                <w:sz w:val="15"/>
              </w:rPr>
              <w:t>Support MFA/TOTP verification and recovery for all panels.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multiFactorAuthentication() is enabled in all three Filament panel providers; users store app authentication recovery fields.</w:t>
            </w:r>
          </w:p>
        </w:tc>
        <w:tc>
          <w:tcPr>
            <w:tcW w:type="dxa" w:w="3960"/>
            <w:vAlign w:val="top"/>
          </w:tcPr>
          <w:p>
            <w:pPr>
              <w:jc w:val="left"/>
            </w:pPr>
            <w:r/>
            <w:r>
              <w:rPr>
                <w:b w:val="0"/>
                <w:sz w:val="15"/>
              </w:rPr>
              <w:t>Manual: enroll an authenticator app, log out, and confirm login requires the second factor.</w:t>
            </w:r>
          </w:p>
        </w:tc>
      </w:tr>
      <w:tr>
        <w:tc>
          <w:tcPr>
            <w:tcW w:type="dxa" w:w="15540"/>
            <w:gridSpan w:val="6"/>
            <w:vAlign w:val="top"/>
            <w:shd w:fill="D9EAF7"/>
          </w:tcPr>
          <w:p>
            <w:pPr>
              <w:jc w:val="left"/>
            </w:pPr>
            <w:r/>
            <w:r>
              <w:rPr>
                <w:b/>
                <w:sz w:val="18"/>
              </w:rPr>
              <w:t>Objective 2: Enable assessors to enter, save, and submit marks for phase review rubrics.</w:t>
            </w:r>
          </w:p>
        </w:tc>
      </w:tr>
      <w:tr>
        <w:tc>
          <w:tcPr>
            <w:tcW w:type="dxa" w:w="1512"/>
            <w:vAlign w:val="top"/>
          </w:tcPr>
          <w:p>
            <w:pPr>
              <w:jc w:val="left"/>
            </w:pPr>
            <w:r/>
            <w:r>
              <w:rPr>
                <w:b/>
                <w:sz w:val="15"/>
              </w:rPr>
              <w:t>O2-T1</w:t>
            </w:r>
          </w:p>
        </w:tc>
        <w:tc>
          <w:tcPr>
            <w:tcW w:type="dxa" w:w="4536"/>
            <w:vAlign w:val="top"/>
          </w:tcPr>
          <w:p>
            <w:pPr>
              <w:jc w:val="left"/>
            </w:pPr>
            <w:r/>
            <w:r>
              <w:rPr>
                <w:b w:val="0"/>
                <w:sz w:val="15"/>
              </w:rPr>
              <w:t>Use one dynamic staff evaluation form for assigned evaluations instead of separate static interfaces for Reviewer I, Reviewer II, and Supervisor. Review stages are driven by phase templates and rubric rules.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Staff evaluation page: app/Filament/Staff/Pages/EvaluationForm.php. Dynamic form builder: app/Filament/Concerns/BuildsEvaluationForm.php. Phase rule setup: PhaseRubricRulesRelationManager.php.</w:t>
            </w:r>
          </w:p>
        </w:tc>
        <w:tc>
          <w:tcPr>
            <w:tcW w:type="dxa" w:w="3960"/>
            <w:vAlign w:val="top"/>
          </w:tcPr>
          <w:p>
            <w:pPr>
              <w:jc w:val="left"/>
            </w:pPr>
            <w:r/>
            <w:r>
              <w:rPr>
                <w:b w:val="0"/>
                <w:sz w:val="15"/>
              </w:rPr>
              <w:t>Manual: open an assigned evaluation and confirm the form shows the correct rubric, deliverables, group criteria, and individual student criteria.</w:t>
            </w:r>
          </w:p>
        </w:tc>
      </w:tr>
      <w:tr>
        <w:tc>
          <w:tcPr>
            <w:tcW w:type="dxa" w:w="1512"/>
            <w:vAlign w:val="top"/>
          </w:tcPr>
          <w:p>
            <w:pPr>
              <w:jc w:val="left"/>
            </w:pPr>
            <w:r/>
            <w:r>
              <w:rPr>
                <w:b/>
                <w:sz w:val="15"/>
              </w:rPr>
              <w:t>O2-T2</w:t>
            </w:r>
          </w:p>
        </w:tc>
        <w:tc>
          <w:tcPr>
            <w:tcW w:type="dxa" w:w="4536"/>
            <w:vAlign w:val="top"/>
          </w:tcPr>
          <w:p>
            <w:pPr>
              <w:jc w:val="left"/>
            </w:pPr>
            <w:r/>
            <w:r>
              <w:rPr>
                <w:b w:val="0"/>
                <w:sz w:val="15"/>
              </w:rPr>
              <w:t>Validate numeric marks against criterion limits and store group or per-student scores transactionally.</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BuildsEvaluationForm.php score fields define numeric min/max validation. EvaluationService::saveScores() writes scores inside a transaction and uses updateOrCreate().</w:t>
            </w:r>
          </w:p>
        </w:tc>
        <w:tc>
          <w:tcPr>
            <w:tcW w:type="dxa" w:w="3960"/>
            <w:vAlign w:val="top"/>
          </w:tcPr>
          <w:p>
            <w:pPr>
              <w:jc w:val="left"/>
            </w:pPr>
            <w:r/>
            <w:r>
              <w:rPr>
                <w:b w:val="0"/>
                <w:sz w:val="15"/>
              </w:rPr>
              <w:t>Manual: enter a score above the criterion maximum and confirm validation blocks it; save valid group and individual scores.</w:t>
            </w:r>
          </w:p>
        </w:tc>
      </w:tr>
      <w:tr>
        <w:tc>
          <w:tcPr>
            <w:tcW w:type="dxa" w:w="1512"/>
            <w:vAlign w:val="top"/>
          </w:tcPr>
          <w:p>
            <w:pPr>
              <w:jc w:val="left"/>
            </w:pPr>
            <w:r/>
            <w:r>
              <w:rPr>
                <w:b/>
                <w:sz w:val="15"/>
              </w:rPr>
              <w:t>O2-T3</w:t>
            </w:r>
          </w:p>
        </w:tc>
        <w:tc>
          <w:tcPr>
            <w:tcW w:type="dxa" w:w="4536"/>
            <w:vAlign w:val="top"/>
          </w:tcPr>
          <w:p>
            <w:pPr>
              <w:jc w:val="left"/>
            </w:pPr>
            <w:r/>
            <w:r>
              <w:rPr>
                <w:b w:val="0"/>
                <w:sz w:val="15"/>
              </w:rPr>
              <w:t>Allow assessors to save drafts and edit marks before final submission; submitted assessments become read-only.</w:t>
            </w:r>
          </w:p>
        </w:tc>
        <w:tc>
          <w:tcPr>
            <w:tcW w:type="dxa" w:w="792"/>
            <w:vAlign w:val="top"/>
          </w:tcPr>
          <w:p>
            <w:pPr>
              <w:jc w:val="left"/>
            </w:pPr>
            <w:r/>
            <w:r>
              <w:rPr>
                <w:b w:val="0"/>
                <w:sz w:val="15"/>
              </w:rPr>
              <w:t>M</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EvaluationForm::saveDraft(), submitEvaluation(), and read-only handling in BuildsEvaluationForm.php.</w:t>
            </w:r>
          </w:p>
        </w:tc>
        <w:tc>
          <w:tcPr>
            <w:tcW w:type="dxa" w:w="3960"/>
            <w:vAlign w:val="top"/>
          </w:tcPr>
          <w:p>
            <w:pPr>
              <w:jc w:val="left"/>
            </w:pPr>
            <w:r/>
            <w:r>
              <w:rPr>
                <w:b w:val="0"/>
                <w:sz w:val="15"/>
              </w:rPr>
              <w:t>Manual: save draft, reload the assessment, edit the saved values, submit, then confirm fields are disabled.</w:t>
            </w:r>
          </w:p>
        </w:tc>
      </w:tr>
      <w:tr>
        <w:tc>
          <w:tcPr>
            <w:tcW w:type="dxa" w:w="1512"/>
            <w:vAlign w:val="top"/>
          </w:tcPr>
          <w:p>
            <w:pPr>
              <w:jc w:val="left"/>
            </w:pPr>
            <w:r/>
            <w:r>
              <w:rPr>
                <w:b/>
                <w:sz w:val="15"/>
              </w:rPr>
              <w:t>O2-T4</w:t>
            </w:r>
          </w:p>
        </w:tc>
        <w:tc>
          <w:tcPr>
            <w:tcW w:type="dxa" w:w="4536"/>
            <w:vAlign w:val="top"/>
          </w:tcPr>
          <w:p>
            <w:pPr>
              <w:jc w:val="left"/>
            </w:pPr>
            <w:r/>
            <w:r>
              <w:rPr>
                <w:b w:val="0"/>
                <w:sz w:val="15"/>
              </w:rPr>
              <w:t>Autosave while typing without pressing Save Draft.</w:t>
            </w:r>
          </w:p>
        </w:tc>
        <w:tc>
          <w:tcPr>
            <w:tcW w:type="dxa" w:w="792"/>
            <w:vAlign w:val="top"/>
          </w:tcPr>
          <w:p>
            <w:pPr>
              <w:jc w:val="left"/>
            </w:pPr>
            <w:r/>
            <w:r>
              <w:rPr>
                <w:b w:val="0"/>
                <w:sz w:val="15"/>
              </w:rPr>
              <w:t>M</w:t>
            </w:r>
          </w:p>
        </w:tc>
        <w:tc>
          <w:tcPr>
            <w:tcW w:type="dxa" w:w="1296"/>
            <w:vAlign w:val="top"/>
            <w:shd w:fill="F4CCCC"/>
          </w:tcPr>
          <w:p>
            <w:pPr>
              <w:jc w:val="left"/>
            </w:pPr>
            <w:r/>
            <w:r>
              <w:rPr>
                <w:b/>
                <w:sz w:val="15"/>
              </w:rPr>
              <w:t>Not evidenced</w:t>
            </w:r>
          </w:p>
        </w:tc>
        <w:tc>
          <w:tcPr>
            <w:tcW w:type="dxa" w:w="3960"/>
            <w:vAlign w:val="top"/>
          </w:tcPr>
          <w:p>
            <w:pPr>
              <w:jc w:val="left"/>
            </w:pPr>
            <w:r/>
            <w:r>
              <w:rPr>
                <w:b w:val="0"/>
                <w:sz w:val="15"/>
              </w:rPr>
              <w:t>No autosave timer, debounce save handler, or background save path was found in the evaluation form code.</w:t>
            </w:r>
          </w:p>
        </w:tc>
        <w:tc>
          <w:tcPr>
            <w:tcW w:type="dxa" w:w="3960"/>
            <w:vAlign w:val="top"/>
          </w:tcPr>
          <w:p>
            <w:pPr>
              <w:jc w:val="left"/>
            </w:pPr>
            <w:r/>
            <w:r>
              <w:rPr>
                <w:b w:val="0"/>
                <w:sz w:val="15"/>
              </w:rPr>
              <w:t>Needed: edit a score, navigate away without Save Draft, return and confirm whether the change persisted. Current code suggests it will not.</w:t>
            </w:r>
          </w:p>
        </w:tc>
      </w:tr>
      <w:tr>
        <w:tc>
          <w:tcPr>
            <w:tcW w:type="dxa" w:w="15540"/>
            <w:gridSpan w:val="6"/>
            <w:vAlign w:val="top"/>
            <w:shd w:fill="D9EAF7"/>
          </w:tcPr>
          <w:p>
            <w:pPr>
              <w:jc w:val="left"/>
            </w:pPr>
            <w:r/>
            <w:r>
              <w:rPr>
                <w:b/>
                <w:sz w:val="18"/>
              </w:rPr>
              <w:t>Objective 3: Consolidate all assessment marks automatically and provide oversight views.</w:t>
            </w:r>
          </w:p>
        </w:tc>
      </w:tr>
      <w:tr>
        <w:tc>
          <w:tcPr>
            <w:tcW w:type="dxa" w:w="1512"/>
            <w:vAlign w:val="top"/>
          </w:tcPr>
          <w:p>
            <w:pPr>
              <w:jc w:val="left"/>
            </w:pPr>
            <w:r/>
            <w:r>
              <w:rPr>
                <w:b/>
                <w:sz w:val="15"/>
              </w:rPr>
              <w:t>O3-T1</w:t>
            </w:r>
          </w:p>
        </w:tc>
        <w:tc>
          <w:tcPr>
            <w:tcW w:type="dxa" w:w="4536"/>
            <w:vAlign w:val="top"/>
          </w:tcPr>
          <w:p>
            <w:pPr>
              <w:jc w:val="left"/>
            </w:pPr>
            <w:r/>
            <w:r>
              <w:rPr>
                <w:b w:val="0"/>
                <w:sz w:val="15"/>
              </w:rPr>
              <w:t>Calculate consolidated marks for each student after all project evaluations are submitted.</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EvaluationService::submit() calls GradeConsolidationService when all evaluations are submitted. GradeConsolidationService creates consolidated marks and component breakdown rows.</w:t>
            </w:r>
          </w:p>
        </w:tc>
        <w:tc>
          <w:tcPr>
            <w:tcW w:type="dxa" w:w="3960"/>
            <w:vAlign w:val="top"/>
          </w:tcPr>
          <w:p>
            <w:pPr>
              <w:jc w:val="left"/>
            </w:pPr>
            <w:r/>
            <w:r>
              <w:rPr>
                <w:b w:val="0"/>
                <w:sz w:val="15"/>
              </w:rPr>
              <w:t>Manual: submit all evaluations for a project and confirm consolidated marks are created per student and project status changes to Completed.</w:t>
            </w:r>
          </w:p>
        </w:tc>
      </w:tr>
      <w:tr>
        <w:tc>
          <w:tcPr>
            <w:tcW w:type="dxa" w:w="1512"/>
            <w:vAlign w:val="top"/>
          </w:tcPr>
          <w:p>
            <w:pPr>
              <w:jc w:val="left"/>
            </w:pPr>
            <w:r/>
            <w:r>
              <w:rPr>
                <w:b/>
                <w:sz w:val="15"/>
              </w:rPr>
              <w:t>O3-T2</w:t>
            </w:r>
          </w:p>
        </w:tc>
        <w:tc>
          <w:tcPr>
            <w:tcW w:type="dxa" w:w="4536"/>
            <w:vAlign w:val="top"/>
          </w:tcPr>
          <w:p>
            <w:pPr>
              <w:jc w:val="left"/>
            </w:pPr>
            <w:r/>
            <w:r>
              <w:rPr>
                <w:b w:val="0"/>
                <w:sz w:val="15"/>
              </w:rPr>
              <w:t>Refresh consolidated marks whenever an individual review mark is modified.</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Consolidation runs when all evaluations are submitted. Unlocking a submitted evaluation deletes stale consolidated marks and returns the project to evaluating. No database trigger or per-score update trigger was found.</w:t>
            </w:r>
          </w:p>
        </w:tc>
        <w:tc>
          <w:tcPr>
            <w:tcW w:type="dxa" w:w="3960"/>
            <w:vAlign w:val="top"/>
          </w:tcPr>
          <w:p>
            <w:pPr>
              <w:jc w:val="left"/>
            </w:pPr>
            <w:r/>
            <w:r>
              <w:rPr>
                <w:b w:val="0"/>
                <w:sz w:val="15"/>
              </w:rPr>
              <w:t>Needed: automated test for recalculation after an unlocked evaluation is edited and resubmitted.</w:t>
            </w:r>
          </w:p>
        </w:tc>
      </w:tr>
      <w:tr>
        <w:tc>
          <w:tcPr>
            <w:tcW w:type="dxa" w:w="1512"/>
            <w:vAlign w:val="top"/>
          </w:tcPr>
          <w:p>
            <w:pPr>
              <w:jc w:val="left"/>
            </w:pPr>
            <w:r/>
            <w:r>
              <w:rPr>
                <w:b/>
                <w:sz w:val="15"/>
              </w:rPr>
              <w:t>O3-T3</w:t>
            </w:r>
          </w:p>
        </w:tc>
        <w:tc>
          <w:tcPr>
            <w:tcW w:type="dxa" w:w="4536"/>
            <w:vAlign w:val="top"/>
          </w:tcPr>
          <w:p>
            <w:pPr>
              <w:jc w:val="left"/>
            </w:pPr>
            <w:r/>
            <w:r>
              <w:rPr>
                <w:b w:val="0"/>
                <w:sz w:val="15"/>
              </w:rPr>
              <w:t>Show a summary view of calculated, override, final score, and grade.</w:t>
            </w:r>
          </w:p>
        </w:tc>
        <w:tc>
          <w:tcPr>
            <w:tcW w:type="dxa" w:w="792"/>
            <w:vAlign w:val="top"/>
          </w:tcPr>
          <w:p>
            <w:pPr>
              <w:jc w:val="left"/>
            </w:pPr>
            <w:r/>
            <w:r>
              <w:rPr>
                <w:b w:val="0"/>
                <w:sz w:val="15"/>
              </w:rPr>
              <w:t>M</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ConsolidatedMarkResource list and view show calculated score, override, final mark, grade, and score breakdown.</w:t>
            </w:r>
          </w:p>
        </w:tc>
        <w:tc>
          <w:tcPr>
            <w:tcW w:type="dxa" w:w="3960"/>
            <w:vAlign w:val="top"/>
          </w:tcPr>
          <w:p>
            <w:pPr>
              <w:jc w:val="left"/>
            </w:pPr>
            <w:r/>
            <w:r>
              <w:rPr>
                <w:b w:val="0"/>
                <w:sz w:val="15"/>
              </w:rPr>
              <w:t>Manual: open Grade Consolidation and a consolidated mark view; confirm final score uses override when present.</w:t>
            </w:r>
          </w:p>
        </w:tc>
      </w:tr>
      <w:tr>
        <w:tc>
          <w:tcPr>
            <w:tcW w:type="dxa" w:w="1512"/>
            <w:vAlign w:val="top"/>
          </w:tcPr>
          <w:p>
            <w:pPr>
              <w:jc w:val="left"/>
            </w:pPr>
            <w:r/>
            <w:r>
              <w:rPr>
                <w:b/>
                <w:sz w:val="15"/>
              </w:rPr>
              <w:t>O3-T4</w:t>
            </w:r>
          </w:p>
        </w:tc>
        <w:tc>
          <w:tcPr>
            <w:tcW w:type="dxa" w:w="4536"/>
            <w:vAlign w:val="top"/>
          </w:tcPr>
          <w:p>
            <w:pPr>
              <w:jc w:val="left"/>
            </w:pPr>
            <w:r/>
            <w:r>
              <w:rPr>
                <w:b w:val="0"/>
                <w:sz w:val="15"/>
              </w:rPr>
              <w:t>Highlight discrepancies or mismatches automatically.</w:t>
            </w:r>
          </w:p>
        </w:tc>
        <w:tc>
          <w:tcPr>
            <w:tcW w:type="dxa" w:w="792"/>
            <w:vAlign w:val="top"/>
          </w:tcPr>
          <w:p>
            <w:pPr>
              <w:jc w:val="left"/>
            </w:pPr>
            <w:r/>
            <w:r>
              <w:rPr>
                <w:b w:val="0"/>
                <w:sz w:val="15"/>
              </w:rPr>
              <w:t>M</w:t>
            </w:r>
          </w:p>
        </w:tc>
        <w:tc>
          <w:tcPr>
            <w:tcW w:type="dxa" w:w="1296"/>
            <w:vAlign w:val="top"/>
            <w:shd w:fill="F4CCCC"/>
          </w:tcPr>
          <w:p>
            <w:pPr>
              <w:jc w:val="left"/>
            </w:pPr>
            <w:r/>
            <w:r>
              <w:rPr>
                <w:b/>
                <w:sz w:val="15"/>
              </w:rPr>
              <w:t>Not evidenced</w:t>
            </w:r>
          </w:p>
        </w:tc>
        <w:tc>
          <w:tcPr>
            <w:tcW w:type="dxa" w:w="3960"/>
            <w:vAlign w:val="top"/>
          </w:tcPr>
          <w:p>
            <w:pPr>
              <w:jc w:val="left"/>
            </w:pPr>
            <w:r/>
            <w:r>
              <w:rPr>
                <w:b w:val="0"/>
                <w:sz w:val="15"/>
              </w:rPr>
              <w:t>No discrepancy detection or warning logic was found in ConsolidatedMarkResource or GradeConsolidationService.</w:t>
            </w:r>
          </w:p>
        </w:tc>
        <w:tc>
          <w:tcPr>
            <w:tcW w:type="dxa" w:w="3960"/>
            <w:vAlign w:val="top"/>
          </w:tcPr>
          <w:p>
            <w:pPr>
              <w:jc w:val="left"/>
            </w:pPr>
            <w:r/>
            <w:r>
              <w:rPr>
                <w:b w:val="0"/>
                <w:sz w:val="15"/>
              </w:rPr>
              <w:t>Needed: define discrepancy rules, then test warning display against mismatched component data.</w:t>
            </w:r>
          </w:p>
        </w:tc>
      </w:tr>
      <w:tr>
        <w:tc>
          <w:tcPr>
            <w:tcW w:type="dxa" w:w="15540"/>
            <w:gridSpan w:val="6"/>
            <w:vAlign w:val="top"/>
            <w:shd w:fill="D9EAF7"/>
          </w:tcPr>
          <w:p>
            <w:pPr>
              <w:jc w:val="left"/>
            </w:pPr>
            <w:r/>
            <w:r>
              <w:rPr>
                <w:b/>
                <w:sz w:val="18"/>
              </w:rPr>
              <w:t>Objective 4: Enforce confidentiality, integrity, and availability controls in system architecture and data handling.</w:t>
            </w:r>
          </w:p>
        </w:tc>
      </w:tr>
      <w:tr>
        <w:tc>
          <w:tcPr>
            <w:tcW w:type="dxa" w:w="1512"/>
            <w:vAlign w:val="top"/>
          </w:tcPr>
          <w:p>
            <w:pPr>
              <w:jc w:val="left"/>
            </w:pPr>
            <w:r/>
            <w:r>
              <w:rPr>
                <w:b/>
                <w:sz w:val="15"/>
              </w:rPr>
              <w:t>O4-T1</w:t>
            </w:r>
          </w:p>
        </w:tc>
        <w:tc>
          <w:tcPr>
            <w:tcW w:type="dxa" w:w="4536"/>
            <w:vAlign w:val="top"/>
          </w:tcPr>
          <w:p>
            <w:pPr>
              <w:jc w:val="left"/>
            </w:pPr>
            <w:r/>
            <w:r>
              <w:rPr>
                <w:b w:val="0"/>
                <w:sz w:val="15"/>
              </w:rPr>
              <w:t>Apply role-based access control, approved-account gating, hashed credentials, and MFA. HTTPS/TLS remains a deployment responsibility rather than application code.</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Role/panel access: app/Models/User.php and EnsurePanelAccess.php. Password hashing: User password cast. MFA: panel providers and Fortify config.</w:t>
            </w:r>
          </w:p>
        </w:tc>
        <w:tc>
          <w:tcPr>
            <w:tcW w:type="dxa" w:w="3960"/>
            <w:vAlign w:val="top"/>
          </w:tcPr>
          <w:p>
            <w:pPr>
              <w:jc w:val="left"/>
            </w:pPr>
            <w:r/>
            <w:r>
              <w:rPr>
                <w:b w:val="0"/>
                <w:sz w:val="15"/>
              </w:rPr>
              <w:t>Manual: unapproved coordinator cannot enter admin panel; each role only reaches its allowed panel; deployed site should be checked for HTTPS.</w:t>
            </w:r>
          </w:p>
        </w:tc>
      </w:tr>
      <w:tr>
        <w:tc>
          <w:tcPr>
            <w:tcW w:type="dxa" w:w="1512"/>
            <w:vAlign w:val="top"/>
          </w:tcPr>
          <w:p>
            <w:pPr>
              <w:jc w:val="left"/>
            </w:pPr>
            <w:r/>
            <w:r>
              <w:rPr>
                <w:b/>
                <w:sz w:val="15"/>
              </w:rPr>
              <w:t>O4-T2</w:t>
            </w:r>
          </w:p>
        </w:tc>
        <w:tc>
          <w:tcPr>
            <w:tcW w:type="dxa" w:w="4536"/>
            <w:vAlign w:val="top"/>
          </w:tcPr>
          <w:p>
            <w:pPr>
              <w:jc w:val="left"/>
            </w:pPr>
            <w:r/>
            <w:r>
              <w:rPr>
                <w:b w:val="0"/>
                <w:sz w:val="15"/>
              </w:rPr>
              <w:t>Protect integrity with input validation, database transactions, scoped access, and audit logging for critical operations.</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Validation and transactions exist in EvaluationService, GradeConsolidationService, imports, and setup wizards. Audit logging table and widget exist, but no activity write calls were found under app/.</w:t>
            </w:r>
          </w:p>
        </w:tc>
        <w:tc>
          <w:tcPr>
            <w:tcW w:type="dxa" w:w="3960"/>
            <w:vAlign w:val="top"/>
          </w:tcPr>
          <w:p>
            <w:pPr>
              <w:jc w:val="left"/>
            </w:pPr>
            <w:r/>
            <w:r>
              <w:rPr>
                <w:b w:val="0"/>
                <w:sz w:val="15"/>
              </w:rPr>
              <w:t>Manual/automated: verify validation rollback on failed imports; add audit assertions after logging is implemented.</w:t>
            </w:r>
          </w:p>
        </w:tc>
      </w:tr>
      <w:tr>
        <w:tc>
          <w:tcPr>
            <w:tcW w:type="dxa" w:w="1512"/>
            <w:vAlign w:val="top"/>
          </w:tcPr>
          <w:p>
            <w:pPr>
              <w:jc w:val="left"/>
            </w:pPr>
            <w:r/>
            <w:r>
              <w:rPr>
                <w:b/>
                <w:sz w:val="15"/>
              </w:rPr>
              <w:t>O4-T3</w:t>
            </w:r>
          </w:p>
        </w:tc>
        <w:tc>
          <w:tcPr>
            <w:tcW w:type="dxa" w:w="4536"/>
            <w:vAlign w:val="top"/>
          </w:tcPr>
          <w:p>
            <w:pPr>
              <w:jc w:val="left"/>
            </w:pPr>
            <w:r/>
            <w:r>
              <w:rPr>
                <w:b w:val="0"/>
                <w:sz w:val="15"/>
              </w:rPr>
              <w:t>Implement backups, redundancy, and operational monitoring.</w:t>
            </w:r>
          </w:p>
        </w:tc>
        <w:tc>
          <w:tcPr>
            <w:tcW w:type="dxa" w:w="792"/>
            <w:vAlign w:val="top"/>
          </w:tcPr>
          <w:p>
            <w:pPr>
              <w:jc w:val="left"/>
            </w:pPr>
            <w:r/>
            <w:r>
              <w:rPr>
                <w:b w:val="0"/>
                <w:sz w:val="15"/>
              </w:rPr>
              <w:t>M</w:t>
            </w:r>
          </w:p>
        </w:tc>
        <w:tc>
          <w:tcPr>
            <w:tcW w:type="dxa" w:w="1296"/>
            <w:vAlign w:val="top"/>
            <w:shd w:fill="F4CCCC"/>
          </w:tcPr>
          <w:p>
            <w:pPr>
              <w:jc w:val="left"/>
            </w:pPr>
            <w:r/>
            <w:r>
              <w:rPr>
                <w:b/>
                <w:sz w:val="15"/>
              </w:rPr>
              <w:t>Not evidenced</w:t>
            </w:r>
          </w:p>
        </w:tc>
        <w:tc>
          <w:tcPr>
            <w:tcW w:type="dxa" w:w="3960"/>
            <w:vAlign w:val="top"/>
          </w:tcPr>
          <w:p>
            <w:pPr>
              <w:jc w:val="left"/>
            </w:pPr>
            <w:r/>
            <w:r>
              <w:rPr>
                <w:b w:val="0"/>
                <w:sz w:val="15"/>
              </w:rPr>
              <w:t>Only Laravel health route /up is configured. routes/console.php has no backup or monitoring schedule, and no backup service was found.</w:t>
            </w:r>
          </w:p>
        </w:tc>
        <w:tc>
          <w:tcPr>
            <w:tcW w:type="dxa" w:w="3960"/>
            <w:vAlign w:val="top"/>
          </w:tcPr>
          <w:p>
            <w:pPr>
              <w:jc w:val="left"/>
            </w:pPr>
            <w:r/>
            <w:r>
              <w:rPr>
                <w:b w:val="0"/>
                <w:sz w:val="15"/>
              </w:rPr>
              <w:t>Needed: backup job, restore test, uptime/health monitoring, and documented recovery procedure.</w:t>
            </w:r>
          </w:p>
        </w:tc>
      </w:tr>
      <w:tr>
        <w:tc>
          <w:tcPr>
            <w:tcW w:type="dxa" w:w="15540"/>
            <w:gridSpan w:val="6"/>
            <w:vAlign w:val="top"/>
            <w:shd w:fill="D9EAF7"/>
          </w:tcPr>
          <w:p>
            <w:pPr>
              <w:jc w:val="left"/>
            </w:pPr>
            <w:r/>
            <w:r>
              <w:rPr>
                <w:b/>
                <w:sz w:val="18"/>
              </w:rPr>
              <w:t>Objective 5: Generate secure academic reports and exports.</w:t>
            </w:r>
          </w:p>
        </w:tc>
      </w:tr>
      <w:tr>
        <w:tc>
          <w:tcPr>
            <w:tcW w:type="dxa" w:w="1512"/>
            <w:vAlign w:val="top"/>
          </w:tcPr>
          <w:p>
            <w:pPr>
              <w:jc w:val="left"/>
            </w:pPr>
            <w:r/>
            <w:r>
              <w:rPr>
                <w:b/>
                <w:sz w:val="15"/>
              </w:rPr>
              <w:t>O5-T1</w:t>
            </w:r>
          </w:p>
        </w:tc>
        <w:tc>
          <w:tcPr>
            <w:tcW w:type="dxa" w:w="4536"/>
            <w:vAlign w:val="top"/>
          </w:tcPr>
          <w:p>
            <w:pPr>
              <w:jc w:val="left"/>
            </w:pPr>
            <w:r/>
            <w:r>
              <w:rPr>
                <w:b w:val="0"/>
                <w:sz w:val="15"/>
              </w:rPr>
              <w:t>Export final consolidated grade records. The implemented report is a final grade export, not a full per-review-stage academic performance report.</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GradeExport page provides preview, CSV export, and PDF export from consolidated_marks.</w:t>
            </w:r>
          </w:p>
        </w:tc>
        <w:tc>
          <w:tcPr>
            <w:tcW w:type="dxa" w:w="3960"/>
            <w:vAlign w:val="top"/>
          </w:tcPr>
          <w:p>
            <w:pPr>
              <w:jc w:val="left"/>
            </w:pPr>
            <w:r/>
            <w:r>
              <w:rPr>
                <w:b w:val="0"/>
                <w:sz w:val="15"/>
              </w:rPr>
              <w:t>Manual: select semester/course, preview data, export CSV and PDF, and compare totals with Grade Consolidation.</w:t>
            </w:r>
          </w:p>
        </w:tc>
      </w:tr>
      <w:tr>
        <w:tc>
          <w:tcPr>
            <w:tcW w:type="dxa" w:w="1512"/>
            <w:vAlign w:val="top"/>
          </w:tcPr>
          <w:p>
            <w:pPr>
              <w:jc w:val="left"/>
            </w:pPr>
            <w:r/>
            <w:r>
              <w:rPr>
                <w:b/>
                <w:sz w:val="15"/>
              </w:rPr>
              <w:t>O5-T2</w:t>
            </w:r>
          </w:p>
        </w:tc>
        <w:tc>
          <w:tcPr>
            <w:tcW w:type="dxa" w:w="4536"/>
            <w:vAlign w:val="top"/>
          </w:tcPr>
          <w:p>
            <w:pPr>
              <w:jc w:val="left"/>
            </w:pPr>
            <w:r/>
            <w:r>
              <w:rPr>
                <w:b w:val="0"/>
                <w:sz w:val="15"/>
              </w:rPr>
              <w:t>Restrict exports to authorized admin-panel users and coordinator semester scope.</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GradeExport filters semesters and consolidated marks by coordinator assignment unless the user is Super Admin.</w:t>
            </w:r>
          </w:p>
        </w:tc>
        <w:tc>
          <w:tcPr>
            <w:tcW w:type="dxa" w:w="3960"/>
            <w:vAlign w:val="top"/>
          </w:tcPr>
          <w:p>
            <w:pPr>
              <w:jc w:val="left"/>
            </w:pPr>
            <w:r/>
            <w:r>
              <w:rPr>
                <w:b w:val="0"/>
                <w:sz w:val="15"/>
              </w:rPr>
              <w:t>Manual: login as Coordinator assigned to one semester and confirm other semesters are not available in Grade Export.</w:t>
            </w:r>
          </w:p>
        </w:tc>
      </w:tr>
      <w:tr>
        <w:tc>
          <w:tcPr>
            <w:tcW w:type="dxa" w:w="1512"/>
            <w:vAlign w:val="top"/>
          </w:tcPr>
          <w:p>
            <w:pPr>
              <w:jc w:val="left"/>
            </w:pPr>
            <w:r/>
            <w:r>
              <w:rPr>
                <w:b/>
                <w:sz w:val="15"/>
              </w:rPr>
              <w:t>O5-T3</w:t>
            </w:r>
          </w:p>
        </w:tc>
        <w:tc>
          <w:tcPr>
            <w:tcW w:type="dxa" w:w="4536"/>
            <w:vAlign w:val="top"/>
          </w:tcPr>
          <w:p>
            <w:pPr>
              <w:jc w:val="left"/>
            </w:pPr>
            <w:r/>
            <w:r>
              <w:rPr>
                <w:b w:val="0"/>
                <w:sz w:val="15"/>
              </w:rPr>
              <w:t>Audit report views and downloads.</w:t>
            </w:r>
          </w:p>
        </w:tc>
        <w:tc>
          <w:tcPr>
            <w:tcW w:type="dxa" w:w="792"/>
            <w:vAlign w:val="top"/>
          </w:tcPr>
          <w:p>
            <w:pPr>
              <w:jc w:val="left"/>
            </w:pPr>
            <w:r/>
            <w:r>
              <w:rPr>
                <w:b w:val="0"/>
                <w:sz w:val="15"/>
              </w:rPr>
              <w:t>M</w:t>
            </w:r>
          </w:p>
        </w:tc>
        <w:tc>
          <w:tcPr>
            <w:tcW w:type="dxa" w:w="1296"/>
            <w:vAlign w:val="top"/>
            <w:shd w:fill="F4CCCC"/>
          </w:tcPr>
          <w:p>
            <w:pPr>
              <w:jc w:val="left"/>
            </w:pPr>
            <w:r/>
            <w:r>
              <w:rPr>
                <w:b/>
                <w:sz w:val="15"/>
              </w:rPr>
              <w:t>Not evidenced</w:t>
            </w:r>
          </w:p>
        </w:tc>
        <w:tc>
          <w:tcPr>
            <w:tcW w:type="dxa" w:w="3960"/>
            <w:vAlign w:val="top"/>
          </w:tcPr>
          <w:p>
            <w:pPr>
              <w:jc w:val="left"/>
            </w:pPr>
            <w:r/>
            <w:r>
              <w:rPr>
                <w:b w:val="0"/>
                <w:sz w:val="15"/>
              </w:rPr>
              <w:t>GradeExport::exportCsv() and exportPdf() stream files but do not write activity-log records.</w:t>
            </w:r>
          </w:p>
        </w:tc>
        <w:tc>
          <w:tcPr>
            <w:tcW w:type="dxa" w:w="3960"/>
            <w:vAlign w:val="top"/>
          </w:tcPr>
          <w:p>
            <w:pPr>
              <w:jc w:val="left"/>
            </w:pPr>
            <w:r/>
            <w:r>
              <w:rPr>
                <w:b w:val="0"/>
                <w:sz w:val="15"/>
              </w:rPr>
              <w:t>Needed: export CSV/PDF and confirm a report-download activity entry is created with user, timestamp, semester, and file type.</w:t>
            </w:r>
          </w:p>
        </w:tc>
      </w:tr>
      <w:tr>
        <w:tc>
          <w:tcPr>
            <w:tcW w:type="dxa" w:w="15540"/>
            <w:gridSpan w:val="6"/>
            <w:vAlign w:val="top"/>
            <w:shd w:fill="D9EAF7"/>
          </w:tcPr>
          <w:p>
            <w:pPr>
              <w:jc w:val="left"/>
            </w:pPr>
            <w:r/>
            <w:r>
              <w:rPr>
                <w:b/>
                <w:sz w:val="18"/>
              </w:rPr>
              <w:t>Objective 6: Enable coordinators to manage the full assessment lifecycle with oversight and control authority. This objective was added from the supplied screenshot.</w:t>
            </w:r>
          </w:p>
        </w:tc>
      </w:tr>
      <w:tr>
        <w:tc>
          <w:tcPr>
            <w:tcW w:type="dxa" w:w="1512"/>
            <w:vAlign w:val="top"/>
          </w:tcPr>
          <w:p>
            <w:pPr>
              <w:jc w:val="left"/>
            </w:pPr>
            <w:r/>
            <w:r>
              <w:rPr>
                <w:b/>
                <w:sz w:val="15"/>
              </w:rPr>
              <w:t>O6-T1</w:t>
            </w:r>
          </w:p>
        </w:tc>
        <w:tc>
          <w:tcPr>
            <w:tcW w:type="dxa" w:w="4536"/>
            <w:vAlign w:val="top"/>
          </w:tcPr>
          <w:p>
            <w:pPr>
              <w:jc w:val="left"/>
            </w:pPr>
            <w:r/>
            <w:r>
              <w:rPr>
                <w:b w:val="0"/>
                <w:sz w:val="15"/>
              </w:rPr>
              <w:t>Design and implement semester and project management interfaces so coordinators can create/select semesters and create projects.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SemesterResource, ProjectResource, and SemesterSetupWizard support semester selection/creation and project creation/import.</w:t>
            </w:r>
          </w:p>
        </w:tc>
        <w:tc>
          <w:tcPr>
            <w:tcW w:type="dxa" w:w="3960"/>
            <w:vAlign w:val="top"/>
          </w:tcPr>
          <w:p>
            <w:pPr>
              <w:jc w:val="left"/>
            </w:pPr>
            <w:r/>
            <w:r>
              <w:rPr>
                <w:b w:val="0"/>
                <w:sz w:val="15"/>
              </w:rPr>
              <w:t>Automated coverage: SemesterSetupWizardTest verifies selecting an existing semester, creating a new semester, and manual project creation.</w:t>
            </w:r>
          </w:p>
        </w:tc>
      </w:tr>
      <w:tr>
        <w:tc>
          <w:tcPr>
            <w:tcW w:type="dxa" w:w="1512"/>
            <w:vAlign w:val="top"/>
          </w:tcPr>
          <w:p>
            <w:pPr>
              <w:jc w:val="left"/>
            </w:pPr>
            <w:r/>
            <w:r>
              <w:rPr>
                <w:b/>
                <w:sz w:val="15"/>
              </w:rPr>
              <w:t>O6-T2</w:t>
            </w:r>
          </w:p>
        </w:tc>
        <w:tc>
          <w:tcPr>
            <w:tcW w:type="dxa" w:w="4536"/>
            <w:vAlign w:val="top"/>
          </w:tcPr>
          <w:p>
            <w:pPr>
              <w:jc w:val="left"/>
            </w:pPr>
            <w:r/>
            <w:r>
              <w:rPr>
                <w:b w:val="0"/>
                <w:sz w:val="15"/>
              </w:rPr>
              <w:t>Assign students, supervisors, and reviewers to projects, including safe student reassignment warnings.</w:t>
            </w:r>
          </w:p>
        </w:tc>
        <w:tc>
          <w:tcPr>
            <w:tcW w:type="dxa" w:w="792"/>
            <w:vAlign w:val="top"/>
          </w:tcPr>
          <w:p>
            <w:pPr>
              <w:jc w:val="left"/>
            </w:pPr>
            <w:r/>
            <w:r>
              <w:rPr>
                <w:b w:val="0"/>
                <w:sz w:val="15"/>
              </w:rPr>
              <w:t>H</w:t>
            </w:r>
          </w:p>
        </w:tc>
        <w:tc>
          <w:tcPr>
            <w:tcW w:type="dxa" w:w="1296"/>
            <w:vAlign w:val="top"/>
            <w:shd w:fill="D9EAD3"/>
          </w:tcPr>
          <w:p>
            <w:pPr>
              <w:jc w:val="left"/>
            </w:pPr>
            <w:r/>
            <w:r>
              <w:rPr>
                <w:b/>
                <w:sz w:val="15"/>
              </w:rPr>
              <w:t>Implemented</w:t>
            </w:r>
          </w:p>
        </w:tc>
        <w:tc>
          <w:tcPr>
            <w:tcW w:type="dxa" w:w="3960"/>
            <w:vAlign w:val="top"/>
          </w:tcPr>
          <w:p>
            <w:pPr>
              <w:jc w:val="left"/>
            </w:pPr>
            <w:r/>
            <w:r>
              <w:rPr>
                <w:b w:val="0"/>
                <w:sz w:val="15"/>
              </w:rPr>
              <w:t>ProjectResource fields assign supervisor; StudentsRelationManager attaches/moves students; ReviewersRelationManager attaches reviewers and blocks reviewer=same supervisor.</w:t>
            </w:r>
          </w:p>
        </w:tc>
        <w:tc>
          <w:tcPr>
            <w:tcW w:type="dxa" w:w="3960"/>
            <w:vAlign w:val="top"/>
          </w:tcPr>
          <w:p>
            <w:pPr>
              <w:jc w:val="left"/>
            </w:pPr>
            <w:r/>
            <w:r>
              <w:rPr>
                <w:b w:val="0"/>
                <w:sz w:val="15"/>
              </w:rPr>
              <w:t>Manual: attach students and reviewers; attempt reviewer same as supervisor and confirm validation blocks it; move a student from another project and confirm warning.</w:t>
            </w:r>
          </w:p>
        </w:tc>
      </w:tr>
      <w:tr>
        <w:tc>
          <w:tcPr>
            <w:tcW w:type="dxa" w:w="1512"/>
            <w:vAlign w:val="top"/>
          </w:tcPr>
          <w:p>
            <w:pPr>
              <w:jc w:val="left"/>
            </w:pPr>
            <w:r/>
            <w:r>
              <w:rPr>
                <w:b/>
                <w:sz w:val="15"/>
              </w:rPr>
              <w:t>O6-T3</w:t>
            </w:r>
          </w:p>
        </w:tc>
        <w:tc>
          <w:tcPr>
            <w:tcW w:type="dxa" w:w="4536"/>
            <w:vAlign w:val="top"/>
          </w:tcPr>
          <w:p>
            <w:pPr>
              <w:jc w:val="left"/>
            </w:pPr>
            <w:r/>
            <w:r>
              <w:rPr>
                <w:b w:val="0"/>
                <w:sz w:val="15"/>
              </w:rPr>
              <w:t>Enable proxy mark entry for unavailable evaluators while preserving attribution.</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ProxyEvaluationForm stores on_behalf_of_user_id and displays proxy banner. EvaluationResource shows Proxy By. Full activity-log attribution is not implemented yet.</w:t>
            </w:r>
          </w:p>
        </w:tc>
        <w:tc>
          <w:tcPr>
            <w:tcW w:type="dxa" w:w="3960"/>
            <w:vAlign w:val="top"/>
          </w:tcPr>
          <w:p>
            <w:pPr>
              <w:jc w:val="left"/>
            </w:pPr>
            <w:r/>
            <w:r>
              <w:rPr>
                <w:b w:val="0"/>
                <w:sz w:val="15"/>
              </w:rPr>
              <w:t>Manual: submit via Proxy Mark Entry and confirm on_behalf_of_user_id is set. Needed: assert activity-log entry after proxy submit.</w:t>
            </w:r>
          </w:p>
        </w:tc>
      </w:tr>
      <w:tr>
        <w:tc>
          <w:tcPr>
            <w:tcW w:type="dxa" w:w="1512"/>
            <w:vAlign w:val="top"/>
          </w:tcPr>
          <w:p>
            <w:pPr>
              <w:jc w:val="left"/>
            </w:pPr>
            <w:r/>
            <w:r>
              <w:rPr>
                <w:b/>
                <w:sz w:val="15"/>
              </w:rPr>
              <w:t>O6-T4</w:t>
            </w:r>
          </w:p>
        </w:tc>
        <w:tc>
          <w:tcPr>
            <w:tcW w:type="dxa" w:w="4536"/>
            <w:vAlign w:val="top"/>
          </w:tcPr>
          <w:p>
            <w:pPr>
              <w:jc w:val="left"/>
            </w:pPr>
            <w:r/>
            <w:r>
              <w:rPr>
                <w:b w:val="0"/>
                <w:sz w:val="15"/>
              </w:rPr>
              <w:t>Review, override, and finalize student marks across projects and semesters.</w:t>
            </w:r>
          </w:p>
        </w:tc>
        <w:tc>
          <w:tcPr>
            <w:tcW w:type="dxa" w:w="792"/>
            <w:vAlign w:val="top"/>
          </w:tcPr>
          <w:p>
            <w:pPr>
              <w:jc w:val="left"/>
            </w:pPr>
            <w:r/>
            <w:r>
              <w:rPr>
                <w:b w:val="0"/>
                <w:sz w:val="15"/>
              </w:rPr>
              <w:t>H</w:t>
            </w:r>
          </w:p>
        </w:tc>
        <w:tc>
          <w:tcPr>
            <w:tcW w:type="dxa" w:w="1296"/>
            <w:vAlign w:val="top"/>
            <w:shd w:fill="FFF2CC"/>
          </w:tcPr>
          <w:p>
            <w:pPr>
              <w:jc w:val="left"/>
            </w:pPr>
            <w:r/>
            <w:r>
              <w:rPr>
                <w:b/>
                <w:sz w:val="15"/>
              </w:rPr>
              <w:t>Partial</w:t>
            </w:r>
          </w:p>
        </w:tc>
        <w:tc>
          <w:tcPr>
            <w:tcW w:type="dxa" w:w="3960"/>
            <w:vAlign w:val="top"/>
          </w:tcPr>
          <w:p>
            <w:pPr>
              <w:jc w:val="left"/>
            </w:pPr>
            <w:r/>
            <w:r>
              <w:rPr>
                <w:b w:val="0"/>
                <w:sz w:val="15"/>
              </w:rPr>
              <w:t>ConsolidatedMarkResource supports review and override with required reason. Semesters can be closed. No separate final-mark finalization workflow or override audit log was found.</w:t>
            </w:r>
          </w:p>
        </w:tc>
        <w:tc>
          <w:tcPr>
            <w:tcW w:type="dxa" w:w="3960"/>
            <w:vAlign w:val="top"/>
          </w:tcPr>
          <w:p>
            <w:pPr>
              <w:jc w:val="left"/>
            </w:pPr>
            <w:r/>
            <w:r>
              <w:rPr>
                <w:b w:val="0"/>
                <w:sz w:val="15"/>
              </w:rPr>
              <w:t>Manual: override a mark and confirm final score changes. Needed: explicit finalization and audit test if final approval is required.</w:t>
            </w:r>
          </w:p>
        </w:tc>
      </w:tr>
      <w:tr>
        <w:tc>
          <w:tcPr>
            <w:tcW w:type="dxa" w:w="1512"/>
            <w:vAlign w:val="top"/>
          </w:tcPr>
          <w:p>
            <w:pPr>
              <w:jc w:val="left"/>
            </w:pPr>
            <w:r/>
            <w:r>
              <w:rPr>
                <w:b/>
                <w:sz w:val="15"/>
              </w:rPr>
              <w:t>O6-T5</w:t>
            </w:r>
          </w:p>
        </w:tc>
        <w:tc>
          <w:tcPr>
            <w:tcW w:type="dxa" w:w="4536"/>
            <w:vAlign w:val="top"/>
          </w:tcPr>
          <w:p>
            <w:pPr>
              <w:jc w:val="left"/>
            </w:pPr>
            <w:r/>
            <w:r>
              <w:rPr>
                <w:b w:val="0"/>
                <w:sz w:val="15"/>
              </w:rPr>
              <w:t>Monitor assessment progress and unlock submitted assessments when correction is required.</w:t>
            </w:r>
          </w:p>
        </w:tc>
        <w:tc>
          <w:tcPr>
            <w:tcW w:type="dxa" w:w="792"/>
            <w:vAlign w:val="top"/>
          </w:tcPr>
          <w:p>
            <w:pPr>
              <w:jc w:val="left"/>
            </w:pPr>
            <w:r/>
            <w:r>
              <w:rPr>
                <w:b w:val="0"/>
                <w:sz w:val="15"/>
              </w:rPr>
              <w:t>M</w:t>
            </w:r>
          </w:p>
        </w:tc>
        <w:tc>
          <w:tcPr>
            <w:tcW w:type="dxa" w:w="1296"/>
            <w:vAlign w:val="top"/>
            <w:shd w:fill="FFF2CC"/>
          </w:tcPr>
          <w:p>
            <w:pPr>
              <w:jc w:val="left"/>
            </w:pPr>
            <w:r/>
            <w:r>
              <w:rPr>
                <w:b/>
                <w:sz w:val="15"/>
              </w:rPr>
              <w:t>Partial</w:t>
            </w:r>
          </w:p>
        </w:tc>
        <w:tc>
          <w:tcPr>
            <w:tcW w:type="dxa" w:w="3960"/>
            <w:vAlign w:val="top"/>
          </w:tcPr>
          <w:p>
            <w:pPr>
              <w:jc w:val="left"/>
            </w:pPr>
            <w:r/>
            <w:r>
              <w:rPr>
                <w:b w:val="0"/>
                <w:sz w:val="15"/>
              </w:rPr>
              <w:t>EvaluationResource lists evaluation status, proxy user, unlocked user, and provides Unlock action that returns project to evaluating. Unlock notifications exist, but no activity-log write was found.</w:t>
            </w:r>
          </w:p>
        </w:tc>
        <w:tc>
          <w:tcPr>
            <w:tcW w:type="dxa" w:w="3960"/>
            <w:vAlign w:val="top"/>
          </w:tcPr>
          <w:p>
            <w:pPr>
              <w:jc w:val="left"/>
            </w:pPr>
            <w:r/>
            <w:r>
              <w:rPr>
                <w:b w:val="0"/>
                <w:sz w:val="15"/>
              </w:rPr>
              <w:t>Manual: unlock a submitted evaluation and confirm status changes to draft and consolidated marks are cleared. Needed: audit assertion for unlock.</w:t>
            </w:r>
          </w:p>
        </w:tc>
      </w:tr>
    </w:tbl>
    <w:p>
      <w:pPr>
        <w:pStyle w:val="Heading1"/>
      </w:pPr>
      <w:r>
        <w:rPr>
          <w:rFonts w:ascii="Arial" w:hAnsi="Arial"/>
        </w:rPr>
        <w:t>Open Gaps Before Claiming Full Completion</w:t>
      </w:r>
    </w:p>
    <w:p>
      <w:pPr>
        <w:pStyle w:val="ListBullet"/>
      </w:pPr>
      <w:r>
        <w:rPr>
          <w:sz w:val="18"/>
        </w:rPr>
        <w:t>Audit logging is not complete. The activity_log table and Recent Activity widget exist, but the app code does not write activity entries for mark changes, proxy submissions, unlocks, overrides, or report downloads.</w:t>
      </w:r>
    </w:p>
    <w:p>
      <w:pPr>
        <w:pStyle w:val="ListBullet"/>
      </w:pPr>
      <w:r>
        <w:rPr>
          <w:sz w:val="18"/>
        </w:rPr>
        <w:t>Autosave while typing is not implemented. Users must use Save Draft before leaving the assessment form.</w:t>
      </w:r>
    </w:p>
    <w:p>
      <w:pPr>
        <w:pStyle w:val="ListBullet"/>
      </w:pPr>
      <w:r>
        <w:rPr>
          <w:sz w:val="18"/>
        </w:rPr>
        <w:t>Trigger-based or event-based recalculation after every score change is not implemented. Consolidation runs after all evaluations are submitted, and unlock clears stale consolidated marks.</w:t>
      </w:r>
    </w:p>
    <w:p>
      <w:pPr>
        <w:pStyle w:val="ListBullet"/>
      </w:pPr>
      <w:r>
        <w:rPr>
          <w:sz w:val="18"/>
        </w:rPr>
        <w:t>Backup, redundancy, restore testing, and production monitoring are not implemented in the repository. Only the Laravel /up health route is configured.</w:t>
      </w:r>
    </w:p>
    <w:p>
      <w:pPr>
        <w:pStyle w:val="ListBullet"/>
      </w:pPr>
      <w:r>
        <w:rPr>
          <w:sz w:val="18"/>
        </w:rPr>
        <w:t>Report generation is implemented for final consolidated grades as CSV/PDF, not for a full per-review-stage academic report.</w:t>
      </w:r>
    </w:p>
    <w:p>
      <w:pPr>
        <w:pStyle w:val="ListBullet"/>
      </w:pPr>
      <w:r>
        <w:rPr>
          <w:sz w:val="18"/>
        </w:rPr>
        <w:t>Finalization is indirect through project completion and semester closure. There is no dedicated final-grade approval/finalize action with audit trail.</w:t>
      </w:r>
    </w:p>
    <w:p>
      <w:pPr>
        <w:pStyle w:val="Heading1"/>
      </w:pPr>
      <w:r>
        <w:rPr>
          <w:rFonts w:ascii="Arial" w:hAnsi="Arial"/>
        </w:rPr>
        <w:t>Evidence Reviewed</w:t>
      </w:r>
    </w:p>
    <w:tbl>
      <w:tblPr>
        <w:tblStyle w:val="TableGrid"/>
        <w:tblW w:type="auto" w:w="0"/>
        <w:jc w:val="center"/>
        <w:tblLook w:firstColumn="1" w:firstRow="1" w:lastColumn="0" w:lastRow="0" w:noHBand="0" w:noVBand="1" w:val="04A0"/>
      </w:tblPr>
      <w:tblGrid>
        <w:gridCol w:w="7769"/>
        <w:gridCol w:w="7769"/>
      </w:tblGrid>
      <w:tr>
        <w:tc>
          <w:tcPr>
            <w:tcW w:type="dxa" w:w="3456"/>
            <w:vAlign w:val="top"/>
            <w:shd w:fill="1F4E79"/>
          </w:tcPr>
          <w:p>
            <w:pPr>
              <w:jc w:val="left"/>
            </w:pPr>
            <w:r/>
            <w:r>
              <w:rPr>
                <w:b/>
                <w:color w:val="FFFFFF"/>
                <w:sz w:val="18"/>
              </w:rPr>
              <w:t>Area checked</w:t>
            </w:r>
          </w:p>
        </w:tc>
        <w:tc>
          <w:tcPr>
            <w:tcW w:type="dxa" w:w="11807"/>
            <w:vAlign w:val="top"/>
            <w:shd w:fill="1F4E79"/>
          </w:tcPr>
          <w:p>
            <w:pPr>
              <w:jc w:val="left"/>
            </w:pPr>
            <w:r/>
            <w:r>
              <w:rPr>
                <w:b/>
                <w:color w:val="FFFFFF"/>
                <w:sz w:val="18"/>
              </w:rPr>
              <w:t>Evidence source</w:t>
            </w:r>
          </w:p>
        </w:tc>
      </w:tr>
      <w:tr>
        <w:tc>
          <w:tcPr>
            <w:tcW w:type="dxa" w:w="3456"/>
            <w:vAlign w:val="top"/>
          </w:tcPr>
          <w:p>
            <w:pPr>
              <w:jc w:val="left"/>
            </w:pPr>
            <w:r/>
            <w:r>
              <w:rPr>
                <w:b/>
                <w:sz w:val="17"/>
              </w:rPr>
              <w:t>Authentication and role access</w:t>
            </w:r>
          </w:p>
        </w:tc>
        <w:tc>
          <w:tcPr>
            <w:tcW w:type="dxa" w:w="11807"/>
            <w:vAlign w:val="top"/>
          </w:tcPr>
          <w:p>
            <w:pPr>
              <w:jc w:val="left"/>
            </w:pPr>
            <w:r/>
            <w:r>
              <w:rPr>
                <w:b w:val="0"/>
                <w:sz w:val="17"/>
              </w:rPr>
              <w:t>app/Providers/Filament/*PanelProvider.php; app/Models/User.php; app/Http/Middleware/EnsurePanelAccess.php; config/fortify.php</w:t>
            </w:r>
          </w:p>
        </w:tc>
      </w:tr>
      <w:tr>
        <w:tc>
          <w:tcPr>
            <w:tcW w:type="dxa" w:w="3456"/>
            <w:vAlign w:val="top"/>
          </w:tcPr>
          <w:p>
            <w:pPr>
              <w:jc w:val="left"/>
            </w:pPr>
            <w:r/>
            <w:r>
              <w:rPr>
                <w:b/>
                <w:sz w:val="17"/>
              </w:rPr>
              <w:t>Evaluation entry</w:t>
            </w:r>
          </w:p>
        </w:tc>
        <w:tc>
          <w:tcPr>
            <w:tcW w:type="dxa" w:w="11807"/>
            <w:vAlign w:val="top"/>
          </w:tcPr>
          <w:p>
            <w:pPr>
              <w:jc w:val="left"/>
            </w:pPr>
            <w:r/>
            <w:r>
              <w:rPr>
                <w:b w:val="0"/>
                <w:sz w:val="17"/>
              </w:rPr>
              <w:t>app/Filament/Staff/Pages/EvaluationForm.php; app/Filament/Concerns/BuildsEvaluationForm.php; app/Services/EvaluationService.php</w:t>
            </w:r>
          </w:p>
        </w:tc>
      </w:tr>
      <w:tr>
        <w:tc>
          <w:tcPr>
            <w:tcW w:type="dxa" w:w="3456"/>
            <w:vAlign w:val="top"/>
          </w:tcPr>
          <w:p>
            <w:pPr>
              <w:jc w:val="left"/>
            </w:pPr>
            <w:r/>
            <w:r>
              <w:rPr>
                <w:b/>
                <w:sz w:val="17"/>
              </w:rPr>
              <w:t>Evaluation generation and monitoring</w:t>
            </w:r>
          </w:p>
        </w:tc>
        <w:tc>
          <w:tcPr>
            <w:tcW w:type="dxa" w:w="11807"/>
            <w:vAlign w:val="top"/>
          </w:tcPr>
          <w:p>
            <w:pPr>
              <w:jc w:val="left"/>
            </w:pPr>
            <w:r/>
            <w:r>
              <w:rPr>
                <w:b w:val="0"/>
                <w:sz w:val="17"/>
              </w:rPr>
              <w:t>app/Actions/GenerateProjectEvaluations.php; app/Filament/Admin/Resources/EvaluationResource.php</w:t>
            </w:r>
          </w:p>
        </w:tc>
      </w:tr>
      <w:tr>
        <w:tc>
          <w:tcPr>
            <w:tcW w:type="dxa" w:w="3456"/>
            <w:vAlign w:val="top"/>
          </w:tcPr>
          <w:p>
            <w:pPr>
              <w:jc w:val="left"/>
            </w:pPr>
            <w:r/>
            <w:r>
              <w:rPr>
                <w:b/>
                <w:sz w:val="17"/>
              </w:rPr>
              <w:t>Proxy marking</w:t>
            </w:r>
          </w:p>
        </w:tc>
        <w:tc>
          <w:tcPr>
            <w:tcW w:type="dxa" w:w="11807"/>
            <w:vAlign w:val="top"/>
          </w:tcPr>
          <w:p>
            <w:pPr>
              <w:jc w:val="left"/>
            </w:pPr>
            <w:r/>
            <w:r>
              <w:rPr>
                <w:b w:val="0"/>
                <w:sz w:val="17"/>
              </w:rPr>
              <w:t>app/Filament/Admin/Pages/ProxyEvaluationForm.php; resources/views/filament/admin/pages/proxy-evaluation-form.blade.php</w:t>
            </w:r>
          </w:p>
        </w:tc>
      </w:tr>
      <w:tr>
        <w:tc>
          <w:tcPr>
            <w:tcW w:type="dxa" w:w="3456"/>
            <w:vAlign w:val="top"/>
          </w:tcPr>
          <w:p>
            <w:pPr>
              <w:jc w:val="left"/>
            </w:pPr>
            <w:r/>
            <w:r>
              <w:rPr>
                <w:b/>
                <w:sz w:val="17"/>
              </w:rPr>
              <w:t>Consolidation and overrides</w:t>
            </w:r>
          </w:p>
        </w:tc>
        <w:tc>
          <w:tcPr>
            <w:tcW w:type="dxa" w:w="11807"/>
            <w:vAlign w:val="top"/>
          </w:tcPr>
          <w:p>
            <w:pPr>
              <w:jc w:val="left"/>
            </w:pPr>
            <w:r/>
            <w:r>
              <w:rPr>
                <w:b w:val="0"/>
                <w:sz w:val="17"/>
              </w:rPr>
              <w:t>app/Services/GradeConsolidationService.php; app/Filament/Admin/Resources/ConsolidatedMarkResource.php</w:t>
            </w:r>
          </w:p>
        </w:tc>
      </w:tr>
      <w:tr>
        <w:tc>
          <w:tcPr>
            <w:tcW w:type="dxa" w:w="3456"/>
            <w:vAlign w:val="top"/>
          </w:tcPr>
          <w:p>
            <w:pPr>
              <w:jc w:val="left"/>
            </w:pPr>
            <w:r/>
            <w:r>
              <w:rPr>
                <w:b/>
                <w:sz w:val="17"/>
              </w:rPr>
              <w:t>Reports and export</w:t>
            </w:r>
          </w:p>
        </w:tc>
        <w:tc>
          <w:tcPr>
            <w:tcW w:type="dxa" w:w="11807"/>
            <w:vAlign w:val="top"/>
          </w:tcPr>
          <w:p>
            <w:pPr>
              <w:jc w:val="left"/>
            </w:pPr>
            <w:r/>
            <w:r>
              <w:rPr>
                <w:b w:val="0"/>
                <w:sz w:val="17"/>
              </w:rPr>
              <w:t>app/Filament/Admin/Pages/GradeExport.php; resources/views/pdf/grade-report.blade.php</w:t>
            </w:r>
          </w:p>
        </w:tc>
      </w:tr>
      <w:tr>
        <w:tc>
          <w:tcPr>
            <w:tcW w:type="dxa" w:w="3456"/>
            <w:vAlign w:val="top"/>
          </w:tcPr>
          <w:p>
            <w:pPr>
              <w:jc w:val="left"/>
            </w:pPr>
            <w:r/>
            <w:r>
              <w:rPr>
                <w:b/>
                <w:sz w:val="17"/>
              </w:rPr>
              <w:t>Semester/project lifecycle</w:t>
            </w:r>
          </w:p>
        </w:tc>
        <w:tc>
          <w:tcPr>
            <w:tcW w:type="dxa" w:w="11807"/>
            <w:vAlign w:val="top"/>
          </w:tcPr>
          <w:p>
            <w:pPr>
              <w:jc w:val="left"/>
            </w:pPr>
            <w:r/>
            <w:r>
              <w:rPr>
                <w:b w:val="0"/>
                <w:sz w:val="17"/>
              </w:rPr>
              <w:t>app/Filament/Admin/Resources/SemesterResource.php; app/Filament/Admin/Resources/ProjectResource.php; app/Filament/Admin/Pages/SemesterSetupWizard.php</w:t>
            </w:r>
          </w:p>
        </w:tc>
      </w:tr>
      <w:tr>
        <w:tc>
          <w:tcPr>
            <w:tcW w:type="dxa" w:w="3456"/>
            <w:vAlign w:val="top"/>
          </w:tcPr>
          <w:p>
            <w:pPr>
              <w:jc w:val="left"/>
            </w:pPr>
            <w:r/>
            <w:r>
              <w:rPr>
                <w:b/>
                <w:sz w:val="17"/>
              </w:rPr>
              <w:t>Audit gap check</w:t>
            </w:r>
          </w:p>
        </w:tc>
        <w:tc>
          <w:tcPr>
            <w:tcW w:type="dxa" w:w="11807"/>
            <w:vAlign w:val="top"/>
          </w:tcPr>
          <w:p>
            <w:pPr>
              <w:jc w:val="left"/>
            </w:pPr>
            <w:r/>
            <w:r>
              <w:rPr>
                <w:b w:val="0"/>
                <w:sz w:val="17"/>
              </w:rPr>
              <w:t>app/Filament/Admin/Widgets/RecentActivityWidget.php reads activities; code search found no activity() or LogsActivity writes under app/.</w:t>
            </w:r>
          </w:p>
        </w:tc>
      </w:tr>
      <w:tr>
        <w:tc>
          <w:tcPr>
            <w:tcW w:type="dxa" w:w="3456"/>
            <w:vAlign w:val="top"/>
          </w:tcPr>
          <w:p>
            <w:pPr>
              <w:jc w:val="left"/>
            </w:pPr>
            <w:r/>
            <w:r>
              <w:rPr>
                <w:b/>
                <w:sz w:val="17"/>
              </w:rPr>
              <w:t>Verification run</w:t>
            </w:r>
          </w:p>
        </w:tc>
        <w:tc>
          <w:tcPr>
            <w:tcW w:type="dxa" w:w="11807"/>
            <w:vAlign w:val="top"/>
          </w:tcPr>
          <w:p>
            <w:pPr>
              <w:jc w:val="left"/>
            </w:pPr>
            <w:r/>
            <w:r>
              <w:rPr>
                <w:b w:val="0"/>
                <w:sz w:val="17"/>
              </w:rPr>
              <w:t>php artisan test - 35 tests passed, 144 assertions.</w:t>
            </w:r>
          </w:p>
        </w:tc>
      </w:tr>
    </w:tbl>
    <w:p>
      <w:pPr>
        <w:pStyle w:val="Heading1"/>
      </w:pPr>
      <w:r>
        <w:rPr>
          <w:rFonts w:ascii="Arial" w:hAnsi="Arial"/>
        </w:rPr>
        <w:t>Verification Result</w:t>
      </w:r>
    </w:p>
    <w:p>
      <w:r>
        <w:rPr>
          <w:b/>
        </w:rPr>
        <w:t xml:space="preserve">Automated test run: </w:t>
      </w:r>
      <w:r>
        <w:t>php artisan test completed successfully with 35 tests passed and 144 assertions. The test suite confirms several setup/import/database behaviors, but it does not cover every tracking-sheet objective, especially audit logging, autosave, backups, and finalization.</w:t>
      </w:r>
    </w:p>
    <w:p>
      <w:pPr>
        <w:pStyle w:val="Heading1"/>
      </w:pPr>
      <w:r>
        <w:rPr>
          <w:rFonts w:ascii="Arial" w:hAnsi="Arial"/>
        </w:rPr>
        <w:t>Attached Screenshot Objective</w:t>
      </w:r>
    </w:p>
    <w:p>
      <w:r>
        <w:t>The screenshot was treated as Objective 6, not as evidence for Objectives 1-5. Its content was transcribed into the corrected tracking sheet above.</w:t>
      </w:r>
    </w:p>
    <w:p>
      <w:r>
        <w:drawing>
          <wp:inline xmlns:a="http://schemas.openxmlformats.org/drawingml/2006/main" xmlns:pic="http://schemas.openxmlformats.org/drawingml/2006/picture">
            <wp:extent cx="8961120" cy="3108388"/>
            <wp:docPr id="1" name="Picture 1"/>
            <wp:cNvGraphicFramePr>
              <a:graphicFrameLocks noChangeAspect="1"/>
            </wp:cNvGraphicFramePr>
            <a:graphic>
              <a:graphicData uri="http://schemas.openxmlformats.org/drawingml/2006/picture">
                <pic:pic>
                  <pic:nvPicPr>
                    <pic:cNvPr id="0" name="WhatsApp Image 2026-05-10 at 22.05.09.jpeg"/>
                    <pic:cNvPicPr/>
                  </pic:nvPicPr>
                  <pic:blipFill>
                    <a:blip r:embed="rId9"/>
                    <a:stretch>
                      <a:fillRect/>
                    </a:stretch>
                  </pic:blipFill>
                  <pic:spPr>
                    <a:xfrm>
                      <a:off x="0" y="0"/>
                      <a:ext cx="8961120" cy="3108388"/>
                    </a:xfrm>
                    <a:prstGeom prst="rect"/>
                  </pic:spPr>
                </pic:pic>
              </a:graphicData>
            </a:graphic>
          </wp:inline>
        </w:drawing>
      </w:r>
    </w:p>
    <w:p>
      <w:pPr>
        <w:jc w:val="center"/>
      </w:pPr>
      <w:r>
        <w:rPr>
          <w:i/>
          <w:sz w:val="16"/>
        </w:rPr>
        <w:t>End of corrected tracing sheet</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