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p>
    <w:p>
      <w:pPr>
        <w:spacing w:after="40" w:line="290"/>
        <w:jc w:val="center"/>
      </w:pPr>
      <w:r>
        <w:rPr>
          <w:rFonts w:ascii="Times New Roman" w:cs="Times New Roman" w:eastAsia="Times New Roman" w:hAnsi="Times New Roman"/>
          <w:b/>
          <w:bCs/>
          <w:sz w:val="24"/>
          <w:szCs w:val="24"/>
        </w:rPr>
        <w:t xml:space="preserve">Information and Communication Technology Division</w:t>
      </w:r>
    </w:p>
    <w:p>
      <w:pPr>
        <w:spacing w:after="40" w:line="290"/>
        <w:jc w:val="center"/>
      </w:pPr>
      <w:r>
        <w:rPr>
          <w:rFonts w:ascii="Times New Roman" w:cs="Times New Roman" w:eastAsia="Times New Roman" w:hAnsi="Times New Roman"/>
          <w:b/>
          <w:bCs/>
          <w:sz w:val="22"/>
          <w:szCs w:val="22"/>
        </w:rPr>
        <w:t xml:space="preserve">Ministry of Posts, Telecommunications and Information Technology</w:t>
      </w:r>
    </w:p>
    <w:p>
      <w:pPr>
        <w:spacing w:after="300" w:line="290"/>
        <w:jc w:val="center"/>
      </w:pPr>
      <w:r>
        <w:rPr>
          <w:rFonts w:ascii="Times New Roman" w:cs="Times New Roman" w:eastAsia="Times New Roman" w:hAnsi="Times New Roman"/>
          <w:sz w:val="22"/>
          <w:szCs w:val="22"/>
        </w:rPr>
        <w:t xml:space="preserve">Government of the People’s Republic of Bangladesh</w:t>
      </w:r>
    </w:p>
    <w:p>
      <w:pPr>
        <w:spacing w:after="60" w:line="290"/>
        <w:jc w:val="center"/>
      </w:pPr>
      <w:r>
        <w:rPr>
          <w:rFonts w:ascii="Times New Roman" w:cs="Times New Roman" w:eastAsia="Times New Roman" w:hAnsi="Times New Roman"/>
          <w:i/>
          <w:iCs/>
          <w:sz w:val="22"/>
          <w:szCs w:val="22"/>
        </w:rPr>
        <w:t xml:space="preserve">Grant for Innovative Works — Fiscal Year 2026–27</w:t>
      </w:r>
    </w:p>
    <w:p>
      <w:pPr>
        <w:spacing w:after="420" w:line="290"/>
        <w:jc w:val="center"/>
      </w:pPr>
      <w:r>
        <w:rPr>
          <w:rFonts w:ascii="Times New Roman" w:cs="Times New Roman" w:eastAsia="Times New Roman" w:hAnsi="Times New Roman"/>
          <w:i/>
          <w:iCs/>
          <w:sz w:val="22"/>
          <w:szCs w:val="22"/>
        </w:rPr>
        <w:t xml:space="preserve">Full Project Proposal</w:t>
      </w:r>
    </w:p>
    <w:p>
      <w:pPr>
        <w:spacing w:after="90"/>
        <w:jc w:val="center"/>
      </w:pPr>
      <w:r>
        <w:rPr>
          <w:rFonts w:ascii="Times New Roman" w:cs="Times New Roman" w:eastAsia="Times New Roman" w:hAnsi="Times New Roman"/>
          <w:b/>
          <w:bCs/>
          <w:color w:val="1F3864"/>
          <w:sz w:val="48"/>
          <w:szCs w:val="48"/>
        </w:rPr>
        <w:t xml:space="preserve">DHARA</w:t>
      </w:r>
    </w:p>
    <w:p>
      <w:pPr>
        <w:spacing w:after="0" w:line="290"/>
        <w:jc w:val="center"/>
      </w:pPr>
      <w:r>
        <w:rPr>
          <w:rFonts w:ascii="Times New Roman" w:cs="Times New Roman" w:eastAsia="Times New Roman" w:hAnsi="Times New Roman"/>
          <w:b/>
          <w:bCs/>
          <w:sz w:val="26"/>
          <w:szCs w:val="26"/>
        </w:rPr>
        <w:t xml:space="preserve">Amendment-Aware Retrieval-Augmented Generation</w:t>
      </w:r>
    </w:p>
    <w:p>
      <w:pPr>
        <w:spacing w:after="160" w:line="290"/>
        <w:jc w:val="center"/>
      </w:pPr>
      <w:r>
        <w:rPr>
          <w:rFonts w:ascii="Times New Roman" w:cs="Times New Roman" w:eastAsia="Times New Roman" w:hAnsi="Times New Roman"/>
          <w:b/>
          <w:bCs/>
          <w:sz w:val="26"/>
          <w:szCs w:val="26"/>
        </w:rPr>
        <w:t xml:space="preserve">for Bangladeshi Legal Text</w:t>
      </w:r>
    </w:p>
    <w:p>
      <w:pPr>
        <w:spacing w:after="120" w:line="290"/>
        <w:jc w:val="center"/>
      </w:pPr>
      <w:r>
        <w:rPr>
          <w:rFonts w:ascii="Times New Roman" w:cs="Times New Roman" w:eastAsia="Times New Roman" w:hAnsi="Times New Roman"/>
          <w:i/>
          <w:iCs/>
          <w:sz w:val="20"/>
          <w:szCs w:val="20"/>
        </w:rPr>
        <w:t xml:space="preserve">ধারা — a section of an Act; also, a flowing stream</w:t>
      </w:r>
    </w:p>
    <w:p>
      <w:pPr>
        <w:spacing w:after="400" w:line="290"/>
        <w:jc w:val="center"/>
      </w:pPr>
      <w:r>
        <w:rPr>
          <w:rFonts w:ascii="Times New Roman" w:cs="Times New Roman" w:eastAsia="Times New Roman" w:hAnsi="Times New Roman"/>
          <w:i/>
          <w:iCs/>
          <w:sz w:val="21"/>
          <w:szCs w:val="21"/>
        </w:rPr>
        <w:t xml:space="preserve">A national legal knowledge infrastructure that answers what the law said on any given date, in Bangla and English, with every sentence cited.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Field</w:t>
            </w:r>
          </w:p>
        </w:tc>
        <w:tc>
          <w:tcPr>
            <w:tcW w:type="dxa" w:w="62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Detail</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Project title</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Dhara — Amendment-Aware Retrieval-Augmented Generation for Bangladeshi Legal Text</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Thematic domain</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LegalTech / Artificial Intelligence / Digital Public Infrastructure</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Funding programme</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Innovation Fund (Grant for Innovative Works), FY 2026–27</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Grant tier applied for</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Small — proof of concept to working public release</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Amount requested</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BDT 4,85,000 (Four lakh eighty-five thousand taka only)</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Implementation period</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Six (6) months from date of first disbursement</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Applicants</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Sazidur Rahman Mahin (Roll 1414); Shah Alam Abir (Roll 1439)</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Institution</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Institute of Information Technology, University of Dhaka</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Date of submission</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[to be entered on submission]</w:t>
            </w:r>
          </w:p>
        </w:tc>
      </w:tr>
    </w:tbl>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Executive Summary</w:t>
      </w:r>
    </w:p>
    <w:p>
      <w:pPr>
        <w:spacing w:after="130" w:line="290"/>
        <w:jc w:val="both"/>
      </w:pPr>
      <w:r>
        <w:rPr>
          <w:rFonts w:ascii="Times New Roman" w:cs="Times New Roman" w:eastAsia="Times New Roman" w:hAnsi="Times New Roman"/>
          <w:sz w:val="22"/>
          <w:szCs w:val="22"/>
        </w:rPr>
        <w:t xml:space="preserve">Bangladesh’s judiciary carried 46,39,476 pending cases as of 31 March 2026, of which 40,78,432 sat in the lower courts. Roughly 2,301 subordinate judges carry that load — about 1,756 cases each. Clearing the subordinate backlog within a single year, assuming no new filings, would require approximately 6,300 judges, close to three times the present bench. Recruitment alone cannot close a gap of that size.</w:t>
      </w:r>
    </w:p>
    <w:p>
      <w:pPr>
        <w:spacing w:after="130" w:line="290"/>
        <w:jc w:val="both"/>
      </w:pPr>
      <w:r>
        <w:rPr>
          <w:rFonts w:ascii="Times New Roman" w:cs="Times New Roman" w:eastAsia="Times New Roman" w:hAnsi="Times New Roman"/>
          <w:sz w:val="22"/>
          <w:szCs w:val="22"/>
        </w:rPr>
        <w:t xml:space="preserve">Backlog has many causes, and most of them are not software problems. One, however, is. Bangladeshi statutory law is difficult to search and impossible to search correctly with respect to time. A dispute is decided by the law as it stood on the date the cause of action arose, yet every system available in Bangladesh today returns only the current consolidated text.</w:t>
      </w:r>
    </w:p>
    <w:p>
      <w:pPr>
        <w:spacing w:after="130" w:line="290"/>
        <w:jc w:val="both"/>
      </w:pPr>
      <w:r>
        <w:rPr>
          <w:rFonts w:ascii="Times New Roman" w:cs="Times New Roman" w:eastAsia="Times New Roman" w:hAnsi="Times New Roman"/>
          <w:sz w:val="22"/>
          <w:szCs w:val="22"/>
        </w:rPr>
        <w:t xml:space="preserve">Dhara closes that specific gap. It is a bilingual retrieval-augmented generation system over the Bangladesh Code in which every provision carries an explicit validity interval, every query carries an as-of date, and date filtering is applied at the database level before ranking occurs. A superseded provision therefore cannot enter the answer. Every sentence the system produces is bound to a specific provision and verified against the retrieved set; where grounding is insufficient the system abstains rather than answering.</w:t>
      </w:r>
    </w:p>
    <w:p>
      <w:pPr>
        <w:spacing w:after="130" w:line="290"/>
        <w:jc w:val="both"/>
      </w:pPr>
      <w:r>
        <w:rPr>
          <w:rFonts w:ascii="Times New Roman" w:cs="Times New Roman" w:eastAsia="Times New Roman" w:hAnsi="Times New Roman"/>
          <w:sz w:val="22"/>
          <w:szCs w:val="22"/>
        </w:rPr>
        <w:t xml:space="preserve">The proposal is deliberately narrow and deliverable. Structured corpora of Bangladeshi statute already exist under open licences, so no grant money is spent rebuilding them. The requested funds go into the one layer nobody has built — converting amendment footnotes into dated validity intervals — and into verifying the result with practising advocates before public release.</w:t>
      </w:r>
    </w:p>
    <w:p>
      <w:pPr>
        <w:spacing w:after="130" w:line="290"/>
        <w:jc w:val="both"/>
      </w:pPr>
      <w:r>
        <w:rPr>
          <w:rFonts w:ascii="Times New Roman" w:cs="Times New Roman" w:eastAsia="Times New Roman" w:hAnsi="Times New Roman"/>
          <w:sz w:val="22"/>
          <w:szCs w:val="22"/>
        </w:rPr>
        <w:t xml:space="preserve">The project requests BDT 4,85,000 over six months. No funds are allocated to corpus construction, because an openly licensed structured corpus already exists; after the development stipend, the single largest item is advocate verification, because the project does not propose to release legal outputs that no qualified lawyer has examined. On completion, the structured corpus, the public API and the evaluation benchmark are handed over to the ICT Division as public digital infrastructure, in accordance with Article 21.5 of the Innovation Fund policy, and released under an open licence so that any subsequent Bangladeshi legal-technology effort can build on them.</w:t>
      </w:r>
    </w:p>
    <w:p>
      <w:pPr>
        <w:pStyle w:val="Heading1"/>
        <w:spacing w:after="150" w:before="320"/>
      </w:pPr>
      <w:r>
        <w:rPr>
          <w:rFonts w:ascii="Times New Roman" w:cs="Times New Roman" w:eastAsia="Times New Roman" w:hAnsi="Times New Roman"/>
          <w:b/>
          <w:bCs/>
          <w:color w:val="1F3864"/>
          <w:sz w:val="28"/>
          <w:szCs w:val="28"/>
        </w:rPr>
        <w:t xml:space="preserve">1. Introduction and Problem Statement</w:t>
      </w:r>
    </w:p>
    <w:p>
      <w:pPr>
        <w:pStyle w:val="Heading2"/>
        <w:spacing w:after="110" w:before="230"/>
      </w:pPr>
      <w:r>
        <w:rPr>
          <w:rFonts w:ascii="Times New Roman" w:cs="Times New Roman" w:eastAsia="Times New Roman" w:hAnsi="Times New Roman"/>
          <w:b/>
          <w:bCs/>
          <w:color w:val="2E4E7E"/>
          <w:sz w:val="24"/>
          <w:szCs w:val="24"/>
        </w:rPr>
        <w:t xml:space="preserve">1.1 The visible problem</w:t>
      </w:r>
    </w:p>
    <w:p>
      <w:pPr>
        <w:spacing w:after="130" w:line="290"/>
        <w:jc w:val="both"/>
      </w:pPr>
      <w:r>
        <w:rPr>
          <w:rFonts w:ascii="Times New Roman" w:cs="Times New Roman" w:eastAsia="Times New Roman" w:hAnsi="Times New Roman"/>
          <w:sz w:val="22"/>
          <w:szCs w:val="22"/>
        </w:rPr>
        <w:t xml:space="preserve">As of 31 March 2026, 46,39,476 cases were pending across all levels of the Bangladeshi judiciary: 38,713 before the Appellate Division, 5,22,331 before the High Court Division, and 40,78,432 in the lower courts. The civil–criminal split is approximately 18,13,263 civil and 28,26,213 criminal matters. Nearly 700,000 disputes have been pending in district courts for more than five years.</w:t>
      </w:r>
    </w:p>
    <w:p>
      <w:pPr>
        <w:spacing w:after="130" w:line="290"/>
        <w:jc w:val="both"/>
      </w:pPr>
      <w:r>
        <w:rPr>
          <w:rFonts w:ascii="Times New Roman" w:cs="Times New Roman" w:eastAsia="Times New Roman" w:hAnsi="Times New Roman"/>
          <w:sz w:val="22"/>
          <w:szCs w:val="22"/>
        </w:rPr>
        <w:t xml:space="preserve">Against this, the subordinate judiciary fields roughly 2,301 judges, giving an average caseload of about 1,756 cases per judge. Clearing the subordinate backlog in one year, with no new filings, would require on the order of 6,300 judges.</w:t>
      </w:r>
    </w:p>
    <w:p>
      <w:pPr>
        <w:pStyle w:val="Heading2"/>
        <w:spacing w:after="110" w:before="230"/>
      </w:pPr>
      <w:r>
        <w:rPr>
          <w:rFonts w:ascii="Times New Roman" w:cs="Times New Roman" w:eastAsia="Times New Roman" w:hAnsi="Times New Roman"/>
          <w:b/>
          <w:bCs/>
          <w:color w:val="2E4E7E"/>
          <w:sz w:val="24"/>
          <w:szCs w:val="24"/>
        </w:rPr>
        <w:t xml:space="preserve">1.2 The addressable problem</w:t>
      </w:r>
    </w:p>
    <w:p>
      <w:pPr>
        <w:spacing w:after="130" w:line="290"/>
        <w:jc w:val="both"/>
      </w:pPr>
      <w:r>
        <w:rPr>
          <w:rFonts w:ascii="Times New Roman" w:cs="Times New Roman" w:eastAsia="Times New Roman" w:hAnsi="Times New Roman"/>
          <w:sz w:val="22"/>
          <w:szCs w:val="22"/>
        </w:rPr>
        <w:t xml:space="preserve">This project does not claim that software can resolve judicial backlog. Judge shortage, procedural delay and adjournment practice dominate, and none of them is a software problem. One contributing factor, however, is squarely within the reach of software, and it is the one addressed here.</w:t>
      </w:r>
    </w:p>
    <w:p>
      <w:pPr>
        <w:spacing w:after="130" w:line="290"/>
        <w:jc w:val="both"/>
      </w:pPr>
      <w:r>
        <w:rPr>
          <w:rFonts w:ascii="Times New Roman" w:cs="Times New Roman" w:eastAsia="Times New Roman" w:hAnsi="Times New Roman"/>
          <w:sz w:val="22"/>
          <w:szCs w:val="22"/>
        </w:rPr>
        <w:t xml:space="preserve">Three distinct failures compound in Bangladeshi statutory search:</w:t>
      </w:r>
    </w:p>
    <w:p>
      <w:pPr>
        <w:pStyle w:val="ListParagraph"/>
        <w:numPr>
          <w:ilvl w:val="0"/>
          <w:numId w:val="2"/>
        </w:numPr>
        <w:spacing w:after="85" w:line="285"/>
      </w:pPr>
      <w:r>
        <w:rPr>
          <w:rFonts w:ascii="Times New Roman" w:cs="Times New Roman" w:eastAsia="Times New Roman" w:hAnsi="Times New Roman"/>
          <w:sz w:val="22"/>
          <w:szCs w:val="22"/>
        </w:rPr>
        <w:t xml:space="preserve">Amendment footnotes without commencement dates. The official Bangladesh Code portal does annotate amended provisions. A typical footnote reads: “The words ‘and two Taka note’ were inserted by section 2 of the Bangladesh Currency (Amendment) Act, 1989 (Act No. II of 1989).” The footnote names the amending instrument, but not the date on which the amendment took effect, and the superseded text itself is not reproduced. It is therefore not possible, from the portal alone, to reconstruct what a provision said on a given past date.</w:t>
      </w:r>
    </w:p>
    <w:p>
      <w:pPr>
        <w:pStyle w:val="ListParagraph"/>
        <w:numPr>
          <w:ilvl w:val="0"/>
          <w:numId w:val="2"/>
        </w:numPr>
        <w:spacing w:after="85" w:line="285"/>
      </w:pPr>
      <w:r>
        <w:rPr>
          <w:rFonts w:ascii="Times New Roman" w:cs="Times New Roman" w:eastAsia="Times New Roman" w:hAnsi="Times New Roman"/>
          <w:sz w:val="22"/>
          <w:szCs w:val="22"/>
        </w:rPr>
        <w:t xml:space="preserve">Keyword-only retrieval. Bangla is morphologically rich and legal Bangla is highly synonymous. A query phrased around unpaid wages will not surface a provision drafted around an equivalent term, and a Bangla query cannot reach an English-drafted section. Cross-lingual search is not available.</w:t>
      </w:r>
    </w:p>
    <w:p>
      <w:pPr>
        <w:pStyle w:val="ListParagraph"/>
        <w:numPr>
          <w:ilvl w:val="0"/>
          <w:numId w:val="2"/>
        </w:numPr>
        <w:spacing w:after="85" w:line="285"/>
      </w:pPr>
      <w:r>
        <w:rPr>
          <w:rFonts w:ascii="Times New Roman" w:cs="Times New Roman" w:eastAsia="Times New Roman" w:hAnsi="Times New Roman"/>
          <w:sz w:val="22"/>
          <w:szCs w:val="22"/>
        </w:rPr>
        <w:t xml:space="preserve">No programmatic access at scale. Provisions are served as HTML pages. There is no public API, no bulk export and no structured representation, so no downstream system can filter, compare or version them programmatically.</w:t>
      </w:r>
    </w:p>
    <w:p>
      <w:pPr>
        <w:pStyle w:val="Heading2"/>
        <w:spacing w:after="110" w:before="230"/>
      </w:pPr>
      <w:r>
        <w:rPr>
          <w:rFonts w:ascii="Times New Roman" w:cs="Times New Roman" w:eastAsia="Times New Roman" w:hAnsi="Times New Roman"/>
          <w:b/>
          <w:bCs/>
          <w:color w:val="2E4E7E"/>
          <w:sz w:val="24"/>
          <w:szCs w:val="24"/>
        </w:rPr>
        <w:t xml:space="preserve">1.3 Why it matters</w:t>
      </w:r>
    </w:p>
    <w:p>
      <w:pPr>
        <w:spacing w:after="130" w:line="290"/>
        <w:jc w:val="both"/>
      </w:pPr>
      <w:r>
        <w:rPr>
          <w:rFonts w:ascii="Times New Roman" w:cs="Times New Roman" w:eastAsia="Times New Roman" w:hAnsi="Times New Roman"/>
          <w:sz w:val="22"/>
          <w:szCs w:val="22"/>
        </w:rPr>
        <w:t xml:space="preserve">The consequences fall unevenly. A senior advocate in Dhaka absorbs these limitations through experience and paid subscriptions. A junior lawyer in a district town, a legal aid officer and a self-represented litigant cannot. The cost of authoritative legal research therefore tracks income and geography.</w:t>
      </w:r>
    </w:p>
    <w:p>
      <w:pPr>
        <w:spacing w:after="130" w:line="290"/>
        <w:jc w:val="both"/>
      </w:pPr>
      <w:r>
        <w:rPr>
          <w:rFonts w:ascii="Times New Roman" w:cs="Times New Roman" w:eastAsia="Times New Roman" w:hAnsi="Times New Roman"/>
          <w:sz w:val="22"/>
          <w:szCs w:val="22"/>
        </w:rPr>
        <w:t xml:space="preserve">There is also a direct correctness risk, and it is growing. General-purpose language models are already being used for legal questions in Bangladesh. They answer confidently, fabricate section numbers, and possess no verified knowledge of Bangladesh-specific amendment history. Measured rates of fabricated citations and holdings in general-purpose models answering legal queries are high enough to constitute a practical hazard. The responsible technical answer is not to avoid AI in this domain, but to build a system that is structurally incapable of speaking outside retrieved, dated, verifiable text.</w:t>
      </w:r>
    </w:p>
    <w:p>
      <w:pPr>
        <w:pStyle w:val="Heading1"/>
        <w:spacing w:after="150" w:before="320"/>
      </w:pPr>
      <w:r>
        <w:rPr>
          <w:rFonts w:ascii="Times New Roman" w:cs="Times New Roman" w:eastAsia="Times New Roman" w:hAnsi="Times New Roman"/>
          <w:b/>
          <w:bCs/>
          <w:color w:val="1F3864"/>
          <w:sz w:val="28"/>
          <w:szCs w:val="28"/>
        </w:rPr>
        <w:t xml:space="preserve">2. Objectives of the Project</w:t>
      </w:r>
    </w:p>
    <w:p>
      <w:pPr>
        <w:spacing w:after="90" w:before="170"/>
      </w:pPr>
      <w:r>
        <w:rPr>
          <w:rFonts w:ascii="Times New Roman" w:cs="Times New Roman" w:eastAsia="Times New Roman" w:hAnsi="Times New Roman"/>
          <w:b/>
          <w:bCs/>
          <w:color w:val="2E4E7E"/>
          <w:sz w:val="22"/>
          <w:szCs w:val="22"/>
        </w:rPr>
        <w:t xml:space="preserve">General objective</w:t>
      </w:r>
    </w:p>
    <w:p>
      <w:pPr>
        <w:spacing w:after="130" w:line="290"/>
        <w:jc w:val="both"/>
      </w:pPr>
      <w:r>
        <w:rPr>
          <w:rFonts w:ascii="Times New Roman" w:cs="Times New Roman" w:eastAsia="Times New Roman" w:hAnsi="Times New Roman"/>
          <w:sz w:val="22"/>
          <w:szCs w:val="22"/>
        </w:rPr>
        <w:t xml:space="preserve">To design, build, validate and publicly release an amendment-aware legal retrieval system for Bangladeshi statutory law that returns the law as it stood on any specified date, in Bangla or English, with verifiable provision-level citation — and to hand the resulting corpus and public API to the ICT Division as national digital public infrastructure.</w:t>
      </w:r>
    </w:p>
    <w:p>
      <w:pPr>
        <w:spacing w:after="90" w:before="170"/>
      </w:pPr>
      <w:r>
        <w:rPr>
          <w:rFonts w:ascii="Times New Roman" w:cs="Times New Roman" w:eastAsia="Times New Roman" w:hAnsi="Times New Roman"/>
          <w:b/>
          <w:bCs/>
          <w:color w:val="2E4E7E"/>
          <w:sz w:val="22"/>
          <w:szCs w:val="22"/>
        </w:rPr>
        <w:t xml:space="preserve">Specific objectives</w:t>
      </w:r>
    </w:p>
    <w:p>
      <w:pPr>
        <w:pStyle w:val="ListParagraph"/>
        <w:numPr>
          <w:ilvl w:val="0"/>
          <w:numId w:val="3"/>
        </w:numPr>
        <w:spacing w:after="85" w:line="285"/>
      </w:pPr>
      <w:r>
        <w:rPr>
          <w:rFonts w:ascii="Times New Roman" w:cs="Times New Roman" w:eastAsia="Times New Roman" w:hAnsi="Times New Roman"/>
          <w:sz w:val="22"/>
          <w:szCs w:val="22"/>
        </w:rPr>
        <w:t xml:space="preserve">Construct a provision-level, bilingual, version-tracked representation of the Bangladesh Code in which each provision carries an explicit validity interval and a confidence tier describing the reliability of its amendment lineage.</w:t>
      </w:r>
    </w:p>
    <w:p>
      <w:pPr>
        <w:pStyle w:val="ListParagraph"/>
        <w:numPr>
          <w:ilvl w:val="0"/>
          <w:numId w:val="3"/>
        </w:numPr>
        <w:spacing w:after="85" w:line="285"/>
      </w:pPr>
      <w:r>
        <w:rPr>
          <w:rFonts w:ascii="Times New Roman" w:cs="Times New Roman" w:eastAsia="Times New Roman" w:hAnsi="Times New Roman"/>
          <w:sz w:val="22"/>
          <w:szCs w:val="22"/>
        </w:rPr>
        <w:t xml:space="preserve">Develop an automated pipeline that converts the Code portal’s amendment footnotes into dated validity intervals by resolving each amending instrument to its commencement date.</w:t>
      </w:r>
    </w:p>
    <w:p>
      <w:pPr>
        <w:pStyle w:val="ListParagraph"/>
        <w:numPr>
          <w:ilvl w:val="0"/>
          <w:numId w:val="3"/>
        </w:numPr>
        <w:spacing w:after="85" w:line="285"/>
      </w:pPr>
      <w:r>
        <w:rPr>
          <w:rFonts w:ascii="Times New Roman" w:cs="Times New Roman" w:eastAsia="Times New Roman" w:hAnsi="Times New Roman"/>
          <w:sz w:val="22"/>
          <w:szCs w:val="22"/>
        </w:rPr>
        <w:t xml:space="preserve">Implement temporal hybrid retrieval in which date filtering precedes ranking, combining lexical and dense multilingual retrieval so that Bangla and English queries reach provisions in either language.</w:t>
      </w:r>
    </w:p>
    <w:p>
      <w:pPr>
        <w:pStyle w:val="ListParagraph"/>
        <w:numPr>
          <w:ilvl w:val="0"/>
          <w:numId w:val="3"/>
        </w:numPr>
        <w:spacing w:after="85" w:line="285"/>
      </w:pPr>
      <w:r>
        <w:rPr>
          <w:rFonts w:ascii="Times New Roman" w:cs="Times New Roman" w:eastAsia="Times New Roman" w:hAnsi="Times New Roman"/>
          <w:sz w:val="22"/>
          <w:szCs w:val="22"/>
        </w:rPr>
        <w:t xml:space="preserve">Implement grounded generation with provision-level citation, deterministic post-hoc citation verification, and calibrated abstention when retrieval confidence is insufficient.</w:t>
      </w:r>
    </w:p>
    <w:p>
      <w:pPr>
        <w:pStyle w:val="ListParagraph"/>
        <w:numPr>
          <w:ilvl w:val="0"/>
          <w:numId w:val="3"/>
        </w:numPr>
        <w:spacing w:after="85" w:line="285"/>
      </w:pPr>
      <w:r>
        <w:rPr>
          <w:rFonts w:ascii="Times New Roman" w:cs="Times New Roman" w:eastAsia="Times New Roman" w:hAnsi="Times New Roman"/>
          <w:sz w:val="22"/>
          <w:szCs w:val="22"/>
        </w:rPr>
        <w:t xml:space="preserve">Validate the system against a 150-question evaluation set reviewed by practising advocates, including approximately 30 date-sensitive questions, and publish the results against a temporally naive baseline.</w:t>
      </w:r>
    </w:p>
    <w:p>
      <w:pPr>
        <w:pStyle w:val="ListParagraph"/>
        <w:numPr>
          <w:ilvl w:val="0"/>
          <w:numId w:val="3"/>
        </w:numPr>
        <w:spacing w:after="85" w:line="285"/>
      </w:pPr>
      <w:r>
        <w:rPr>
          <w:rFonts w:ascii="Times New Roman" w:cs="Times New Roman" w:eastAsia="Times New Roman" w:hAnsi="Times New Roman"/>
          <w:sz w:val="22"/>
          <w:szCs w:val="22"/>
        </w:rPr>
        <w:t xml:space="preserve">Release the structured corpus, the public API and the evaluation benchmark openly, and deliver them to the ICT Division for public service use.</w:t>
      </w:r>
    </w:p>
    <w:p>
      <w:pPr>
        <w:spacing w:after="90" w:before="170"/>
      </w:pPr>
      <w:r>
        <w:rPr>
          <w:rFonts w:ascii="Times New Roman" w:cs="Times New Roman" w:eastAsia="Times New Roman" w:hAnsi="Times New Roman"/>
          <w:b/>
          <w:bCs/>
          <w:color w:val="2E4E7E"/>
          <w:sz w:val="22"/>
          <w:szCs w:val="22"/>
        </w:rPr>
        <w:t xml:space="preserve">Measurable targets</w:t>
      </w:r>
    </w:p>
    <w:p>
      <w:pPr>
        <w:spacing w:after="130" w:line="290"/>
        <w:jc w:val="both"/>
      </w:pPr>
      <w:r>
        <w:rPr>
          <w:rFonts w:ascii="Times New Roman" w:cs="Times New Roman" w:eastAsia="Times New Roman" w:hAnsi="Times New Roman"/>
          <w:sz w:val="22"/>
          <w:szCs w:val="22"/>
        </w:rPr>
        <w:t xml:space="preserve">The following are targets set in advance of implementation; they are not results already obtained.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6"/>
      </w:tblGrid>
      <w:tr>
        <w:trPr>
          <w:cantSplit/>
          <w:tblHeader/>
        </w:trPr>
        <w:tc>
          <w:tcPr>
            <w:tcW w:type="dxa" w:w="46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Indicator</w:t>
            </w:r>
          </w:p>
        </w:tc>
        <w:tc>
          <w:tcPr>
            <w:tcW w:type="dxa" w:w="22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Target</w:t>
            </w:r>
          </w:p>
        </w:tc>
        <w:tc>
          <w:tcPr>
            <w:tcW w:type="dxa" w:w="22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Verification</w:t>
            </w:r>
          </w:p>
        </w:tc>
      </w:tr>
      <w:tr>
        <w:trPr>
          <w:cantSplit/>
          <w:tblHeader w:val="false"/>
        </w:trPr>
        <w:tc>
          <w:tcPr>
            <w:tcW w:type="dxa" w:w="4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Temporal correctness on the date-sensitive subset</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0.85</w:t>
            </w:r>
          </w:p>
        </w:tc>
        <w:tc>
          <w:tcPr>
            <w:tcW w:type="dxa" w:w="2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Evaluation set, scored against gold provisions</w:t>
            </w:r>
          </w:p>
        </w:tc>
      </w:tr>
      <w:tr>
        <w:trPr>
          <w:cantSplit/>
          <w:tblHeader w:val="false"/>
        </w:trPr>
        <w:tc>
          <w:tcPr>
            <w:tcW w:type="dxa" w:w="4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Retrieval Recall@5 over the full Code</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0.75</w:t>
            </w:r>
          </w:p>
        </w:tc>
        <w:tc>
          <w:tcPr>
            <w:tcW w:type="dxa" w:w="2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Evaluation set</w:t>
            </w:r>
          </w:p>
        </w:tc>
      </w:tr>
      <w:tr>
        <w:trPr>
          <w:cantSplit/>
          <w:tblHeader w:val="false"/>
        </w:trPr>
        <w:tc>
          <w:tcPr>
            <w:tcW w:type="dxa" w:w="4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Citation precision</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0.85</w:t>
            </w:r>
          </w:p>
        </w:tc>
        <w:tc>
          <w:tcPr>
            <w:tcW w:type="dxa" w:w="2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Advocate review of sampled answers</w:t>
            </w:r>
          </w:p>
        </w:tc>
      </w:tr>
      <w:tr>
        <w:trPr>
          <w:cantSplit/>
          <w:tblHeader w:val="false"/>
        </w:trPr>
        <w:tc>
          <w:tcPr>
            <w:tcW w:type="dxa" w:w="4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Hallucinated-citation rate</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0.05</w:t>
            </w:r>
          </w:p>
        </w:tc>
        <w:tc>
          <w:tcPr>
            <w:tcW w:type="dxa" w:w="2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Deterministic verification log</w:t>
            </w:r>
          </w:p>
        </w:tc>
      </w:tr>
      <w:tr>
        <w:trPr>
          <w:cantSplit/>
          <w:tblHeader w:val="false"/>
        </w:trPr>
        <w:tc>
          <w:tcPr>
            <w:tcW w:type="dxa" w:w="4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Amendment coverage (high-confidence lineage)</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0.60 of amended provisions</w:t>
            </w:r>
          </w:p>
        </w:tc>
        <w:tc>
          <w:tcPr>
            <w:tcW w:type="dxa" w:w="2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Automated count</w:t>
            </w:r>
          </w:p>
        </w:tc>
      </w:tr>
      <w:tr>
        <w:trPr>
          <w:cantSplit/>
          <w:tblHeader w:val="false"/>
        </w:trPr>
        <w:tc>
          <w:tcPr>
            <w:tcW w:type="dxa" w:w="4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Lineage precision on audited sample</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0.90</w:t>
            </w:r>
          </w:p>
        </w:tc>
        <w:tc>
          <w:tcPr>
            <w:tcW w:type="dxa" w:w="2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Manual audit of 200 provisions</w:t>
            </w:r>
          </w:p>
        </w:tc>
      </w:tr>
      <w:tr>
        <w:trPr>
          <w:cantSplit/>
          <w:tblHeader w:val="false"/>
        </w:trPr>
        <w:tc>
          <w:tcPr>
            <w:tcW w:type="dxa" w:w="4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Median end-to-end response time</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5 seconds</w:t>
            </w:r>
          </w:p>
        </w:tc>
        <w:tc>
          <w:tcPr>
            <w:tcW w:type="dxa" w:w="2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Instrumented logs</w:t>
            </w:r>
          </w:p>
        </w:tc>
      </w:tr>
    </w:tbl>
    <w:p>
      <w:pPr>
        <w:spacing w:after="100"/>
      </w:pPr>
    </w:p>
    <w:p>
      <w:pPr>
        <w:spacing w:after="130" w:line="290"/>
        <w:jc w:val="both"/>
      </w:pPr>
      <w:r>
        <w:rPr>
          <w:rFonts w:ascii="Times New Roman" w:cs="Times New Roman" w:eastAsia="Times New Roman" w:hAnsi="Times New Roman"/>
          <w:sz w:val="22"/>
          <w:szCs w:val="22"/>
        </w:rPr>
        <w:t xml:space="preserve">The headline experimental result is the accuracy gap between Dhara and a temporally naive baseline — the identical pipeline with date filtering disabled — on the date-sensitive subset. A large gap demonstrates that amendment awareness is not a cosmetic feature but a correctness requirement for legal retrieval.</w:t>
      </w:r>
    </w:p>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3. Research Gap and Present Scenario</w:t>
      </w:r>
    </w:p>
    <w:p>
      <w:pPr>
        <w:pStyle w:val="Heading2"/>
        <w:spacing w:after="110" w:before="230"/>
      </w:pPr>
      <w:r>
        <w:rPr>
          <w:rFonts w:ascii="Times New Roman" w:cs="Times New Roman" w:eastAsia="Times New Roman" w:hAnsi="Times New Roman"/>
          <w:b/>
          <w:bCs/>
          <w:color w:val="2E4E7E"/>
          <w:sz w:val="24"/>
          <w:szCs w:val="24"/>
        </w:rPr>
        <w:t xml:space="preserve">3.1 International scenario</w:t>
      </w:r>
    </w:p>
    <w:p>
      <w:pPr>
        <w:spacing w:after="130" w:line="290"/>
        <w:jc w:val="both"/>
      </w:pPr>
      <w:r>
        <w:rPr>
          <w:rFonts w:ascii="Times New Roman" w:cs="Times New Roman" w:eastAsia="Times New Roman" w:hAnsi="Times New Roman"/>
          <w:sz w:val="22"/>
          <w:szCs w:val="22"/>
        </w:rPr>
        <w:t xml:space="preserve">Versioned statutory retrieval is mature in common-law jurisdictions. Westlaw, through KeyCite, and LexisNexis, through Shepard’s Citations, both provide point-in-time statutory text together with citation-treatment signalling that flags whether a precedent has been followed, distinguished or overruled. Both are proprietary, priced for Western markets, and carry no Bangladeshi coverage. They establish that the capability is valuable without making it available here.</w:t>
      </w:r>
    </w:p>
    <w:p>
      <w:pPr>
        <w:spacing w:after="130" w:line="290"/>
        <w:jc w:val="both"/>
      </w:pPr>
      <w:r>
        <w:rPr>
          <w:rFonts w:ascii="Times New Roman" w:cs="Times New Roman" w:eastAsia="Times New Roman" w:hAnsi="Times New Roman"/>
          <w:sz w:val="22"/>
          <w:szCs w:val="22"/>
        </w:rPr>
        <w:t xml:space="preserve">In generative legal AI, Harvey AI is the leading international platform, serving major international law firms. Its corpora are United States and United Kingdom law. It contains no Bangladeshi statute and operates in no Bangla.</w:t>
      </w:r>
    </w:p>
    <w:p>
      <w:pPr>
        <w:spacing w:after="130" w:line="290"/>
        <w:jc w:val="both"/>
      </w:pPr>
      <w:r>
        <w:rPr>
          <w:rFonts w:ascii="Times New Roman" w:cs="Times New Roman" w:eastAsia="Times New Roman" w:hAnsi="Times New Roman"/>
          <w:sz w:val="22"/>
          <w:szCs w:val="22"/>
        </w:rPr>
        <w:t xml:space="preserve">Regionally, Indian Kanoon offers free full-text search over Indian statutes and judgments, and the Supreme Court of India has piloted translation and process-automation systems. Manupatra, headquartered in Noida, Uttar Pradesh, sells access to Bangladeshi case law and statutes to Bangladeshi law firms, in English, as part of an India-first commercial database. The practical position today is that the most usable digital index of Bangladeshi law is maintained outside Bangladesh.</w:t>
      </w:r>
    </w:p>
    <w:p>
      <w:pPr>
        <w:pStyle w:val="Heading2"/>
        <w:spacing w:after="110" w:before="230"/>
      </w:pPr>
      <w:r>
        <w:rPr>
          <w:rFonts w:ascii="Times New Roman" w:cs="Times New Roman" w:eastAsia="Times New Roman" w:hAnsi="Times New Roman"/>
          <w:b/>
          <w:bCs/>
          <w:color w:val="2E4E7E"/>
          <w:sz w:val="24"/>
          <w:szCs w:val="24"/>
        </w:rPr>
        <w:t xml:space="preserve">3.2 National scenario</w:t>
      </w:r>
    </w:p>
    <w:p>
      <w:pPr>
        <w:spacing w:after="130" w:line="290"/>
        <w:jc w:val="both"/>
      </w:pPr>
      <w:r>
        <w:rPr>
          <w:rFonts w:ascii="Times New Roman" w:cs="Times New Roman" w:eastAsia="Times New Roman" w:hAnsi="Times New Roman"/>
          <w:sz w:val="22"/>
          <w:szCs w:val="22"/>
        </w:rPr>
        <w:t xml:space="preserve">Bangladesh-specific legal NLP resources do exist, and this proposal is explicit about building on them rather than duplicating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cantSplit/>
          <w:tblHeader/>
        </w:trPr>
        <w:tc>
          <w:tcPr>
            <w:tcW w:type="dxa" w:w="26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Resource</w:t>
            </w:r>
          </w:p>
        </w:tc>
        <w:tc>
          <w:tcPr>
            <w:tcW w:type="dxa" w:w="33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What it provides</w:t>
            </w:r>
          </w:p>
        </w:tc>
        <w:tc>
          <w:tcPr>
            <w:tcW w:type="dxa" w:w="31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What it does not provide</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Bangladesh Code portal (bdlaws.minlaw.gov.bd)</w:t>
            </w:r>
          </w:p>
        </w:tc>
        <w:tc>
          <w:tcPr>
            <w:tcW w:type="dxa" w:w="3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Official consolidated text of all Acts, bilingual, with amendment footnotes</w:t>
            </w:r>
          </w:p>
        </w:tc>
        <w:tc>
          <w:tcPr>
            <w:tcW w:type="dxa" w:w="3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No commencement dates in footnotes; superseded text not shown; no API or bulk export</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BLAD — Bangladesh Legal Acts Dataset (2026)</w:t>
            </w:r>
          </w:p>
        </w:tc>
        <w:tc>
          <w:tcPr>
            <w:tcW w:type="dxa" w:w="3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1,484 Acts, 35,633 sections, 14,523 footnotes, 1799–2025, English/Bengali/mixed, openly licensed</w:t>
            </w:r>
          </w:p>
        </w:tc>
        <w:tc>
          <w:tcPr>
            <w:tcW w:type="dxa" w:w="3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Footnotes stored as unparsed text; repeal status recorded per Act, not per section; the authors state that retrieval-augmented generation and temporal analysis remain future work</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UKIL-DB-EN (2024)</w:t>
            </w:r>
          </w:p>
        </w:tc>
        <w:tc>
          <w:tcPr>
            <w:tcW w:type="dxa" w:w="3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595 Acts, 18,023 sections, English only, with a fine-tuned assistant model</w:t>
            </w:r>
          </w:p>
        </w:tc>
        <w:tc>
          <w:tcPr>
            <w:tcW w:type="dxa" w:w="3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Repealed Acts and sections were deliberately removed during curation, so historical law is absent by construction</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Visual search and chatbot demonstrations</w:t>
            </w:r>
          </w:p>
        </w:tc>
        <w:tc>
          <w:tcPr>
            <w:tcW w:type="dxa" w:w="3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Proof that interest exists</w:t>
            </w:r>
          </w:p>
        </w:tc>
        <w:tc>
          <w:tcPr>
            <w:tcW w:type="dxa" w:w="3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No versioning, no citation verification, no evaluation against a benchmark</w:t>
            </w:r>
          </w:p>
        </w:tc>
      </w:tr>
    </w:tbl>
    <w:p>
      <w:pPr>
        <w:spacing w:after="100"/>
      </w:pPr>
    </w:p>
    <w:p>
      <w:pPr>
        <w:pStyle w:val="Heading2"/>
        <w:spacing w:after="110" w:before="230"/>
      </w:pPr>
      <w:r>
        <w:rPr>
          <w:rFonts w:ascii="Times New Roman" w:cs="Times New Roman" w:eastAsia="Times New Roman" w:hAnsi="Times New Roman"/>
          <w:b/>
          <w:bCs/>
          <w:color w:val="2E4E7E"/>
          <w:sz w:val="24"/>
          <w:szCs w:val="24"/>
        </w:rPr>
        <w:t xml:space="preserve">3.3 The gap this project addresses</w:t>
      </w:r>
    </w:p>
    <w:p>
      <w:pPr>
        <w:spacing w:after="130" w:line="290"/>
        <w:jc w:val="both"/>
      </w:pPr>
      <w:r>
        <w:rPr>
          <w:rFonts w:ascii="Times New Roman" w:cs="Times New Roman" w:eastAsia="Times New Roman" w:hAnsi="Times New Roman"/>
          <w:sz w:val="22"/>
          <w:szCs w:val="22"/>
        </w:rPr>
        <w:t xml:space="preserve">The statutory text of Bangladesh is, in substance, already digitised and in several cases already openly licensed. What does not exist — anywhere, in any system, public or commercial — is a representation in which each provision carries the dates between which it was in force, together with retrieval that honours those dates.</w:t>
      </w:r>
    </w:p>
    <w:p>
      <w:pPr>
        <w:spacing w:after="130" w:line="290"/>
        <w:jc w:val="both"/>
      </w:pPr>
      <w:r>
        <w:rPr>
          <w:rFonts w:ascii="Times New Roman" w:cs="Times New Roman" w:eastAsia="Times New Roman" w:hAnsi="Times New Roman"/>
          <w:sz w:val="22"/>
          <w:szCs w:val="22"/>
        </w:rPr>
        <w:t xml:space="preserve">That single missing layer is what separates a legal search tool from a legally correct one, because it is the layer on which the outcome of a historical dispute depends. Building it is the contribution of this project, and it is why the requested budget is modest: the corpus is a solved problem, and the grant is spent only on the unsolved part and on verifying it.</w:t>
      </w:r>
    </w:p>
    <w:p>
      <w:pPr>
        <w:pStyle w:val="Heading1"/>
        <w:spacing w:after="150" w:before="320"/>
      </w:pPr>
      <w:r>
        <w:rPr>
          <w:rFonts w:ascii="Times New Roman" w:cs="Times New Roman" w:eastAsia="Times New Roman" w:hAnsi="Times New Roman"/>
          <w:b/>
          <w:bCs/>
          <w:color w:val="1F3864"/>
          <w:sz w:val="28"/>
          <w:szCs w:val="28"/>
        </w:rPr>
        <w:t xml:space="preserve">4. Novelty and Innovation</w:t>
      </w:r>
    </w:p>
    <w:p>
      <w:pPr>
        <w:spacing w:after="130" w:line="290"/>
        <w:jc w:val="both"/>
      </w:pPr>
      <w:r>
        <w:rPr>
          <w:rFonts w:ascii="Times New Roman" w:cs="Times New Roman" w:eastAsia="Times New Roman" w:hAnsi="Times New Roman"/>
          <w:sz w:val="22"/>
          <w:szCs w:val="22"/>
        </w:rPr>
        <w:t xml:space="preserve">Four elements distinguish Dhara from both existing Bangladeshi work and from a conventional retrieval-augmented generation deployment.</w:t>
      </w:r>
    </w:p>
    <w:p>
      <w:pPr>
        <w:spacing w:after="90" w:before="170"/>
      </w:pPr>
      <w:r>
        <w:rPr>
          <w:rFonts w:ascii="Times New Roman" w:cs="Times New Roman" w:eastAsia="Times New Roman" w:hAnsi="Times New Roman"/>
          <w:b/>
          <w:bCs/>
          <w:color w:val="2E4E7E"/>
          <w:sz w:val="22"/>
          <w:szCs w:val="22"/>
        </w:rPr>
        <w:t xml:space="preserve">4.1 Amendment-aware retrieval with filtering before ranking</w:t>
      </w:r>
    </w:p>
    <w:p>
      <w:pPr>
        <w:spacing w:after="130" w:line="290"/>
        <w:jc w:val="both"/>
      </w:pPr>
      <w:r>
        <w:rPr>
          <w:rFonts w:ascii="Times New Roman" w:cs="Times New Roman" w:eastAsia="Times New Roman" w:hAnsi="Times New Roman"/>
          <w:sz w:val="22"/>
          <w:szCs w:val="22"/>
        </w:rPr>
        <w:t xml:space="preserve">Each provision is stored with an explicit validity interval. A query carries an as-of date, defaulting to today and settable by the user to the date on which the cause of action arose. The candidate set is restricted at the database level to provisions valid on that date before any ranking occurs. The ordering matters: a superseded provision is never a candidate, so it cannot survive reranking or appear in a generated answer. No system operating on Bangladeshi law does this today.</w:t>
      </w:r>
    </w:p>
    <w:p>
      <w:pPr>
        <w:spacing w:after="90" w:before="170"/>
      </w:pPr>
      <w:r>
        <w:rPr>
          <w:rFonts w:ascii="Times New Roman" w:cs="Times New Roman" w:eastAsia="Times New Roman" w:hAnsi="Times New Roman"/>
          <w:b/>
          <w:bCs/>
          <w:color w:val="2E4E7E"/>
          <w:sz w:val="22"/>
          <w:szCs w:val="22"/>
        </w:rPr>
        <w:t xml:space="preserve">4.2 Bangla-first cross-lingual retrieval without machine translation</w:t>
      </w:r>
    </w:p>
    <w:p>
      <w:pPr>
        <w:spacing w:after="130" w:line="290"/>
        <w:jc w:val="both"/>
      </w:pPr>
      <w:r>
        <w:rPr>
          <w:rFonts w:ascii="Times New Roman" w:cs="Times New Roman" w:eastAsia="Times New Roman" w:hAnsi="Times New Roman"/>
          <w:sz w:val="22"/>
          <w:szCs w:val="22"/>
        </w:rPr>
        <w:t xml:space="preserve">Bangla and English text of the same provision are stored as a paired record and embedded in a shared multilingual vector space. A Bangla query therefore reaches an English-drafted section directly, without a translation step that would introduce a second source of error. The leading commercial alternative available in Bangladesh operates in English only.</w:t>
      </w:r>
    </w:p>
    <w:p>
      <w:pPr>
        <w:spacing w:after="90" w:before="170"/>
      </w:pPr>
      <w:r>
        <w:rPr>
          <w:rFonts w:ascii="Times New Roman" w:cs="Times New Roman" w:eastAsia="Times New Roman" w:hAnsi="Times New Roman"/>
          <w:b/>
          <w:bCs/>
          <w:color w:val="2E4E7E"/>
          <w:sz w:val="22"/>
          <w:szCs w:val="22"/>
        </w:rPr>
        <w:t xml:space="preserve">4.3 Verifiable citation with calibrated abstention</w:t>
      </w:r>
    </w:p>
    <w:p>
      <w:pPr>
        <w:spacing w:after="130" w:line="290"/>
        <w:jc w:val="both"/>
      </w:pPr>
      <w:r>
        <w:rPr>
          <w:rFonts w:ascii="Times New Roman" w:cs="Times New Roman" w:eastAsia="Times New Roman" w:hAnsi="Times New Roman"/>
          <w:sz w:val="22"/>
          <w:szCs w:val="22"/>
        </w:rPr>
        <w:t xml:space="preserve">Every sentence generated carries a provision-level citation. A deterministic post-hoc check confirms that every cited provision identifier appears in the retrieved set; any citation failing that check invalidates the response. Where the top fused retrieval score falls below a calibrated threshold, the system returns an explicit insufficient-grounding response rather than an answer. Abstention rate is logged and reported as a first-class metric rather than concealed as a fallback.</w:t>
      </w:r>
    </w:p>
    <w:p>
      <w:pPr>
        <w:spacing w:after="90" w:before="170"/>
      </w:pPr>
      <w:r>
        <w:rPr>
          <w:rFonts w:ascii="Times New Roman" w:cs="Times New Roman" w:eastAsia="Times New Roman" w:hAnsi="Times New Roman"/>
          <w:b/>
          <w:bCs/>
          <w:color w:val="2E4E7E"/>
          <w:sz w:val="22"/>
          <w:szCs w:val="22"/>
        </w:rPr>
        <w:t xml:space="preserve">4.4 Honest coverage reporting</w:t>
      </w:r>
    </w:p>
    <w:p>
      <w:pPr>
        <w:spacing w:after="130" w:line="290"/>
        <w:jc w:val="both"/>
      </w:pPr>
      <w:r>
        <w:rPr>
          <w:rFonts w:ascii="Times New Roman" w:cs="Times New Roman" w:eastAsia="Times New Roman" w:hAnsi="Times New Roman"/>
          <w:sz w:val="22"/>
          <w:szCs w:val="22"/>
        </w:rPr>
        <w:t xml:space="preserve">Amendment lineage cannot be perfectly recovered from inconsistent footnotes across more than a thousand Acts, and this proposal does not pretend otherwise. Each provision carries a lineage confidence tier. Provisions with high-confidence lineage support full point-in-time retrieval. Provisions without it fall back to current-text retrieval and the interface displays an explicit on-screen warning that historical versions are unavailable for that section. Amendment coverage is therefore a reported result, validated against a manually audited sample, rather than an assumed property of the system.</w:t>
      </w:r>
    </w:p>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5. Proposed Solution and Technical Methodology</w:t>
      </w:r>
    </w:p>
    <w:p>
      <w:pPr>
        <w:pStyle w:val="Heading2"/>
        <w:spacing w:after="110" w:before="230"/>
      </w:pPr>
      <w:r>
        <w:rPr>
          <w:rFonts w:ascii="Times New Roman" w:cs="Times New Roman" w:eastAsia="Times New Roman" w:hAnsi="Times New Roman"/>
          <w:b/>
          <w:bCs/>
          <w:color w:val="2E4E7E"/>
          <w:sz w:val="24"/>
          <w:szCs w:val="24"/>
        </w:rPr>
        <w:t xml:space="preserve">5.1 System architecture</w:t>
      </w:r>
    </w:p>
    <w:p>
      <w:pPr>
        <w:spacing w:after="130" w:line="290"/>
        <w:jc w:val="both"/>
      </w:pPr>
      <w:r>
        <w:rPr>
          <w:rFonts w:ascii="Times New Roman" w:cs="Times New Roman" w:eastAsia="Times New Roman" w:hAnsi="Times New Roman"/>
          <w:sz w:val="22"/>
          <w:szCs w:val="22"/>
        </w:rPr>
        <w:t xml:space="preserve">The system is a four-layer pipeline. Layers L2 and L4 apply established technique carefully; layers L1 and L3 contain the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rPr>
          <w:cantSplit/>
          <w:tblHeader/>
        </w:trPr>
        <w:tc>
          <w:tcPr>
            <w:tcW w:type="dxa" w:w="10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Layer</w:t>
            </w:r>
          </w:p>
        </w:tc>
        <w:tc>
          <w:tcPr>
            <w:tcW w:type="dxa" w:w="25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Component</w:t>
            </w:r>
          </w:p>
        </w:tc>
        <w:tc>
          <w:tcPr>
            <w:tcW w:type="dxa" w:w="55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Function</w:t>
            </w:r>
          </w:p>
        </w:tc>
      </w:tr>
      <w:tr>
        <w:trPr>
          <w:cantSplit/>
          <w:tblHeader w:val="false"/>
        </w:trPr>
        <w:tc>
          <w:tcPr>
            <w:tcW w:type="dxa" w:w="1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L1</w:t>
            </w:r>
          </w:p>
        </w:tc>
        <w:tc>
          <w:tcPr>
            <w:tcW w:type="dxa" w:w="2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Corpus and versioning</w:t>
            </w:r>
          </w:p>
        </w:tc>
        <w:tc>
          <w:tcPr>
            <w:tcW w:type="dxa" w:w="55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Ingest an openly licensed structured corpus; resolve amendment footnotes into dated validity intervals with confidence tiering</w:t>
            </w:r>
          </w:p>
        </w:tc>
      </w:tr>
      <w:tr>
        <w:trPr>
          <w:cantSplit/>
          <w:tblHeader w:val="false"/>
        </w:trPr>
        <w:tc>
          <w:tcPr>
            <w:tcW w:type="dxa" w:w="1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L2</w:t>
            </w:r>
          </w:p>
        </w:tc>
        <w:tc>
          <w:tcPr>
            <w:tcW w:type="dxa" w:w="2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Indexing</w:t>
            </w:r>
          </w:p>
        </w:tc>
        <w:tc>
          <w:tcPr>
            <w:tcW w:type="dxa" w:w="55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Lexical (BM25) index and dense multilingual vector index over paired Bangla–English provision text</w:t>
            </w:r>
          </w:p>
        </w:tc>
      </w:tr>
      <w:tr>
        <w:trPr>
          <w:cantSplit/>
          <w:tblHeader w:val="false"/>
        </w:trPr>
        <w:tc>
          <w:tcPr>
            <w:tcW w:type="dxa" w:w="1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L3</w:t>
            </w:r>
          </w:p>
        </w:tc>
        <w:tc>
          <w:tcPr>
            <w:tcW w:type="dxa" w:w="2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Temporal hybrid retrieval</w:t>
            </w:r>
          </w:p>
        </w:tc>
        <w:tc>
          <w:tcPr>
            <w:tcW w:type="dxa" w:w="55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Date-filtered candidate generation, sparse–dense fusion by reciprocal rank fusion, optional cross-encoder reranking</w:t>
            </w:r>
          </w:p>
        </w:tc>
      </w:tr>
      <w:tr>
        <w:trPr>
          <w:cantSplit/>
          <w:tblHeader w:val="false"/>
        </w:trPr>
        <w:tc>
          <w:tcPr>
            <w:tcW w:type="dxa" w:w="1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L4</w:t>
            </w:r>
          </w:p>
        </w:tc>
        <w:tc>
          <w:tcPr>
            <w:tcW w:type="dxa" w:w="2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Grounded generation</w:t>
            </w:r>
          </w:p>
        </w:tc>
        <w:tc>
          <w:tcPr>
            <w:tcW w:type="dxa" w:w="55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Citation-attached answer synthesis, deterministic verification, calibrated abstention</w:t>
            </w:r>
          </w:p>
        </w:tc>
      </w:tr>
    </w:tbl>
    <w:p>
      <w:pPr>
        <w:pStyle w:val="Heading2"/>
        <w:spacing w:after="110" w:before="230"/>
      </w:pPr>
      <w:r>
        <w:rPr>
          <w:rFonts w:ascii="Times New Roman" w:cs="Times New Roman" w:eastAsia="Times New Roman" w:hAnsi="Times New Roman"/>
          <w:b/>
          <w:bCs/>
          <w:color w:val="2E4E7E"/>
          <w:sz w:val="24"/>
          <w:szCs w:val="24"/>
        </w:rPr>
        <w:t xml:space="preserve">5.2 Layer 1 — corpus construction and versioning</w:t>
      </w:r>
    </w:p>
    <w:p>
      <w:pPr>
        <w:spacing w:after="130" w:line="290"/>
        <w:jc w:val="both"/>
      </w:pPr>
      <w:r>
        <w:rPr>
          <w:rFonts w:ascii="Times New Roman" w:cs="Times New Roman" w:eastAsia="Times New Roman" w:hAnsi="Times New Roman"/>
          <w:sz w:val="22"/>
          <w:szCs w:val="22"/>
        </w:rPr>
        <w:t xml:space="preserve">The project ingests BLAD, which supplies 1,484 Acts and 35,633 sections already parsed into sections and footnotes under a Creative Commons Attribution-ShareAlike licence, and re-scrapes the official portal only where coverage gaps or structural errors are identified. No grant funds are allocated to rebuilding corpus text that is already freely available.</w:t>
      </w:r>
    </w:p>
    <w:p>
      <w:pPr>
        <w:spacing w:after="130" w:line="290"/>
        <w:jc w:val="both"/>
      </w:pPr>
      <w:r>
        <w:rPr>
          <w:rFonts w:ascii="Times New Roman" w:cs="Times New Roman" w:eastAsia="Times New Roman" w:hAnsi="Times New Roman"/>
          <w:sz w:val="22"/>
          <w:szCs w:val="22"/>
        </w:rPr>
        <w:t xml:space="preserve">Each provision is then represented with the fields below. The last two are what make temporal retrieval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Field</w:t>
            </w:r>
          </w:p>
        </w:tc>
        <w:tc>
          <w:tcPr>
            <w:tcW w:type="dxa" w:w="62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Description</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provision_id</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Stable identifier composed of act_id and section path</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text_bn / text_en</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Paired bilingual text of the same provision</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hierarchy_path</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Act → Chapter → Section → Sub-section → Proviso</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amended_by</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The amending Act, Ordinance or Statutory Regulatory Order</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in_force_from / in_force_to</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Validity interval of this version; in_force_to is null where the version is current</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previous_version_id</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Link to the superseded version of the same provision, where recoverable</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lineage_confidence</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high / medium / none — reliability of the extracted amendment history</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source_url</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Canonical link to the official portal page for the provision</w:t>
            </w:r>
          </w:p>
        </w:tc>
      </w:tr>
    </w:tbl>
    <w:p>
      <w:pPr>
        <w:spacing w:after="100"/>
      </w:pPr>
    </w:p>
    <w:p>
      <w:pPr>
        <w:spacing w:after="130" w:line="290"/>
        <w:jc w:val="both"/>
      </w:pPr>
      <w:r>
        <w:rPr>
          <w:rFonts w:ascii="Times New Roman" w:cs="Times New Roman" w:eastAsia="Times New Roman" w:hAnsi="Times New Roman"/>
          <w:sz w:val="22"/>
          <w:szCs w:val="22"/>
        </w:rPr>
        <w:t xml:space="preserve">The core technical task of the project is the construction of in_force_from and in_force_to. The Code portal names the amending instrument in each footnote but not its commencement date. The pipeline therefore parses the footnote to identify the amending Act, resolves that Act to its commencement date from the Bangladesh Gazette and the Code’s own metadata, and writes the resulting interval onto the affected provision. Where the amending instrument cannot be identified unambiguously, or where its commencement date cannot be established, the provision is tiered down rather than assigned a guessed date.</w:t>
      </w:r>
    </w:p>
    <w:p>
      <w:pPr>
        <w:pStyle w:val="Heading2"/>
        <w:spacing w:after="110" w:before="230"/>
      </w:pPr>
      <w:r>
        <w:rPr>
          <w:rFonts w:ascii="Times New Roman" w:cs="Times New Roman" w:eastAsia="Times New Roman" w:hAnsi="Times New Roman"/>
          <w:b/>
          <w:bCs/>
          <w:color w:val="2E4E7E"/>
          <w:sz w:val="24"/>
          <w:szCs w:val="24"/>
        </w:rPr>
        <w:t xml:space="preserve">5.3 Layer 2 — indexing</w:t>
      </w:r>
    </w:p>
    <w:p>
      <w:pPr>
        <w:pStyle w:val="ListParagraph"/>
        <w:numPr>
          <w:ilvl w:val="0"/>
          <w:numId w:val="2"/>
        </w:numPr>
        <w:spacing w:after="85" w:line="285"/>
      </w:pPr>
      <w:r>
        <w:rPr>
          <w:rFonts w:ascii="Times New Roman" w:cs="Times New Roman" w:eastAsia="Times New Roman" w:hAnsi="Times New Roman"/>
          <w:sz w:val="22"/>
          <w:szCs w:val="22"/>
        </w:rPr>
        <w:t xml:space="preserve">A BM25 index over normalised provision text handles exact terms, defined expressions and section references. Bangla normalisation covers Unicode variants, punctuation and common inflectional endings.</w:t>
      </w:r>
    </w:p>
    <w:p>
      <w:pPr>
        <w:pStyle w:val="ListParagraph"/>
        <w:numPr>
          <w:ilvl w:val="0"/>
          <w:numId w:val="2"/>
        </w:numPr>
        <w:spacing w:after="85" w:line="285"/>
      </w:pPr>
      <w:r>
        <w:rPr>
          <w:rFonts w:ascii="Times New Roman" w:cs="Times New Roman" w:eastAsia="Times New Roman" w:hAnsi="Times New Roman"/>
          <w:sz w:val="22"/>
          <w:szCs w:val="22"/>
        </w:rPr>
        <w:t xml:space="preserve">Dense embeddings from a multilingual sentence model (multilingual-e5-base, with LaBSE as fallback) are stored in PostgreSQL via the pgvector extension. The complete index is modest — approximately 35,000 sections at 768 dimensions is of the order of 110 MB — and runs comfortably on a single server.</w:t>
      </w:r>
    </w:p>
    <w:p>
      <w:pPr>
        <w:pStyle w:val="ListParagraph"/>
        <w:numPr>
          <w:ilvl w:val="0"/>
          <w:numId w:val="2"/>
        </w:numPr>
        <w:spacing w:after="85" w:line="285"/>
      </w:pPr>
      <w:r>
        <w:rPr>
          <w:rFonts w:ascii="Times New Roman" w:cs="Times New Roman" w:eastAsia="Times New Roman" w:hAnsi="Times New Roman"/>
          <w:sz w:val="22"/>
          <w:szCs w:val="22"/>
        </w:rPr>
        <w:t xml:space="preserve">Cross-lingual matching derives from the shared multilingual embedding space, not from machine translation, so no translation error is introduced into retrieval.</w:t>
      </w:r>
    </w:p>
    <w:p>
      <w:pPr>
        <w:pStyle w:val="Heading2"/>
        <w:spacing w:after="110" w:before="230"/>
      </w:pPr>
      <w:r>
        <w:rPr>
          <w:rFonts w:ascii="Times New Roman" w:cs="Times New Roman" w:eastAsia="Times New Roman" w:hAnsi="Times New Roman"/>
          <w:b/>
          <w:bCs/>
          <w:color w:val="2E4E7E"/>
          <w:sz w:val="24"/>
          <w:szCs w:val="24"/>
        </w:rPr>
        <w:t xml:space="preserve">5.4 Layer 3 — temporal hybrid retrieval</w:t>
      </w:r>
    </w:p>
    <w:p>
      <w:pPr>
        <w:pStyle w:val="ListParagraph"/>
        <w:numPr>
          <w:ilvl w:val="0"/>
          <w:numId w:val="4"/>
        </w:numPr>
        <w:spacing w:after="85" w:line="285"/>
      </w:pPr>
      <w:r>
        <w:rPr>
          <w:rFonts w:ascii="Times New Roman" w:cs="Times New Roman" w:eastAsia="Times New Roman" w:hAnsi="Times New Roman"/>
          <w:sz w:val="22"/>
          <w:szCs w:val="22"/>
        </w:rPr>
        <w:t xml:space="preserve">Temporal filtering. The candidate set is restricted at the database level to provisions where in_force_from is on or before the as-of date and in_force_to is either null or after it. Filtering precedes ranking.</w:t>
      </w:r>
    </w:p>
    <w:p>
      <w:pPr>
        <w:pStyle w:val="ListParagraph"/>
        <w:numPr>
          <w:ilvl w:val="0"/>
          <w:numId w:val="4"/>
        </w:numPr>
        <w:spacing w:after="85" w:line="285"/>
      </w:pPr>
      <w:r>
        <w:rPr>
          <w:rFonts w:ascii="Times New Roman" w:cs="Times New Roman" w:eastAsia="Times New Roman" w:hAnsi="Times New Roman"/>
          <w:sz w:val="22"/>
          <w:szCs w:val="22"/>
        </w:rPr>
        <w:t xml:space="preserve">Parallel candidate generation. BM25 and dense retrieval each return top-k candidates from the already-filtered set.</w:t>
      </w:r>
    </w:p>
    <w:p>
      <w:pPr>
        <w:pStyle w:val="ListParagraph"/>
        <w:numPr>
          <w:ilvl w:val="0"/>
          <w:numId w:val="4"/>
        </w:numPr>
        <w:spacing w:after="85" w:line="285"/>
      </w:pPr>
      <w:r>
        <w:rPr>
          <w:rFonts w:ascii="Times New Roman" w:cs="Times New Roman" w:eastAsia="Times New Roman" w:hAnsi="Times New Roman"/>
          <w:sz w:val="22"/>
          <w:szCs w:val="22"/>
        </w:rPr>
        <w:t xml:space="preserve">Fusion. Reciprocal rank fusion merges the two ranked lists, requiring no score calibration between retrievers operating on incompatible scales.</w:t>
      </w:r>
    </w:p>
    <w:p>
      <w:pPr>
        <w:pStyle w:val="ListParagraph"/>
        <w:numPr>
          <w:ilvl w:val="0"/>
          <w:numId w:val="4"/>
        </w:numPr>
        <w:spacing w:after="85" w:line="285"/>
      </w:pPr>
      <w:r>
        <w:rPr>
          <w:rFonts w:ascii="Times New Roman" w:cs="Times New Roman" w:eastAsia="Times New Roman" w:hAnsi="Times New Roman"/>
          <w:sz w:val="22"/>
          <w:szCs w:val="22"/>
        </w:rPr>
        <w:t xml:space="preserve">Reranking. An off-the-shelf cross-encoder reorders the fused top-n. This stage is retained only if it justifies its latency cost under evaluation.</w:t>
      </w:r>
    </w:p>
    <w:p>
      <w:pPr>
        <w:pStyle w:val="Heading2"/>
        <w:spacing w:after="110" w:before="230"/>
      </w:pPr>
      <w:r>
        <w:rPr>
          <w:rFonts w:ascii="Times New Roman" w:cs="Times New Roman" w:eastAsia="Times New Roman" w:hAnsi="Times New Roman"/>
          <w:b/>
          <w:bCs/>
          <w:color w:val="2E4E7E"/>
          <w:sz w:val="24"/>
          <w:szCs w:val="24"/>
        </w:rPr>
        <w:t xml:space="preserve">5.5 Layer 4 — grounded generation</w:t>
      </w:r>
    </w:p>
    <w:p>
      <w:pPr>
        <w:pStyle w:val="ListParagraph"/>
        <w:numPr>
          <w:ilvl w:val="0"/>
          <w:numId w:val="2"/>
        </w:numPr>
        <w:spacing w:after="85" w:line="285"/>
      </w:pPr>
      <w:r>
        <w:rPr>
          <w:rFonts w:ascii="Times New Roman" w:cs="Times New Roman" w:eastAsia="Times New Roman" w:hAnsi="Times New Roman"/>
          <w:sz w:val="22"/>
          <w:szCs w:val="22"/>
        </w:rPr>
        <w:t xml:space="preserve">The generating model receives only the retrieved provisions and their metadata, and is constrained to attach a provision-level citation to every sentence it produces.</w:t>
      </w:r>
    </w:p>
    <w:p>
      <w:pPr>
        <w:pStyle w:val="ListParagraph"/>
        <w:numPr>
          <w:ilvl w:val="0"/>
          <w:numId w:val="2"/>
        </w:numPr>
        <w:spacing w:after="85" w:line="285"/>
      </w:pPr>
      <w:r>
        <w:rPr>
          <w:rFonts w:ascii="Times New Roman" w:cs="Times New Roman" w:eastAsia="Times New Roman" w:hAnsi="Times New Roman"/>
          <w:sz w:val="22"/>
          <w:szCs w:val="22"/>
        </w:rPr>
        <w:t xml:space="preserve">A deterministic post-hoc check confirms that every provision identifier cited in the output appears in the retrieved set. Any citation failing this check invalidates the response, which is then withheld.</w:t>
      </w:r>
    </w:p>
    <w:p>
      <w:pPr>
        <w:pStyle w:val="ListParagraph"/>
        <w:numPr>
          <w:ilvl w:val="0"/>
          <w:numId w:val="2"/>
        </w:numPr>
        <w:spacing w:after="85" w:line="285"/>
      </w:pPr>
      <w:r>
        <w:rPr>
          <w:rFonts w:ascii="Times New Roman" w:cs="Times New Roman" w:eastAsia="Times New Roman" w:hAnsi="Times New Roman"/>
          <w:sz w:val="22"/>
          <w:szCs w:val="22"/>
        </w:rPr>
        <w:t xml:space="preserve">Below a calibrated confidence threshold the system returns an explicit insufficient-grounding response. This is a functional behaviour, not a disclaimer.</w:t>
      </w:r>
    </w:p>
    <w:p>
      <w:pPr>
        <w:pStyle w:val="ListParagraph"/>
        <w:numPr>
          <w:ilvl w:val="0"/>
          <w:numId w:val="2"/>
        </w:numPr>
        <w:spacing w:after="85" w:line="285"/>
      </w:pPr>
      <w:r>
        <w:rPr>
          <w:rFonts w:ascii="Times New Roman" w:cs="Times New Roman" w:eastAsia="Times New Roman" w:hAnsi="Times New Roman"/>
          <w:sz w:val="22"/>
          <w:szCs w:val="22"/>
        </w:rPr>
        <w:t xml:space="preserve">Citations render in the interface as chips that open the full provision text together with its validity interval and a link to the official source, so that the user always verifies against primary source.</w:t>
      </w:r>
    </w:p>
    <w:p>
      <w:pPr>
        <w:pStyle w:val="ListParagraph"/>
        <w:numPr>
          <w:ilvl w:val="0"/>
          <w:numId w:val="2"/>
        </w:numPr>
        <w:spacing w:after="85" w:line="285"/>
      </w:pPr>
      <w:r>
        <w:rPr>
          <w:rFonts w:ascii="Times New Roman" w:cs="Times New Roman" w:eastAsia="Times New Roman" w:hAnsi="Times New Roman"/>
          <w:sz w:val="22"/>
          <w:szCs w:val="22"/>
        </w:rPr>
        <w:t xml:space="preserve">An open-weight model is maintained as a self-hosted fallback path, so that the free public layer continues to operate independently of any foreign commercial API.</w:t>
      </w:r>
    </w:p>
    <w:p>
      <w:pPr>
        <w:pStyle w:val="Heading2"/>
        <w:spacing w:after="110" w:before="230"/>
      </w:pPr>
      <w:r>
        <w:rPr>
          <w:rFonts w:ascii="Times New Roman" w:cs="Times New Roman" w:eastAsia="Times New Roman" w:hAnsi="Times New Roman"/>
          <w:b/>
          <w:bCs/>
          <w:color w:val="2E4E7E"/>
          <w:sz w:val="24"/>
          <w:szCs w:val="24"/>
        </w:rPr>
        <w:t xml:space="preserve">5.6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Category</w:t>
            </w:r>
          </w:p>
        </w:tc>
        <w:tc>
          <w:tcPr>
            <w:tcW w:type="dxa" w:w="64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Selection</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Primary corpus</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BLAD (CC BY-SA 4.0); official Bangladesh Code portal for gap-filling and source links</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Supplementary sources</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Bangladesh Gazette — Statutory Regulatory Orders and amending ordinances, for commencement dates</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Evaluation data</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150 annotated questions across at least eight legal domains, approximately 30 date-sensitive, authored by the team and reviewed by advocates</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Backend</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Python, FastAPI</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Frontend</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Next.js (React), TypeScript</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Database and search</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PostgreSQL with pgvector; PostgreSQL full-text search for BM25</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Models</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sentence-transformers (multilingual-e5-base / LaBSE); hosted LLM API for generation; open-weight model for self-hosted fallback. No fine-tuning in this phase.</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Operations</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Docker, GitHub, GitHub Actions; single cloud instance</w:t>
            </w:r>
          </w:p>
        </w:tc>
      </w:tr>
    </w:tbl>
    <w:p>
      <w:pPr>
        <w:pStyle w:val="Heading2"/>
        <w:spacing w:after="110" w:before="230"/>
      </w:pPr>
      <w:r>
        <w:rPr>
          <w:rFonts w:ascii="Times New Roman" w:cs="Times New Roman" w:eastAsia="Times New Roman" w:hAnsi="Times New Roman"/>
          <w:b/>
          <w:bCs/>
          <w:color w:val="2E4E7E"/>
          <w:sz w:val="24"/>
          <w:szCs w:val="24"/>
        </w:rPr>
        <w:t xml:space="preserve">5.7 Evaluation methodology</w:t>
      </w:r>
    </w:p>
    <w:p>
      <w:pPr>
        <w:spacing w:after="130" w:line="290"/>
        <w:jc w:val="both"/>
      </w:pPr>
      <w:r>
        <w:rPr>
          <w:rFonts w:ascii="Times New Roman" w:cs="Times New Roman" w:eastAsia="Times New Roman" w:hAnsi="Times New Roman"/>
          <w:sz w:val="22"/>
          <w:szCs w:val="22"/>
        </w:rPr>
        <w:t xml:space="preserve">The system is evaluated against a 150-question set, each item annotated with its gold provision. Approximately thirty questions are date-sensitive: they resolve to different provisions depending on the as-of date and are answerable correctly only by a temporally aware system. The set spans at least eight legal domains so that performance is not an artefact of a single area of law.</w:t>
      </w:r>
    </w:p>
    <w:p>
      <w:pPr>
        <w:spacing w:after="130" w:line="290"/>
        <w:jc w:val="both"/>
      </w:pPr>
      <w:r>
        <w:rPr>
          <w:rFonts w:ascii="Times New Roman" w:cs="Times New Roman" w:eastAsia="Times New Roman" w:hAnsi="Times New Roman"/>
          <w:sz w:val="22"/>
          <w:szCs w:val="22"/>
        </w:rPr>
        <w:t xml:space="preserve">A temporally naive baseline — the identical pipeline with date filtering disabled — is run on the same question set. The accuracy gap on the date-sensitive subset is the experimental result the project is designed to produce. Amendment lineage is separately audited against a manually verified sample of 200 provisions, and lineage precision is reported alongside coverage.</w:t>
      </w:r>
    </w:p>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6. Scope and Deliverables</w:t>
      </w:r>
    </w:p>
    <w:p>
      <w:pPr>
        <w:pStyle w:val="Heading2"/>
        <w:spacing w:after="110" w:before="230"/>
      </w:pPr>
      <w:r>
        <w:rPr>
          <w:rFonts w:ascii="Times New Roman" w:cs="Times New Roman" w:eastAsia="Times New Roman" w:hAnsi="Times New Roman"/>
          <w:b/>
          <w:bCs/>
          <w:color w:val="2E4E7E"/>
          <w:sz w:val="24"/>
          <w:szCs w:val="24"/>
        </w:rPr>
        <w:t xml:space="preserve">6.1 Scope boundary</w:t>
      </w:r>
    </w:p>
    <w:p>
      <w:pPr>
        <w:spacing w:after="130" w:line="290"/>
        <w:jc w:val="both"/>
      </w:pPr>
      <w:r>
        <w:rPr>
          <w:rFonts w:ascii="Times New Roman" w:cs="Times New Roman" w:eastAsia="Times New Roman" w:hAnsi="Times New Roman"/>
          <w:sz w:val="22"/>
          <w:szCs w:val="22"/>
        </w:rPr>
        <w:t xml:space="preserve">The complete Dhara vision extends to a judgment corpus, precedent similarity, citation-treatment classification and institutional case-management analytics over a longer horizon. This project covers statutory law only, and covers all of it. The boundary is stated explicitly so that the committee can judge what is being promised.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In scope for this grant</w:t>
            </w:r>
          </w:p>
        </w:tc>
        <w:tc>
          <w:tcPr>
            <w:tcW w:type="dxa" w:w="4513"/>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Out of scope</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Full Bangladesh Code at provision level, bilingual</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Judgment corpus and precedent similarity search</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Automated amendment lineage with confidence tiering</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Citation-treatment classification (overruled / distinguished)</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Temporal hybrid retrieval with as-of-date filtering</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Voice input and speech recognition</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Citation-grounded generation, verification, abstention</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Court backlog analytics for institutions</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Provision browser and amendment diff view</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Authentication, multi-tenancy, payments, mobile application</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Free Bangla public search interface</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Any model fine-tuning</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150-question evaluation benchmark and results report</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Commercial practitioner workspace features</w:t>
            </w:r>
          </w:p>
        </w:tc>
      </w:tr>
    </w:tbl>
    <w:p>
      <w:pPr>
        <w:pStyle w:val="Heading2"/>
        <w:spacing w:after="110" w:before="230"/>
      </w:pPr>
      <w:r>
        <w:rPr>
          <w:rFonts w:ascii="Times New Roman" w:cs="Times New Roman" w:eastAsia="Times New Roman" w:hAnsi="Times New Roman"/>
          <w:b/>
          <w:bCs/>
          <w:color w:val="2E4E7E"/>
          <w:sz w:val="24"/>
          <w:szCs w:val="24"/>
        </w:rPr>
        <w:t xml:space="preserve">6.2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cantSplit/>
          <w:tblHeader/>
        </w:trPr>
        <w:tc>
          <w:tcPr>
            <w:tcW w:type="dxa" w:w="6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w:t>
            </w:r>
          </w:p>
        </w:tc>
        <w:tc>
          <w:tcPr>
            <w:tcW w:type="dxa" w:w="30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Deliverable</w:t>
            </w:r>
          </w:p>
        </w:tc>
        <w:tc>
          <w:tcPr>
            <w:tcW w:type="dxa" w:w="54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Description</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w:t>
            </w:r>
          </w:p>
        </w:tc>
        <w:tc>
          <w:tcPr>
            <w:tcW w:type="dxa" w:w="3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Structured national legal corpus</w:t>
            </w:r>
          </w:p>
        </w:tc>
        <w:tc>
          <w:tcPr>
            <w:tcW w:type="dxa" w:w="5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Bangladesh Code at provision level, bilingual, with validity intervals and confidence-tiered amendment lineage</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w:t>
            </w:r>
          </w:p>
        </w:tc>
        <w:tc>
          <w:tcPr>
            <w:tcW w:type="dxa" w:w="3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Temporal retrieval engine</w:t>
            </w:r>
          </w:p>
        </w:tc>
        <w:tc>
          <w:tcPr>
            <w:tcW w:type="dxa" w:w="5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Hybrid lexical and dense retrieval with date filtering applied before ranking, and reciprocal rank fusion</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3</w:t>
            </w:r>
          </w:p>
        </w:tc>
        <w:tc>
          <w:tcPr>
            <w:tcW w:type="dxa" w:w="3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Grounded question-answering service</w:t>
            </w:r>
          </w:p>
        </w:tc>
        <w:tc>
          <w:tcPr>
            <w:tcW w:type="dxa" w:w="5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Citation-attached generation with deterministic verification and calibrated abstention</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4</w:t>
            </w:r>
          </w:p>
        </w:tc>
        <w:tc>
          <w:tcPr>
            <w:tcW w:type="dxa" w:w="3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Public web application</w:t>
            </w:r>
          </w:p>
        </w:tc>
        <w:tc>
          <w:tcPr>
            <w:tcW w:type="dxa" w:w="5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Query interface with as-of-date selection, citation chips, provision browser, amendment diff view and coverage warnings</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5</w:t>
            </w:r>
          </w:p>
        </w:tc>
        <w:tc>
          <w:tcPr>
            <w:tcW w:type="dxa" w:w="3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Free Bangla citizen interface</w:t>
            </w:r>
          </w:p>
        </w:tc>
        <w:tc>
          <w:tcPr>
            <w:tcW w:type="dxa" w:w="5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Plain-language public access to statutory information, permanently free</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6</w:t>
            </w:r>
          </w:p>
        </w:tc>
        <w:tc>
          <w:tcPr>
            <w:tcW w:type="dxa" w:w="3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Public API</w:t>
            </w:r>
          </w:p>
        </w:tc>
        <w:tc>
          <w:tcPr>
            <w:tcW w:type="dxa" w:w="5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Documented read API over the versioned corpus, for use by legal aid bodies and other developers</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7</w:t>
            </w:r>
          </w:p>
        </w:tc>
        <w:tc>
          <w:tcPr>
            <w:tcW w:type="dxa" w:w="3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Open evaluation benchmark</w:t>
            </w:r>
          </w:p>
        </w:tc>
        <w:tc>
          <w:tcPr>
            <w:tcW w:type="dxa" w:w="5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150 annotated questions across at least eight legal domains, approximately 30 date-sensitive, released openly</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8</w:t>
            </w:r>
          </w:p>
        </w:tc>
        <w:tc>
          <w:tcPr>
            <w:tcW w:type="dxa" w:w="3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Results report and repository</w:t>
            </w:r>
          </w:p>
        </w:tc>
        <w:tc>
          <w:tcPr>
            <w:tcW w:type="dxa" w:w="5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Metrics, baseline comparison, error analysis, lineage audit and a documented reproducible codebase</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9</w:t>
            </w:r>
          </w:p>
        </w:tc>
        <w:tc>
          <w:tcPr>
            <w:tcW w:type="dxa" w:w="30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Handover package</w:t>
            </w:r>
          </w:p>
        </w:tc>
        <w:tc>
          <w:tcPr>
            <w:tcW w:type="dxa" w:w="5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Corpus, API, benchmark, documentation and deployment instructions delivered to the ICT Division</w:t>
            </w:r>
          </w:p>
        </w:tc>
      </w:tr>
    </w:tbl>
    <w:p>
      <w:pPr>
        <w:pStyle w:val="Heading2"/>
        <w:spacing w:after="110" w:before="230"/>
      </w:pPr>
      <w:r>
        <w:rPr>
          <w:rFonts w:ascii="Times New Roman" w:cs="Times New Roman" w:eastAsia="Times New Roman" w:hAnsi="Times New Roman"/>
          <w:b/>
          <w:bCs/>
          <w:color w:val="2E4E7E"/>
          <w:sz w:val="24"/>
          <w:szCs w:val="24"/>
        </w:rPr>
        <w:t xml:space="preserve">6.3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Attribute</w:t>
            </w:r>
          </w:p>
        </w:tc>
        <w:tc>
          <w:tcPr>
            <w:tcW w:type="dxa" w:w="62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Requirement</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Correctness posture</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Abstain rather than answer without grounding; no uncited sentences in any output</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Latency</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Median end-to-end response under 5 seconds over the full Code index</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Language</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Bangla and English input and output, with cross-lingual retrieval</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Auditability</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Every answer traceable to a provision identifier, its version and its official source URL</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Transparency</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Explicit on-screen warning wherever amendment lineage is unavailable for a cited provision</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Authority</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Presented as a research aid; the printed Bangladesh Code remains the authoritative text</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Reproducibility</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Deterministic ingestion pipeline, versioned corpus snapshots, openly published evaluation set</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Sovereignty</w:t>
            </w:r>
          </w:p>
        </w:tc>
        <w:tc>
          <w:tcPr>
            <w:tcW w:type="dxa" w:w="6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Public layer operable on self-hosted open-weight models without dependence on a foreign commercial API</w:t>
            </w:r>
          </w:p>
        </w:tc>
      </w:tr>
    </w:tbl>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7. Work Plan and Timeline</w:t>
      </w:r>
    </w:p>
    <w:p>
      <w:pPr>
        <w:spacing w:after="130" w:line="290"/>
        <w:jc w:val="both"/>
      </w:pPr>
      <w:r>
        <w:rPr>
          <w:rFonts w:ascii="Times New Roman" w:cs="Times New Roman" w:eastAsia="Times New Roman" w:hAnsi="Times New Roman"/>
          <w:sz w:val="22"/>
          <w:szCs w:val="22"/>
        </w:rPr>
        <w:t xml:space="preserve">The project runs for six months from first disbursement, organised into five phases across three parallel tracks. Six months rather than four reflects the real cost of the amendment-lineage work: resolving commencement dates across more than a thousand Acts is iterative, and it must be complete and stable before evaluation and advocate review can begin. The final phase is feature-frozen and reserved for release, field testing and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700"/>
        <w:gridCol w:w="2600"/>
        <w:gridCol w:w="2576"/>
      </w:tblGrid>
      <w:tr>
        <w:trPr>
          <w:cantSplit/>
          <w:tblHeader/>
        </w:trPr>
        <w:tc>
          <w:tcPr>
            <w:tcW w:type="dxa" w:w="115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Phase</w:t>
            </w:r>
          </w:p>
        </w:tc>
        <w:tc>
          <w:tcPr>
            <w:tcW w:type="dxa" w:w="27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Track A — Data and ML</w:t>
            </w:r>
          </w:p>
        </w:tc>
        <w:tc>
          <w:tcPr>
            <w:tcW w:type="dxa" w:w="26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Track B — Backend</w:t>
            </w:r>
          </w:p>
        </w:tc>
        <w:tc>
          <w:tcPr>
            <w:tcW w:type="dxa" w:w="257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Track C — Frontend</w:t>
            </w:r>
          </w:p>
        </w:tc>
      </w:tr>
      <w:tr>
        <w:trPr>
          <w:cantSplit/>
          <w:tblHeader w:val="false"/>
        </w:trPr>
        <w:tc>
          <w:tcPr>
            <w:tcW w:type="dxa" w:w="115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Phase 1
Months 1–2</w:t>
            </w:r>
          </w:p>
        </w:tc>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Ingest BLAD; gap analysis against the official portal; targeted re-scrape; provision schema</w:t>
            </w:r>
          </w:p>
        </w:tc>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Database schema; FastAPI skeleton; ingestion endpoints</w:t>
            </w:r>
          </w:p>
        </w:tc>
        <w:tc>
          <w:tcPr>
            <w:tcW w:type="dxa" w:w="257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Wireframes; Next.js scaffold; component library</w:t>
            </w:r>
          </w:p>
        </w:tc>
      </w:tr>
      <w:tr>
        <w:trPr>
          <w:cantSplit/>
          <w:tblHeader w:val="false"/>
        </w:trPr>
        <w:tc>
          <w:tcPr>
            <w:tcW w:type="dxa" w:w="115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Phase 2
Months 2–3</w:t>
            </w:r>
          </w:p>
        </w:tc>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Amendment-footnote parser; Gazette commencement-date resolution; confidence tiering; embedding batch job</w:t>
            </w:r>
          </w:p>
        </w:tc>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Lexical and dense index construction; corpus query layer</w:t>
            </w:r>
          </w:p>
        </w:tc>
        <w:tc>
          <w:tcPr>
            <w:tcW w:type="dxa" w:w="257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As-of-date query interface; provision browser</w:t>
            </w:r>
          </w:p>
        </w:tc>
      </w:tr>
      <w:tr>
        <w:trPr>
          <w:cantSplit/>
          <w:tblHeader w:val="false"/>
        </w:trPr>
        <w:tc>
          <w:tcPr>
            <w:tcW w:type="dxa" w:w="115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Phase 3
Months 3–4</w:t>
            </w:r>
          </w:p>
        </w:tc>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Retrieval tuning; fusion weighting; cross-encoder assessment</w:t>
            </w:r>
          </w:p>
        </w:tc>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Temporal hybrid retrieval endpoint; grounded generation; citation verification; abstention calibration</w:t>
            </w:r>
          </w:p>
        </w:tc>
        <w:tc>
          <w:tcPr>
            <w:tcW w:type="dxa" w:w="257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Answer view; citation chips; coverage warnings</w:t>
            </w:r>
          </w:p>
        </w:tc>
      </w:tr>
      <w:tr>
        <w:trPr>
          <w:cantSplit/>
          <w:tblHeader w:val="false"/>
        </w:trPr>
        <w:tc>
          <w:tcPr>
            <w:tcW w:type="dxa" w:w="115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Phase 4
Month 5</w:t>
            </w:r>
          </w:p>
        </w:tc>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Author the 150-question evaluation set; 200-provision lineage audit; run evaluation and naive-baseline comparison</w:t>
            </w:r>
          </w:p>
        </w:tc>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Corrections arising from advocate review; caching; performance tuning</w:t>
            </w:r>
          </w:p>
        </w:tc>
        <w:tc>
          <w:tcPr>
            <w:tcW w:type="dxa" w:w="257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Amendment diff view; query history</w:t>
            </w:r>
          </w:p>
        </w:tc>
      </w:tr>
      <w:tr>
        <w:trPr>
          <w:cantSplit/>
          <w:tblHeader w:val="false"/>
        </w:trPr>
        <w:tc>
          <w:tcPr>
            <w:tcW w:type="dxa" w:w="115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Phase 5
Month 6</w:t>
            </w:r>
          </w:p>
        </w:tc>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Results tables; benchmark release; final report</w:t>
            </w:r>
          </w:p>
        </w:tc>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Integration; bug fixing; public API documentation; no new features</w:t>
            </w:r>
          </w:p>
        </w:tc>
        <w:tc>
          <w:tcPr>
            <w:tcW w:type="dxa" w:w="257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Bangla public interface; accessibility pass; public release</w:t>
            </w:r>
          </w:p>
        </w:tc>
      </w:tr>
    </w:tbl>
    <w:p>
      <w:pPr>
        <w:spacing w:after="100"/>
      </w:pPr>
    </w:p>
    <w:p>
      <w:pPr>
        <w:pStyle w:val="Heading2"/>
        <w:spacing w:after="110" w:before="230"/>
      </w:pPr>
      <w:r>
        <w:rPr>
          <w:rFonts w:ascii="Times New Roman" w:cs="Times New Roman" w:eastAsia="Times New Roman" w:hAnsi="Times New Roman"/>
          <w:b/>
          <w:bCs/>
          <w:color w:val="2E4E7E"/>
          <w:sz w:val="24"/>
          <w:szCs w:val="24"/>
        </w:rPr>
        <w:t xml:space="preserve">7.1 Milestones and tranche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cantSplit/>
          <w:tblHeader/>
        </w:trPr>
        <w:tc>
          <w:tcPr>
            <w:tcW w:type="dxa" w:w="15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Milestone</w:t>
            </w:r>
          </w:p>
        </w:tc>
        <w:tc>
          <w:tcPr>
            <w:tcW w:type="dxa" w:w="43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Completion criterion</w:t>
            </w:r>
          </w:p>
        </w:tc>
        <w:tc>
          <w:tcPr>
            <w:tcW w:type="dxa" w:w="32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Timing</w:t>
            </w:r>
          </w:p>
        </w:tc>
      </w:tr>
      <w:tr>
        <w:trPr>
          <w:cantSplit/>
          <w:tblHeader w:val="false"/>
        </w:trPr>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M1</w:t>
            </w:r>
          </w:p>
        </w:tc>
        <w:tc>
          <w:tcPr>
            <w:tcW w:type="dxa" w:w="4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Structured corpus ingested and schema populated; raw source pages cached locally</w:t>
            </w:r>
          </w:p>
        </w:tc>
        <w:tc>
          <w:tcPr>
            <w:tcW w:type="dxa" w:w="3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End of Month 2</w:t>
            </w:r>
          </w:p>
        </w:tc>
      </w:tr>
      <w:tr>
        <w:trPr>
          <w:cantSplit/>
          <w:tblHeader w:val="false"/>
        </w:trPr>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M2</w:t>
            </w:r>
          </w:p>
        </w:tc>
        <w:tc>
          <w:tcPr>
            <w:tcW w:type="dxa" w:w="4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Validity intervals written for amended provisions; coverage figure measurable</w:t>
            </w:r>
          </w:p>
        </w:tc>
        <w:tc>
          <w:tcPr>
            <w:tcW w:type="dxa" w:w="3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End of Month 3</w:t>
            </w:r>
          </w:p>
        </w:tc>
      </w:tr>
      <w:tr>
        <w:trPr>
          <w:cantSplit/>
          <w:tblHeader w:val="false"/>
        </w:trPr>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M3</w:t>
            </w:r>
          </w:p>
        </w:tc>
        <w:tc>
          <w:tcPr>
            <w:tcW w:type="dxa" w:w="4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End-to-end cited answers operational, with deterministic verification and calibrated abstention</w:t>
            </w:r>
          </w:p>
        </w:tc>
        <w:tc>
          <w:tcPr>
            <w:tcW w:type="dxa" w:w="3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End of Month 4</w:t>
            </w:r>
          </w:p>
        </w:tc>
      </w:tr>
      <w:tr>
        <w:trPr>
          <w:cantSplit/>
          <w:tblHeader w:val="false"/>
        </w:trPr>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M4</w:t>
            </w:r>
          </w:p>
        </w:tc>
        <w:tc>
          <w:tcPr>
            <w:tcW w:type="dxa" w:w="4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Evaluation set complete; evaluation and naive-baseline comparison run; lineage audit and advocate review complete</w:t>
            </w:r>
          </w:p>
        </w:tc>
        <w:tc>
          <w:tcPr>
            <w:tcW w:type="dxa" w:w="3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End of Month 5</w:t>
            </w:r>
          </w:p>
        </w:tc>
      </w:tr>
      <w:tr>
        <w:trPr>
          <w:cantSplit/>
          <w:tblHeader w:val="false"/>
        </w:trPr>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M5</w:t>
            </w:r>
          </w:p>
        </w:tc>
        <w:tc>
          <w:tcPr>
            <w:tcW w:type="dxa" w:w="4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Public release; corpus, API and benchmark handed over to the ICT Division</w:t>
            </w:r>
          </w:p>
        </w:tc>
        <w:tc>
          <w:tcPr>
            <w:tcW w:type="dxa" w:w="32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End of Month 6</w:t>
            </w:r>
          </w:p>
        </w:tc>
      </w:tr>
    </w:tbl>
    <w:p>
      <w:pPr>
        <w:spacing w:after="100"/>
      </w:pPr>
    </w:p>
    <w:p>
      <w:pPr>
        <w:spacing w:after="130" w:line="290"/>
        <w:jc w:val="both"/>
      </w:pPr>
      <w:r>
        <w:rPr>
          <w:rFonts w:ascii="Times New Roman" w:cs="Times New Roman" w:eastAsia="Times New Roman" w:hAnsi="Times New Roman"/>
          <w:sz w:val="22"/>
          <w:szCs w:val="22"/>
        </w:rPr>
        <w:t xml:space="preserve">The milestone structure maps directly onto the Innovation Fund’s tranche-based disbursement: M1 and M2, both delivered within the first three months, constitute the verifiable output of the first tranche, and M3 to M5 the second. Progress reports accompany each milestone.</w:t>
      </w:r>
    </w:p>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8. Budget and Justification</w:t>
      </w:r>
    </w:p>
    <w:p>
      <w:pPr>
        <w:spacing w:after="130" w:line="290"/>
        <w:jc w:val="both"/>
      </w:pPr>
      <w:r>
        <w:rPr>
          <w:rFonts w:ascii="Times New Roman" w:cs="Times New Roman" w:eastAsia="Times New Roman" w:hAnsi="Times New Roman"/>
          <w:sz w:val="22"/>
          <w:szCs w:val="22"/>
        </w:rPr>
        <w:t xml:space="preserve">The total amount requested is BDT 4,85,000 (four lakh eighty-five thousand taka only), disbursed over six months and remaining within the Small tier ceiling of the Innovation Fund.</w:t>
      </w:r>
    </w:p>
    <w:p>
      <w:pPr>
        <w:spacing w:after="130" w:line="290"/>
        <w:jc w:val="both"/>
      </w:pPr>
      <w:r>
        <w:rPr>
          <w:rFonts w:ascii="Times New Roman" w:cs="Times New Roman" w:eastAsia="Times New Roman" w:hAnsi="Times New Roman"/>
          <w:sz w:val="22"/>
          <w:szCs w:val="22"/>
        </w:rPr>
        <w:t xml:space="preserve">Two features of this budget are deliberate. First, no funds are allocated to corpus construction, because an openly licensed structured corpus already exists; the money goes into the layer that does not exist and into verifying it with qualified practitioners. Second, the applicants contribute their own equipment and all engineering hours beyond the stipend, which is set below entry-level market compensation for engineers of comparable experience in Dhaka and covers only hours displaced from paid employment.</w:t>
      </w:r>
    </w:p>
    <w:p>
      <w:pPr>
        <w:pStyle w:val="Heading2"/>
        <w:spacing w:after="110" w:before="230"/>
      </w:pPr>
      <w:r>
        <w:rPr>
          <w:rFonts w:ascii="Times New Roman" w:cs="Times New Roman" w:eastAsia="Times New Roman" w:hAnsi="Times New Roman"/>
          <w:b/>
          <w:bCs/>
          <w:color w:val="2E4E7E"/>
          <w:sz w:val="24"/>
          <w:szCs w:val="24"/>
        </w:rPr>
        <w:t xml:space="preserve">8.1 Head-wise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300"/>
        <w:gridCol w:w="1126"/>
      </w:tblGrid>
      <w:tr>
        <w:trPr>
          <w:cantSplit/>
          <w:tblHeader/>
        </w:trPr>
        <w:tc>
          <w:tcPr>
            <w:tcW w:type="dxa" w:w="32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Head of expenditure</w:t>
            </w:r>
          </w:p>
        </w:tc>
        <w:tc>
          <w:tcPr>
            <w:tcW w:type="dxa" w:w="34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Basis of estimate</w:t>
            </w:r>
          </w:p>
        </w:tc>
        <w:tc>
          <w:tcPr>
            <w:tcW w:type="dxa" w:w="13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Amount (BDT)</w:t>
            </w:r>
          </w:p>
        </w:tc>
        <w:tc>
          <w:tcPr>
            <w:tcW w:type="dxa" w:w="11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 </w:t>
            </w:r>
          </w:p>
        </w:tc>
      </w:tr>
      <w:tr>
        <w:trPr>
          <w:cantSplit/>
          <w:tblHeader w:val="false"/>
        </w:trPr>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Development stipend</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 developers × 6 months × BDT 18,000 per month</w:t>
            </w:r>
          </w:p>
        </w:tc>
        <w:tc>
          <w:tcPr>
            <w:tcW w:type="dxa" w:w="1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2,16,000</w:t>
            </w:r>
          </w:p>
        </w:tc>
        <w:tc>
          <w:tcPr>
            <w:tcW w:type="dxa" w:w="1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44.5</w:t>
            </w:r>
          </w:p>
        </w:tc>
      </w:tr>
      <w:tr>
        <w:trPr>
          <w:cantSplit/>
          <w:tblHeader w:val="false"/>
        </w:trPr>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Advocate verification panel</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 practising advocates × 45 hours × BDT 1,200 per hour</w:t>
            </w:r>
          </w:p>
        </w:tc>
        <w:tc>
          <w:tcPr>
            <w:tcW w:type="dxa" w:w="1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1,08,000</w:t>
            </w:r>
          </w:p>
        </w:tc>
        <w:tc>
          <w:tcPr>
            <w:tcW w:type="dxa" w:w="1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22.3</w:t>
            </w:r>
          </w:p>
        </w:tc>
      </w:tr>
      <w:tr>
        <w:trPr>
          <w:cantSplit/>
          <w:tblHeader w:val="false"/>
        </w:trPr>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LLM API credits</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Approximately 15,000 cited answers at approximately BDT 3 per answer, including repeated evaluation runs</w:t>
            </w:r>
          </w:p>
        </w:tc>
        <w:tc>
          <w:tcPr>
            <w:tcW w:type="dxa" w:w="1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45,000</w:t>
            </w:r>
          </w:p>
        </w:tc>
        <w:tc>
          <w:tcPr>
            <w:tcW w:type="dxa" w:w="1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9.3</w:t>
            </w:r>
          </w:p>
        </w:tc>
      </w:tr>
      <w:tr>
        <w:trPr>
          <w:cantSplit/>
          <w:tblHeader w:val="false"/>
        </w:trPr>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GPU compute — self-hosted inference and open-weight fallback</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Reranking, corpus embedding and independence from a foreign commercial API</w:t>
            </w:r>
          </w:p>
        </w:tc>
        <w:tc>
          <w:tcPr>
            <w:tcW w:type="dxa" w:w="1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40,000</w:t>
            </w:r>
          </w:p>
        </w:tc>
        <w:tc>
          <w:tcPr>
            <w:tcW w:type="dxa" w:w="1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8.2</w:t>
            </w:r>
          </w:p>
        </w:tc>
      </w:tr>
      <w:tr>
        <w:trPr>
          <w:cantSplit/>
          <w:tblHeader w:val="false"/>
        </w:trPr>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Cloud hosting, vector database and public API</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12 months at approximately BDT 2,500 per month</w:t>
            </w:r>
          </w:p>
        </w:tc>
        <w:tc>
          <w:tcPr>
            <w:tcW w:type="dxa" w:w="1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30,000</w:t>
            </w:r>
          </w:p>
        </w:tc>
        <w:tc>
          <w:tcPr>
            <w:tcW w:type="dxa" w:w="1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6.2</w:t>
            </w:r>
          </w:p>
        </w:tc>
      </w:tr>
      <w:tr>
        <w:trPr>
          <w:cantSplit/>
          <w:tblHeader w:val="false"/>
        </w:trPr>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Field testing with legal aid offices</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3 districts — travel, facilitated sessions, printed materials</w:t>
            </w:r>
          </w:p>
        </w:tc>
        <w:tc>
          <w:tcPr>
            <w:tcW w:type="dxa" w:w="1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27,000</w:t>
            </w:r>
          </w:p>
        </w:tc>
        <w:tc>
          <w:tcPr>
            <w:tcW w:type="dxa" w:w="1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5.6</w:t>
            </w:r>
          </w:p>
        </w:tc>
      </w:tr>
      <w:tr>
        <w:trPr>
          <w:cantSplit/>
          <w:tblHeader w:val="false"/>
        </w:trPr>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Contingency</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Approximately 2% of total</w:t>
            </w:r>
          </w:p>
        </w:tc>
        <w:tc>
          <w:tcPr>
            <w:tcW w:type="dxa" w:w="1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11,000</w:t>
            </w:r>
          </w:p>
        </w:tc>
        <w:tc>
          <w:tcPr>
            <w:tcW w:type="dxa" w:w="1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2.3</w:t>
            </w:r>
          </w:p>
        </w:tc>
      </w:tr>
      <w:tr>
        <w:trPr>
          <w:cantSplit/>
          <w:tblHeader w:val="false"/>
        </w:trPr>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Domain, SSL and email</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 years</w:t>
            </w:r>
          </w:p>
        </w:tc>
        <w:tc>
          <w:tcPr>
            <w:tcW w:type="dxa" w:w="1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8,000</w:t>
            </w:r>
          </w:p>
        </w:tc>
        <w:tc>
          <w:tcPr>
            <w:tcW w:type="dxa" w:w="11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1.6</w:t>
            </w:r>
          </w:p>
        </w:tc>
      </w:tr>
      <w:tr>
        <w:trPr>
          <w:cantSplit/>
          <w:tblHeader w:val="false"/>
        </w:trPr>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Total</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
            </w:r>
          </w:p>
        </w:tc>
        <w:tc>
          <w:tcPr>
            <w:tcW w:type="dxa" w:w="1300"/>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4,85,000</w:t>
            </w:r>
          </w:p>
        </w:tc>
        <w:tc>
          <w:tcPr>
            <w:tcW w:type="dxa" w:w="1126"/>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100.0</w:t>
            </w:r>
          </w:p>
        </w:tc>
      </w:tr>
    </w:tbl>
    <w:p>
      <w:pPr>
        <w:pStyle w:val="Heading2"/>
        <w:spacing w:after="110" w:before="230"/>
      </w:pPr>
      <w:r>
        <w:rPr>
          <w:rFonts w:ascii="Times New Roman" w:cs="Times New Roman" w:eastAsia="Times New Roman" w:hAnsi="Times New Roman"/>
          <w:b/>
          <w:bCs/>
          <w:color w:val="2E4E7E"/>
          <w:sz w:val="24"/>
          <w:szCs w:val="24"/>
        </w:rPr>
        <w:t xml:space="preserve">8.2 Justification by head</w:t>
      </w:r>
    </w:p>
    <w:p>
      <w:pPr>
        <w:spacing w:after="90" w:before="170"/>
      </w:pPr>
      <w:r>
        <w:rPr>
          <w:rFonts w:ascii="Times New Roman" w:cs="Times New Roman" w:eastAsia="Times New Roman" w:hAnsi="Times New Roman"/>
          <w:b/>
          <w:bCs/>
          <w:color w:val="2E4E7E"/>
          <w:sz w:val="22"/>
          <w:szCs w:val="22"/>
        </w:rPr>
        <w:t xml:space="preserve">Development stipend — BDT 2,16,000</w:t>
      </w:r>
    </w:p>
    <w:p>
      <w:pPr>
        <w:spacing w:after="130" w:line="290"/>
        <w:jc w:val="both"/>
      </w:pPr>
      <w:r>
        <w:rPr>
          <w:rFonts w:ascii="Times New Roman" w:cs="Times New Roman" w:eastAsia="Times New Roman" w:hAnsi="Times New Roman"/>
          <w:sz w:val="22"/>
          <w:szCs w:val="22"/>
        </w:rPr>
        <w:t xml:space="preserve">Two developers over six months at BDT 18,000 per month each. Both applicants are employed in the software industry, and the stipend covers hours displaced from paid employment rather than constituting a salary; it remains below entry-level market compensation for engineers of comparable experience in Dhaka. Six months of sustained part-time engineering is what the work actually requires. Resolving commencement dates across more than a thousand Acts is iterative rather than mechanical, and the result must be complete and stable before evaluation, lineage audit and advocate review can begin.</w:t>
      </w:r>
    </w:p>
    <w:p>
      <w:pPr>
        <w:spacing w:after="90" w:before="170"/>
      </w:pPr>
      <w:r>
        <w:rPr>
          <w:rFonts w:ascii="Times New Roman" w:cs="Times New Roman" w:eastAsia="Times New Roman" w:hAnsi="Times New Roman"/>
          <w:b/>
          <w:bCs/>
          <w:color w:val="2E4E7E"/>
          <w:sz w:val="22"/>
          <w:szCs w:val="22"/>
        </w:rPr>
        <w:t xml:space="preserve">Advocate verification panel — BDT 1,08,000</w:t>
      </w:r>
    </w:p>
    <w:p>
      <w:pPr>
        <w:spacing w:after="130" w:line="290"/>
        <w:jc w:val="both"/>
      </w:pPr>
      <w:r>
        <w:rPr>
          <w:rFonts w:ascii="Times New Roman" w:cs="Times New Roman" w:eastAsia="Times New Roman" w:hAnsi="Times New Roman"/>
          <w:sz w:val="22"/>
          <w:szCs w:val="22"/>
        </w:rPr>
        <w:t xml:space="preserve">Two practising advocates review system outputs for forty-five hours each at prevailing professional consultation rates. This is the largest non-stipend item and the one the project would least willingly reduce. Legal software that no qualified lawyer has examined should not be released to the public, and an evaluation benchmark not reviewed by practitioners carries limited weight. Review is spread across Phases 4 and 5 rather than concentrated at the end, so that corrections can be implemented and re-checked before public release. The panel also constitutes the project’s first expert user group.</w:t>
      </w:r>
    </w:p>
    <w:p>
      <w:pPr>
        <w:spacing w:after="90" w:before="170"/>
      </w:pPr>
      <w:r>
        <w:rPr>
          <w:rFonts w:ascii="Times New Roman" w:cs="Times New Roman" w:eastAsia="Times New Roman" w:hAnsi="Times New Roman"/>
          <w:b/>
          <w:bCs/>
          <w:color w:val="2E4E7E"/>
          <w:sz w:val="22"/>
          <w:szCs w:val="22"/>
        </w:rPr>
        <w:t xml:space="preserve">LLM API credits — BDT 45,000</w:t>
      </w:r>
    </w:p>
    <w:p>
      <w:pPr>
        <w:spacing w:after="130" w:line="290"/>
        <w:jc w:val="both"/>
      </w:pPr>
      <w:r>
        <w:rPr>
          <w:rFonts w:ascii="Times New Roman" w:cs="Times New Roman" w:eastAsia="Times New Roman" w:hAnsi="Times New Roman"/>
          <w:sz w:val="22"/>
          <w:szCs w:val="22"/>
        </w:rPr>
        <w:t xml:space="preserve">A cited answer grounded in approximately five retrieved provisions costs on the order of BDT 3 at current commercial rates. The allocation therefore supports roughly 15,000 generated answers, which comfortably exceeds the combined requirement of development iteration, repeated evaluation runs across 150 questions, advocate review cycles and a three-district field pilot. Retrieved provision text is cached between queries, so repeated questions touching the same sections cost a fraction of the first call.</w:t>
      </w:r>
    </w:p>
    <w:p>
      <w:pPr>
        <w:spacing w:after="90" w:before="170"/>
      </w:pPr>
      <w:r>
        <w:rPr>
          <w:rFonts w:ascii="Times New Roman" w:cs="Times New Roman" w:eastAsia="Times New Roman" w:hAnsi="Times New Roman"/>
          <w:b/>
          <w:bCs/>
          <w:color w:val="2E4E7E"/>
          <w:sz w:val="22"/>
          <w:szCs w:val="22"/>
        </w:rPr>
        <w:t xml:space="preserve">GPU compute — BDT 40,000</w:t>
      </w:r>
    </w:p>
    <w:p>
      <w:pPr>
        <w:spacing w:after="130" w:line="290"/>
        <w:jc w:val="both"/>
      </w:pPr>
      <w:r>
        <w:rPr>
          <w:rFonts w:ascii="Times New Roman" w:cs="Times New Roman" w:eastAsia="Times New Roman" w:hAnsi="Times New Roman"/>
          <w:sz w:val="22"/>
          <w:szCs w:val="22"/>
        </w:rPr>
        <w:t xml:space="preserve">Three distinct uses: the one-off embedding of approximately 35,000 sections, cross-encoder reranking during development and evaluation, and the self-hosted open-weight inference path. The third is the substantive justification. A project whose stated purpose is to keep Bangladeshi legal infrastructure in national hands cannot route its free public layer through a foreign commercial API with no alternative. This allocation establishes the fallback path so that public access survives changes in third-party pricing or availability.</w:t>
      </w:r>
    </w:p>
    <w:p>
      <w:pPr>
        <w:spacing w:after="90" w:before="170"/>
      </w:pPr>
      <w:r>
        <w:rPr>
          <w:rFonts w:ascii="Times New Roman" w:cs="Times New Roman" w:eastAsia="Times New Roman" w:hAnsi="Times New Roman"/>
          <w:b/>
          <w:bCs/>
          <w:color w:val="2E4E7E"/>
          <w:sz w:val="22"/>
          <w:szCs w:val="22"/>
        </w:rPr>
        <w:t xml:space="preserve">Cloud hosting, vector database and public API — BDT 30,000</w:t>
      </w:r>
    </w:p>
    <w:p>
      <w:pPr>
        <w:spacing w:after="130" w:line="290"/>
        <w:jc w:val="both"/>
      </w:pPr>
      <w:r>
        <w:rPr>
          <w:rFonts w:ascii="Times New Roman" w:cs="Times New Roman" w:eastAsia="Times New Roman" w:hAnsi="Times New Roman"/>
          <w:sz w:val="22"/>
          <w:szCs w:val="22"/>
        </w:rPr>
        <w:t xml:space="preserve">The complete vector index is of the order of 110 MB and the corpus text a further 60 MB, so the system runs on a single modest instance rather than on managed infrastructure. Twelve months are budgeted rather than six, because the public interface and API must remain available after the project period for the handover to have any practical meaning.</w:t>
      </w:r>
    </w:p>
    <w:p>
      <w:pPr>
        <w:spacing w:after="90" w:before="170"/>
      </w:pPr>
      <w:r>
        <w:rPr>
          <w:rFonts w:ascii="Times New Roman" w:cs="Times New Roman" w:eastAsia="Times New Roman" w:hAnsi="Times New Roman"/>
          <w:b/>
          <w:bCs/>
          <w:color w:val="2E4E7E"/>
          <w:sz w:val="22"/>
          <w:szCs w:val="22"/>
        </w:rPr>
        <w:t xml:space="preserve">Field testing — BDT 27,000</w:t>
      </w:r>
    </w:p>
    <w:p>
      <w:pPr>
        <w:spacing w:after="130" w:line="290"/>
        <w:jc w:val="both"/>
      </w:pPr>
      <w:r>
        <w:rPr>
          <w:rFonts w:ascii="Times New Roman" w:cs="Times New Roman" w:eastAsia="Times New Roman" w:hAnsi="Times New Roman"/>
          <w:sz w:val="22"/>
          <w:szCs w:val="22"/>
        </w:rPr>
        <w:t xml:space="preserve">Three districts at approximately BDT 9,000 each, covering travel, a facilitated session at a district legal aid office, and printed materials. Field testing outside Dhaka is what distinguishes a demonstrable public-service claim from an assumed one.</w:t>
      </w:r>
    </w:p>
    <w:p>
      <w:pPr>
        <w:pStyle w:val="Heading2"/>
        <w:spacing w:after="110" w:before="230"/>
      </w:pPr>
      <w:r>
        <w:rPr>
          <w:rFonts w:ascii="Times New Roman" w:cs="Times New Roman" w:eastAsia="Times New Roman" w:hAnsi="Times New Roman"/>
          <w:b/>
          <w:bCs/>
          <w:color w:val="2E4E7E"/>
          <w:sz w:val="24"/>
          <w:szCs w:val="24"/>
        </w:rPr>
        <w:t xml:space="preserve">8.3 Resources contributed without charge</w:t>
      </w:r>
    </w:p>
    <w:p>
      <w:pPr>
        <w:pStyle w:val="ListParagraph"/>
        <w:numPr>
          <w:ilvl w:val="0"/>
          <w:numId w:val="2"/>
        </w:numPr>
        <w:spacing w:after="85" w:line="285"/>
      </w:pPr>
      <w:r>
        <w:rPr>
          <w:rFonts w:ascii="Times New Roman" w:cs="Times New Roman" w:eastAsia="Times New Roman" w:hAnsi="Times New Roman"/>
          <w:sz w:val="22"/>
          <w:szCs w:val="22"/>
        </w:rPr>
        <w:t xml:space="preserve">Development machines — both applicants work on personally owned equipment.</w:t>
      </w:r>
    </w:p>
    <w:p>
      <w:pPr>
        <w:pStyle w:val="ListParagraph"/>
        <w:numPr>
          <w:ilvl w:val="0"/>
          <w:numId w:val="2"/>
        </w:numPr>
        <w:spacing w:after="85" w:line="285"/>
      </w:pPr>
      <w:r>
        <w:rPr>
          <w:rFonts w:ascii="Times New Roman" w:cs="Times New Roman" w:eastAsia="Times New Roman" w:hAnsi="Times New Roman"/>
          <w:sz w:val="22"/>
          <w:szCs w:val="22"/>
        </w:rPr>
        <w:t xml:space="preserve">Engineering labour beyond the stipend — contributed by the applicants, who remain in paid employment throughout the project period.</w:t>
      </w:r>
    </w:p>
    <w:p>
      <w:pPr>
        <w:pStyle w:val="ListParagraph"/>
        <w:numPr>
          <w:ilvl w:val="0"/>
          <w:numId w:val="2"/>
        </w:numPr>
        <w:spacing w:after="85" w:line="285"/>
      </w:pPr>
      <w:r>
        <w:rPr>
          <w:rFonts w:ascii="Times New Roman" w:cs="Times New Roman" w:eastAsia="Times New Roman" w:hAnsi="Times New Roman"/>
          <w:sz w:val="22"/>
          <w:szCs w:val="22"/>
        </w:rPr>
        <w:t xml:space="preserve">Corpus text — obtained under an open licence at no cost.</w:t>
      </w:r>
    </w:p>
    <w:p>
      <w:pPr>
        <w:pStyle w:val="ListParagraph"/>
        <w:numPr>
          <w:ilvl w:val="0"/>
          <w:numId w:val="2"/>
        </w:numPr>
        <w:spacing w:after="85" w:line="285"/>
      </w:pPr>
      <w:r>
        <w:rPr>
          <w:rFonts w:ascii="Times New Roman" w:cs="Times New Roman" w:eastAsia="Times New Roman" w:hAnsi="Times New Roman"/>
          <w:sz w:val="22"/>
          <w:szCs w:val="22"/>
        </w:rPr>
        <w:t xml:space="preserve">Academic supervision and institutional affiliation — provided by the Institute of Information Technology, University of Dhaka.</w:t>
      </w:r>
    </w:p>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9. Risk Assessment and Mitigation</w:t>
      </w:r>
    </w:p>
    <w:p>
      <w:pPr>
        <w:spacing w:after="130" w:line="290"/>
        <w:jc w:val="both"/>
      </w:pPr>
      <w:r>
        <w:rPr>
          <w:rFonts w:ascii="Times New Roman" w:cs="Times New Roman" w:eastAsia="Times New Roman" w:hAnsi="Times New Roman"/>
          <w:sz w:val="22"/>
          <w:szCs w:val="22"/>
        </w:rPr>
        <w:t xml:space="preserve">Risks are listed in order of consequence rather than likelihood. Every mitigation is designed to degrade gracefully rather than to fail outright.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6"/>
      </w:tblGrid>
      <w:tr>
        <w:trPr>
          <w:cantSplit/>
          <w:tblHeader/>
        </w:trPr>
        <w:tc>
          <w:tcPr>
            <w:tcW w:type="dxa" w:w="27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Risk</w:t>
            </w:r>
          </w:p>
        </w:tc>
        <w:tc>
          <w:tcPr>
            <w:tcW w:type="dxa" w:w="15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Severity</w:t>
            </w:r>
          </w:p>
        </w:tc>
        <w:tc>
          <w:tcPr>
            <w:tcW w:type="dxa" w:w="48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Mitigation</w:t>
            </w:r>
          </w:p>
        </w:tc>
      </w:tr>
      <w:tr>
        <w:trPr>
          <w:cantSplit/>
          <w:tblHeader w:val="false"/>
        </w:trPr>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 user relies on an incorrect answer and suffers legal detriment</w:t>
            </w:r>
          </w:p>
        </w:tc>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High</w:t>
            </w:r>
          </w:p>
        </w:tc>
        <w:tc>
          <w:tcPr>
            <w:tcW w:type="dxa" w:w="4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The system gives no legal advice and states so prominently. Outputs are advocate-verified before release. The system abstains below a calibrated confidence threshold. Every answer links to the official source for independent verification. An audit log records every answer served.</w:t>
            </w:r>
          </w:p>
        </w:tc>
      </w:tr>
      <w:tr>
        <w:trPr>
          <w:cantSplit/>
          <w:tblHeader w:val="false"/>
        </w:trPr>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Commencement dates cannot be recovered for a substantial share of amendments</w:t>
            </w:r>
          </w:p>
        </w:tc>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High</w:t>
            </w:r>
          </w:p>
        </w:tc>
        <w:tc>
          <w:tcPr>
            <w:tcW w:type="dxa" w:w="4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Confidence tiering: provisions whose dates cannot be established are marked “date unknown” and fall back to current-text retrieval with a visible on-screen warning. Coverage is reported as a measured result, never assumed. The project succeeds with partial coverage honestly declared.</w:t>
            </w:r>
          </w:p>
        </w:tc>
      </w:tr>
      <w:tr>
        <w:trPr>
          <w:cantSplit/>
          <w:tblHeader w:val="false"/>
        </w:trPr>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The Code portal is not the legally authoritative text — the printed Bangladesh Code is</w:t>
            </w:r>
          </w:p>
        </w:tc>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Medium</w:t>
            </w:r>
          </w:p>
        </w:tc>
        <w:tc>
          <w:tcPr>
            <w:tcW w:type="dxa" w:w="4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The system is positioned throughout as a research aid rather than as legal authority. Every citation links back to the official portal. This limitation is stated in the interface, not only in documentation.</w:t>
            </w:r>
          </w:p>
        </w:tc>
      </w:tr>
      <w:tr>
        <w:trPr>
          <w:cantSplit/>
          <w:tblHeader w:val="false"/>
        </w:trPr>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Practitioners do not adopt the tool or change established workflow</w:t>
            </w:r>
          </w:p>
        </w:tc>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Medium</w:t>
            </w:r>
          </w:p>
        </w:tc>
        <w:tc>
          <w:tcPr>
            <w:tcW w:type="dxa" w:w="4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The advocate verification panel becomes the first expert user group. Distribution runs through legal aid offices and law faculties rather than cold commercial outreach. The free public layer creates usage independent of professional adoption.</w:t>
            </w:r>
          </w:p>
        </w:tc>
      </w:tr>
      <w:tr>
        <w:trPr>
          <w:cantSplit/>
          <w:tblHeader w:val="false"/>
        </w:trPr>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Source portal structure changes or blocks automated access mid-project</w:t>
            </w:r>
          </w:p>
        </w:tc>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Medium</w:t>
            </w:r>
          </w:p>
        </w:tc>
        <w:tc>
          <w:tcPr>
            <w:tcW w:type="dxa" w:w="4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The project builds primarily on an already-downloaded open dataset rather than on live scraping. All raw pages required for gap-filling are cached in Phase 1, and the parser is decoupled from the fetcher.</w:t>
            </w:r>
          </w:p>
        </w:tc>
      </w:tr>
      <w:tr>
        <w:trPr>
          <w:cantSplit/>
          <w:tblHeader w:val="false"/>
        </w:trPr>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Retrieval quality degrades at full-Code scale</w:t>
            </w:r>
          </w:p>
        </w:tc>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Medium</w:t>
            </w:r>
          </w:p>
        </w:tc>
        <w:tc>
          <w:tcPr>
            <w:tcW w:type="dxa" w:w="4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The hybrid design means lexical search continues to carry exact-term and section-number queries even where dense retrieval underperforms on legal Bangla. Both retrievers are evaluated separately so that degradation is attributable.</w:t>
            </w:r>
          </w:p>
        </w:tc>
      </w:tr>
      <w:tr>
        <w:trPr>
          <w:cantSplit/>
          <w:tblHeader w:val="false"/>
        </w:trPr>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Team continuity — both applicants complete their degree during the period</w:t>
            </w:r>
          </w:p>
        </w:tc>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Medium</w:t>
            </w:r>
          </w:p>
        </w:tc>
        <w:tc>
          <w:tcPr>
            <w:tcW w:type="dxa" w:w="4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All deliverables are handed over and openly licensed, so the corpus and benchmark survive independently of the team. Documentation and deployment instructions form part of the handover package.</w:t>
            </w:r>
          </w:p>
        </w:tc>
      </w:tr>
      <w:tr>
        <w:trPr>
          <w:cantSplit/>
          <w:tblHeader w:val="false"/>
        </w:trPr>
        <w:tc>
          <w:tcPr>
            <w:tcW w:type="dxa" w:w="2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Compute or API costs exceed estimate</w:t>
            </w:r>
          </w:p>
        </w:tc>
        <w:tc>
          <w:tcPr>
            <w:tcW w:type="dxa" w:w="1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Low</w:t>
            </w:r>
          </w:p>
        </w:tc>
        <w:tc>
          <w:tcPr>
            <w:tcW w:type="dxa" w:w="4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The embedding job is chunked, resumable and checkpointed; a smaller embedding model is available as fallback. Generation costs are bounded by caching and by the abstention mechanism, which suppresses low-value calls.</w:t>
            </w:r>
          </w:p>
        </w:tc>
      </w:tr>
    </w:tbl>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10. Expected Impact and Relevance to National Priority</w:t>
      </w:r>
    </w:p>
    <w:p>
      <w:pPr>
        <w:pStyle w:val="Heading2"/>
        <w:spacing w:after="110" w:before="230"/>
      </w:pPr>
      <w:r>
        <w:rPr>
          <w:rFonts w:ascii="Times New Roman" w:cs="Times New Roman" w:eastAsia="Times New Roman" w:hAnsi="Times New Roman"/>
          <w:b/>
          <w:bCs/>
          <w:color w:val="2E4E7E"/>
          <w:sz w:val="24"/>
          <w:szCs w:val="24"/>
        </w:rPr>
        <w:t xml:space="preserve">10.1 Alignment with ICT Division priority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Priority area</w:t>
            </w:r>
          </w:p>
        </w:tc>
        <w:tc>
          <w:tcPr>
            <w:tcW w:type="dxa" w:w="64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Contribution</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Public service innovation</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Free Bangla public access to correctly dated statutory information; a documented public API usable by legal aid bodies; the corpus and API handed to the ICT Division as reusable national digital infrastructure</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Socio-economic development</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Reduces the cost of authoritative legal research, which currently tracks income and geography; makes low-value claims economically viable to pursue; serves district practitioners and self-represented litigants who have no subscription alternative</w:t>
            </w:r>
          </w:p>
        </w:tc>
      </w:tr>
      <w:tr>
        <w:trPr>
          <w:cantSplit/>
          <w:tblHeader w:val="false"/>
        </w:trPr>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ICT industry growth</w:t>
            </w:r>
          </w:p>
        </w:tc>
        <w:tc>
          <w:tcPr>
            <w:tcW w:type="dxa" w:w="6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Establishes Bangla legal NLP capability and an open benchmark in a domain with no existing national resources, lowering the entry cost for every subsequent Bangladeshi legal-technology effort</w:t>
            </w:r>
          </w:p>
        </w:tc>
      </w:tr>
    </w:tbl>
    <w:p>
      <w:pPr>
        <w:pStyle w:val="Heading2"/>
        <w:spacing w:after="110" w:before="230"/>
      </w:pPr>
      <w:r>
        <w:rPr>
          <w:rFonts w:ascii="Times New Roman" w:cs="Times New Roman" w:eastAsia="Times New Roman" w:hAnsi="Times New Roman"/>
          <w:b/>
          <w:bCs/>
          <w:color w:val="2E4E7E"/>
          <w:sz w:val="24"/>
          <w:szCs w:val="24"/>
        </w:rPr>
        <w:t xml:space="preserve">10.2 Alignment with national legal-sector policy</w:t>
      </w:r>
    </w:p>
    <w:p>
      <w:pPr>
        <w:spacing w:after="130" w:line="290"/>
        <w:jc w:val="both"/>
      </w:pPr>
      <w:r>
        <w:rPr>
          <w:rFonts w:ascii="Times New Roman" w:cs="Times New Roman" w:eastAsia="Times New Roman" w:hAnsi="Times New Roman"/>
          <w:sz w:val="22"/>
          <w:szCs w:val="22"/>
        </w:rPr>
        <w:t xml:space="preserve">The Government has already committed to expanding mandatory pre-litigation mediation. Under the amended legal aid framework, mediation is now mandatory in most scheduled-law cases, with certified settlements carrying the status of court decrees. The programme currently operates in twenty districts, where it has reduced regular case filings by 62.83 percent, and nationwide expansion is planned.</w:t>
      </w:r>
    </w:p>
    <w:p>
      <w:pPr>
        <w:spacing w:after="130" w:line="290"/>
        <w:jc w:val="both"/>
      </w:pPr>
      <w:r>
        <w:rPr>
          <w:rFonts w:ascii="Times New Roman" w:cs="Times New Roman" w:eastAsia="Times New Roman" w:hAnsi="Times New Roman"/>
          <w:sz w:val="22"/>
          <w:szCs w:val="22"/>
        </w:rPr>
        <w:t xml:space="preserve">Every mediation requires both parties to understand what the law actually provides. Where that understanding is absent, settlements are either unbalanced or do not occur. Dhara’s free public layer addresses precisely that requirement. The project therefore supports a policy direction the Government has already adopted, rather than proposing a new one.</w:t>
      </w:r>
    </w:p>
    <w:p>
      <w:pPr>
        <w:pStyle w:val="Heading2"/>
        <w:spacing w:after="110" w:before="230"/>
      </w:pPr>
      <w:r>
        <w:rPr>
          <w:rFonts w:ascii="Times New Roman" w:cs="Times New Roman" w:eastAsia="Times New Roman" w:hAnsi="Times New Roman"/>
          <w:b/>
          <w:bCs/>
          <w:color w:val="2E4E7E"/>
          <w:sz w:val="24"/>
          <w:szCs w:val="24"/>
        </w:rPr>
        <w:t xml:space="preserve">10.3 Data sovereignty</w:t>
      </w:r>
    </w:p>
    <w:p>
      <w:pPr>
        <w:spacing w:after="130" w:line="290"/>
        <w:jc w:val="both"/>
      </w:pPr>
      <w:r>
        <w:rPr>
          <w:rFonts w:ascii="Times New Roman" w:cs="Times New Roman" w:eastAsia="Times New Roman" w:hAnsi="Times New Roman"/>
          <w:sz w:val="22"/>
          <w:szCs w:val="22"/>
        </w:rPr>
        <w:t xml:space="preserve">At present the most usable digital index of Bangladeshi statutory and case law is maintained by a commercial entity outside Bangladesh, sold in foreign currency, within a product designed primarily for another jurisdiction and operating only in English. A nation’s own legal corpus is public infrastructure of the same character as its mapping or identity data. This project establishes a Bangladeshi-owned, openly licensed alternative and places it in the custody of the ICT Division.</w:t>
      </w:r>
    </w:p>
    <w:p>
      <w:pPr>
        <w:pStyle w:val="Heading2"/>
        <w:spacing w:after="110" w:before="230"/>
      </w:pPr>
      <w:r>
        <w:rPr>
          <w:rFonts w:ascii="Times New Roman" w:cs="Times New Roman" w:eastAsia="Times New Roman" w:hAnsi="Times New Roman"/>
          <w:b/>
          <w:bCs/>
          <w:color w:val="2E4E7E"/>
          <w:sz w:val="24"/>
          <w:szCs w:val="24"/>
        </w:rPr>
        <w:t xml:space="preserve">10.4 Societal impact</w:t>
      </w:r>
    </w:p>
    <w:p>
      <w:pPr>
        <w:pStyle w:val="ListParagraph"/>
        <w:numPr>
          <w:ilvl w:val="0"/>
          <w:numId w:val="2"/>
        </w:numPr>
        <w:spacing w:after="85" w:line="285"/>
      </w:pPr>
      <w:r>
        <w:rPr>
          <w:rFonts w:ascii="Times New Roman" w:cs="Times New Roman" w:eastAsia="Times New Roman" w:hAnsi="Times New Roman"/>
          <w:sz w:val="22"/>
          <w:szCs w:val="22"/>
        </w:rPr>
        <w:t xml:space="preserve">Social — district practitioners, legal aid officers, law students and self-represented litigants gain correctly dated statutory information without a paid subscription. Law students acquire correct citation practice, because every answer is anchored to a provision and a date.</w:t>
      </w:r>
    </w:p>
    <w:p>
      <w:pPr>
        <w:pStyle w:val="ListParagraph"/>
        <w:numPr>
          <w:ilvl w:val="0"/>
          <w:numId w:val="2"/>
        </w:numPr>
        <w:spacing w:after="85" w:line="285"/>
      </w:pPr>
      <w:r>
        <w:rPr>
          <w:rFonts w:ascii="Times New Roman" w:cs="Times New Roman" w:eastAsia="Times New Roman" w:hAnsi="Times New Roman"/>
          <w:sz w:val="22"/>
          <w:szCs w:val="22"/>
        </w:rPr>
        <w:t xml:space="preserve">Economic — lower research cost per matter; fewer submissions built on superseded provisions, and therefore fewer wasted hearings and adjournments.</w:t>
      </w:r>
    </w:p>
    <w:p>
      <w:pPr>
        <w:pStyle w:val="ListParagraph"/>
        <w:numPr>
          <w:ilvl w:val="0"/>
          <w:numId w:val="2"/>
        </w:numPr>
        <w:spacing w:after="85" w:line="285"/>
      </w:pPr>
      <w:r>
        <w:rPr>
          <w:rFonts w:ascii="Times New Roman" w:cs="Times New Roman" w:eastAsia="Times New Roman" w:hAnsi="Times New Roman"/>
          <w:sz w:val="22"/>
          <w:szCs w:val="22"/>
        </w:rPr>
        <w:t xml:space="preserve">Institutional — a version-tracked legal corpus becomes a reusable public asset, lowering the entry cost for every future Bangladeshi legal-technology effort much as open map data lowers the cost of building navigation software.</w:t>
      </w:r>
    </w:p>
    <w:p>
      <w:pPr>
        <w:pStyle w:val="Heading2"/>
        <w:spacing w:after="110" w:before="230"/>
      </w:pPr>
      <w:r>
        <w:rPr>
          <w:rFonts w:ascii="Times New Roman" w:cs="Times New Roman" w:eastAsia="Times New Roman" w:hAnsi="Times New Roman"/>
          <w:b/>
          <w:bCs/>
          <w:color w:val="2E4E7E"/>
          <w:sz w:val="24"/>
          <w:szCs w:val="24"/>
        </w:rPr>
        <w:t xml:space="preserve">10.5 Measured, not asserted</w:t>
      </w:r>
    </w:p>
    <w:p>
      <w:pPr>
        <w:spacing w:after="130" w:line="290"/>
        <w:jc w:val="both"/>
      </w:pPr>
      <w:r>
        <w:rPr>
          <w:rFonts w:ascii="Times New Roman" w:cs="Times New Roman" w:eastAsia="Times New Roman" w:hAnsi="Times New Roman"/>
          <w:sz w:val="22"/>
          <w:szCs w:val="22"/>
        </w:rPr>
        <w:t xml:space="preserve">The project commits to three measurements rather than three claims: a timed user study with law students against manual portal search; the measured accuracy gap over the temporally naive baseline on date-sensitive questions; and a hallucinated-citation rate at or near zero established through deterministic verification.</w:t>
      </w:r>
    </w:p>
    <w:p>
      <w:pPr>
        <w:spacing w:after="130" w:line="290"/>
        <w:jc w:val="both"/>
      </w:pPr>
      <w:r>
        <w:rPr>
          <w:rFonts w:ascii="Times New Roman" w:cs="Times New Roman" w:eastAsia="Times New Roman" w:hAnsi="Times New Roman"/>
          <w:sz w:val="22"/>
          <w:szCs w:val="22"/>
        </w:rPr>
        <w:t xml:space="preserve">The project makes no claim that it will reduce the national case backlog. Backlog is driven principally by judge shortage and procedural delay, neither of which is a software problem. The honest claim is narrower: the system removes one avoidable source of delay and one avoidable source of error.</w:t>
      </w:r>
    </w:p>
    <w:p>
      <w:pPr>
        <w:pStyle w:val="Heading2"/>
        <w:spacing w:after="110" w:before="230"/>
      </w:pPr>
      <w:r>
        <w:rPr>
          <w:rFonts w:ascii="Times New Roman" w:cs="Times New Roman" w:eastAsia="Times New Roman" w:hAnsi="Times New Roman"/>
          <w:b/>
          <w:bCs/>
          <w:color w:val="2E4E7E"/>
          <w:sz w:val="24"/>
          <w:szCs w:val="24"/>
        </w:rPr>
        <w:t xml:space="preserve">10.6 Alignment with the Sustainable Development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cantSplit/>
          <w:tblHeader/>
        </w:trPr>
        <w:tc>
          <w:tcPr>
            <w:tcW w:type="dxa" w:w="7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SDG</w:t>
            </w:r>
          </w:p>
        </w:tc>
        <w:tc>
          <w:tcPr>
            <w:tcW w:type="dxa" w:w="26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Goal</w:t>
            </w:r>
          </w:p>
        </w:tc>
        <w:tc>
          <w:tcPr>
            <w:tcW w:type="dxa" w:w="57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Contribution</w:t>
            </w:r>
          </w:p>
        </w:tc>
      </w:tr>
      <w:tr>
        <w:trPr>
          <w:cantSplit/>
          <w:tblHeader w:val="false"/>
        </w:trPr>
        <w:tc>
          <w:tcPr>
            <w:tcW w:type="dxa" w:w="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16</w:t>
            </w:r>
          </w:p>
        </w:tc>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Peace, Justice and Strong Institutions</w:t>
            </w:r>
          </w:p>
        </w:tc>
        <w:tc>
          <w:tcPr>
            <w:tcW w:type="dxa" w:w="5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Primary alignment. Makes the statutory corpus searchable, correctly dated and citable, directly expanding access to justice, and produces machine-readable legal infrastructure that courts and legal aid bodies can build on.</w:t>
            </w:r>
          </w:p>
        </w:tc>
      </w:tr>
      <w:tr>
        <w:trPr>
          <w:cantSplit/>
          <w:tblHeader w:val="false"/>
        </w:trPr>
        <w:tc>
          <w:tcPr>
            <w:tcW w:type="dxa" w:w="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10</w:t>
            </w:r>
          </w:p>
        </w:tc>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Reduced Inequalities</w:t>
            </w:r>
          </w:p>
        </w:tc>
        <w:tc>
          <w:tcPr>
            <w:tcW w:type="dxa" w:w="5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Narrows the legal capability gap that currently tracks income and geography between senior urban counsel and district practitioners, legal aid officers and self-represented litigants.</w:t>
            </w:r>
          </w:p>
        </w:tc>
      </w:tr>
      <w:tr>
        <w:trPr>
          <w:cantSplit/>
          <w:tblHeader w:val="false"/>
        </w:trPr>
        <w:tc>
          <w:tcPr>
            <w:tcW w:type="dxa" w:w="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9</w:t>
            </w:r>
          </w:p>
        </w:tc>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Industry, Innovation and Infrastructure</w:t>
            </w:r>
          </w:p>
        </w:tc>
        <w:tc>
          <w:tcPr>
            <w:tcW w:type="dxa" w:w="5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Builds national digital public infrastructure and advances Bangla-language natural language processing in a specialised domain with no existing resources.</w:t>
            </w:r>
          </w:p>
        </w:tc>
      </w:tr>
      <w:tr>
        <w:trPr>
          <w:cantSplit/>
          <w:tblHeader w:val="false"/>
        </w:trPr>
        <w:tc>
          <w:tcPr>
            <w:tcW w:type="dxa" w:w="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4</w:t>
            </w:r>
          </w:p>
        </w:tc>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Quality Education</w:t>
            </w:r>
          </w:p>
        </w:tc>
        <w:tc>
          <w:tcPr>
            <w:tcW w:type="dxa" w:w="5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The open corpus and evaluation benchmark are directly usable in legal education and in NLP research training at Bangladeshi universities.</w:t>
            </w:r>
          </w:p>
        </w:tc>
      </w:tr>
      <w:tr>
        <w:trPr>
          <w:cantSplit/>
          <w:tblHeader w:val="false"/>
        </w:trPr>
        <w:tc>
          <w:tcPr>
            <w:tcW w:type="dxa" w:w="7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8</w:t>
            </w:r>
          </w:p>
        </w:tc>
        <w:tc>
          <w:tcPr>
            <w:tcW w:type="dxa" w:w="2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Decent Work and Economic Growth</w:t>
            </w:r>
          </w:p>
        </w:tc>
        <w:tc>
          <w:tcPr>
            <w:tcW w:type="dxa" w:w="5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Full-Code coverage includes labour and industrial legislation, helping workers and employers establish entitlements under the law as it stood at the relevant time.</w:t>
            </w:r>
          </w:p>
        </w:tc>
      </w:tr>
    </w:tbl>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11. Sustainability and Continuation Plan</w:t>
      </w:r>
    </w:p>
    <w:p>
      <w:pPr>
        <w:pStyle w:val="Heading2"/>
        <w:spacing w:after="110" w:before="230"/>
      </w:pPr>
      <w:r>
        <w:rPr>
          <w:rFonts w:ascii="Times New Roman" w:cs="Times New Roman" w:eastAsia="Times New Roman" w:hAnsi="Times New Roman"/>
          <w:b/>
          <w:bCs/>
          <w:color w:val="2E4E7E"/>
          <w:sz w:val="24"/>
          <w:szCs w:val="24"/>
        </w:rPr>
        <w:t xml:space="preserve">11.1 Handover and intellectual property</w:t>
      </w:r>
    </w:p>
    <w:p>
      <w:pPr>
        <w:spacing w:after="130" w:line="290"/>
        <w:jc w:val="both"/>
      </w:pPr>
      <w:r>
        <w:rPr>
          <w:rFonts w:ascii="Times New Roman" w:cs="Times New Roman" w:eastAsia="Times New Roman" w:hAnsi="Times New Roman"/>
          <w:sz w:val="22"/>
          <w:szCs w:val="22"/>
        </w:rPr>
        <w:t xml:space="preserve">In accordance with Article 21.5 of the Innovation Fund policy, the deliverables produced under this grant — the structured corpus, the public API, the evaluation benchmark and the accompanying documentation — are handed over to the ICT Division or its designated institution for public service use on completion. The project is designed around this obligation rather than in tension with it: handover means government custody and permanent distribution, which is the best available outcome for public infrastructure of this kind.</w:t>
      </w:r>
    </w:p>
    <w:p>
      <w:pPr>
        <w:spacing w:after="130" w:line="290"/>
        <w:jc w:val="both"/>
      </w:pPr>
      <w:r>
        <w:rPr>
          <w:rFonts w:ascii="Times New Roman" w:cs="Times New Roman" w:eastAsia="Times New Roman" w:hAnsi="Times New Roman"/>
          <w:sz w:val="22"/>
          <w:szCs w:val="22"/>
        </w:rPr>
        <w:t xml:space="preserve">All grant-funded deliverables are additionally released under an open licence so that they remain usable by Bangladeshi researchers, legal aid organisations and developers regardless of any later institutional decision. The corpus derives from openly licensed sources and from official government text, and carries attribution to the Ministry of Law, Justice and Parliamentary Affairs.</w:t>
      </w:r>
    </w:p>
    <w:p>
      <w:pPr>
        <w:pStyle w:val="Heading2"/>
        <w:spacing w:after="110" w:before="230"/>
      </w:pPr>
      <w:r>
        <w:rPr>
          <w:rFonts w:ascii="Times New Roman" w:cs="Times New Roman" w:eastAsia="Times New Roman" w:hAnsi="Times New Roman"/>
          <w:b/>
          <w:bCs/>
          <w:color w:val="2E4E7E"/>
          <w:sz w:val="24"/>
          <w:szCs w:val="24"/>
        </w:rPr>
        <w:t xml:space="preserve">11.2 Operating sustainability after the grant period</w:t>
      </w:r>
    </w:p>
    <w:p>
      <w:pPr>
        <w:pStyle w:val="ListParagraph"/>
        <w:numPr>
          <w:ilvl w:val="0"/>
          <w:numId w:val="2"/>
        </w:numPr>
        <w:spacing w:after="85" w:line="285"/>
      </w:pPr>
      <w:r>
        <w:rPr>
          <w:rFonts w:ascii="Times New Roman" w:cs="Times New Roman" w:eastAsia="Times New Roman" w:hAnsi="Times New Roman"/>
          <w:sz w:val="22"/>
          <w:szCs w:val="22"/>
        </w:rPr>
        <w:t xml:space="preserve">Low marginal cost. The retrieval layer runs on commodity hardware; the index is of the order of 110 MB. Only generation depends on a paid service, and the self-hosted open-weight path funded under this grant makes that dependency replaceable.</w:t>
      </w:r>
    </w:p>
    <w:p>
      <w:pPr>
        <w:pStyle w:val="ListParagraph"/>
        <w:numPr>
          <w:ilvl w:val="0"/>
          <w:numId w:val="2"/>
        </w:numPr>
        <w:spacing w:after="85" w:line="285"/>
      </w:pPr>
      <w:r>
        <w:rPr>
          <w:rFonts w:ascii="Times New Roman" w:cs="Times New Roman" w:eastAsia="Times New Roman" w:hAnsi="Times New Roman"/>
          <w:sz w:val="22"/>
          <w:szCs w:val="22"/>
        </w:rPr>
        <w:t xml:space="preserve">Hosting beyond the project. Twelve months of hosting is budgeted within the grant rather than six, so the public interface and API remain available well past the implementation period.</w:t>
      </w:r>
    </w:p>
    <w:p>
      <w:pPr>
        <w:pStyle w:val="ListParagraph"/>
        <w:numPr>
          <w:ilvl w:val="0"/>
          <w:numId w:val="2"/>
        </w:numPr>
        <w:spacing w:after="85" w:line="285"/>
      </w:pPr>
      <w:r>
        <w:rPr>
          <w:rFonts w:ascii="Times New Roman" w:cs="Times New Roman" w:eastAsia="Times New Roman" w:hAnsi="Times New Roman"/>
          <w:sz w:val="22"/>
          <w:szCs w:val="22"/>
        </w:rPr>
        <w:t xml:space="preserve">Academic continuity. Corpus expansion, judgment ingestion and benchmark maintenance map naturally onto undergraduate and postgraduate theses at the applicants’ institution, sustaining development beyond any single funding cycle.</w:t>
      </w:r>
    </w:p>
    <w:p>
      <w:pPr>
        <w:pStyle w:val="ListParagraph"/>
        <w:numPr>
          <w:ilvl w:val="0"/>
          <w:numId w:val="2"/>
        </w:numPr>
        <w:spacing w:after="85" w:line="285"/>
      </w:pPr>
      <w:r>
        <w:rPr>
          <w:rFonts w:ascii="Times New Roman" w:cs="Times New Roman" w:eastAsia="Times New Roman" w:hAnsi="Times New Roman"/>
          <w:sz w:val="22"/>
          <w:szCs w:val="22"/>
        </w:rPr>
        <w:t xml:space="preserve">Institutional anchor. A single service agreement with a legal aid body or judicial training institution would cover baseline operating cost while supplying the domain feedback loop the system needs.</w:t>
      </w:r>
    </w:p>
    <w:p>
      <w:pPr>
        <w:pStyle w:val="Heading2"/>
        <w:spacing w:after="110" w:before="230"/>
      </w:pPr>
      <w:r>
        <w:rPr>
          <w:rFonts w:ascii="Times New Roman" w:cs="Times New Roman" w:eastAsia="Times New Roman" w:hAnsi="Times New Roman"/>
          <w:b/>
          <w:bCs/>
          <w:color w:val="2E4E7E"/>
          <w:sz w:val="24"/>
          <w:szCs w:val="24"/>
        </w:rPr>
        <w:t xml:space="preserve">11.3 Longer-term revenue model, stated for transparency</w:t>
      </w:r>
    </w:p>
    <w:p>
      <w:pPr>
        <w:spacing w:after="130" w:line="290"/>
        <w:jc w:val="both"/>
      </w:pPr>
      <w:r>
        <w:rPr>
          <w:rFonts w:ascii="Times New Roman" w:cs="Times New Roman" w:eastAsia="Times New Roman" w:hAnsi="Times New Roman"/>
          <w:sz w:val="22"/>
          <w:szCs w:val="22"/>
        </w:rPr>
        <w:t xml:space="preserve">The applicants intend to continue developing a professional product layer above the public corpus after the grant period. This is declared here so that the boundary is unambiguous: nothing in the following table is funded by this grant, and nothing in it is part of the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cantSplit/>
          <w:tblHeader/>
        </w:trPr>
        <w:tc>
          <w:tcPr>
            <w:tcW w:type="dxa" w:w="28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Stream</w:t>
            </w:r>
          </w:p>
        </w:tc>
        <w:tc>
          <w:tcPr>
            <w:tcW w:type="dxa" w:w="34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Customer</w:t>
            </w:r>
          </w:p>
        </w:tc>
        <w:tc>
          <w:tcPr>
            <w:tcW w:type="dxa" w:w="28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Indicative pricing</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Public statutory search</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General public, legal aid bodies</w:t>
            </w:r>
          </w:p>
        </w:tc>
        <w:tc>
          <w:tcPr>
            <w:tcW w:type="dxa" w:w="2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Free, permanently</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Individual subscription</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Practising advocates</w:t>
            </w:r>
          </w:p>
        </w:tc>
        <w:tc>
          <w:tcPr>
            <w:tcW w:type="dxa" w:w="2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BDT 1,200 per seat per month</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Chamber subscription</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Law firms and chambers</w:t>
            </w:r>
          </w:p>
        </w:tc>
        <w:tc>
          <w:tcPr>
            <w:tcW w:type="dxa" w:w="2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BDT 4,000 per month, 4 seats</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Enterprise licence</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Banks, corporate legal departments, insurers</w:t>
            </w:r>
          </w:p>
        </w:tc>
        <w:tc>
          <w:tcPr>
            <w:tcW w:type="dxa" w:w="2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BDT 25,000+ per month</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Institutional licence</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Law and Justice Division, NLASO, judicial academy, Bar Council, law faculties</w:t>
            </w:r>
          </w:p>
        </w:tc>
        <w:tc>
          <w:tcPr>
            <w:tcW w:type="dxa" w:w="2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Annual contract</w:t>
            </w:r>
          </w:p>
        </w:tc>
      </w:tr>
      <w:tr>
        <w:trPr>
          <w:cantSplit/>
          <w:tblHeader w:val="false"/>
        </w:trPr>
        <w:tc>
          <w:tcPr>
            <w:tcW w:type="dxa" w:w="28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Regulatory-change monitoring API</w:t>
            </w:r>
          </w:p>
        </w:tc>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Banks, non-bank financial institutions, telecom operators</w:t>
            </w:r>
          </w:p>
        </w:tc>
        <w:tc>
          <w:tcPr>
            <w:tcW w:type="dxa" w:w="28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Per-call or annual contract</w:t>
            </w:r>
          </w:p>
        </w:tc>
      </w:tr>
    </w:tbl>
    <w:p>
      <w:pPr>
        <w:spacing w:after="100"/>
      </w:pPr>
    </w:p>
    <w:p>
      <w:pPr>
        <w:spacing w:after="130" w:line="290"/>
        <w:jc w:val="both"/>
      </w:pPr>
      <w:r>
        <w:rPr>
          <w:rFonts w:ascii="Times New Roman" w:cs="Times New Roman" w:eastAsia="Times New Roman" w:hAnsi="Times New Roman"/>
          <w:sz w:val="22"/>
          <w:szCs w:val="22"/>
        </w:rPr>
        <w:t xml:space="preserve">The regulatory-monitoring stream deserves particular note. The amendment-tracking engine built for statutes applies unchanged to Bangladesh Bank circulars, securities directives and telecommunications regulations — frequently changing instruments that regulated institutions are obliged to track. It reuses the core technology with minimal additional engineering and addresses a segment with existing compliance budgets, making it the most plausible early commercial line. Public statutory search remains free in every scenario.</w:t>
      </w:r>
    </w:p>
    <w:p>
      <w:pPr>
        <w:pStyle w:val="Heading1"/>
        <w:spacing w:after="150" w:before="320"/>
      </w:pPr>
      <w:r>
        <w:rPr>
          <w:rFonts w:ascii="Times New Roman" w:cs="Times New Roman" w:eastAsia="Times New Roman" w:hAnsi="Times New Roman"/>
          <w:b/>
          <w:bCs/>
          <w:color w:val="1F3864"/>
          <w:sz w:val="28"/>
          <w:szCs w:val="28"/>
        </w:rPr>
        <w:t xml:space="preserve">12. Applicant Capability</w:t>
      </w:r>
    </w:p>
    <w:p>
      <w:pPr>
        <w:pStyle w:val="Heading2"/>
        <w:spacing w:after="110" w:before="230"/>
      </w:pPr>
      <w:r>
        <w:rPr>
          <w:rFonts w:ascii="Times New Roman" w:cs="Times New Roman" w:eastAsia="Times New Roman" w:hAnsi="Times New Roman"/>
          <w:b/>
          <w:bCs/>
          <w:color w:val="2E4E7E"/>
          <w:sz w:val="24"/>
          <w:szCs w:val="24"/>
        </w:rPr>
        <w:t xml:space="preserve">12.1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Applicant</w:t>
            </w:r>
          </w:p>
        </w:tc>
        <w:tc>
          <w:tcPr>
            <w:tcW w:type="dxa" w:w="66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Role and background</w:t>
            </w:r>
          </w:p>
        </w:tc>
      </w:tr>
      <w:tr>
        <w:trPr>
          <w:cantSplit/>
          <w:tblHeader w:val="false"/>
        </w:trPr>
        <w:tc>
          <w:tcPr>
            <w:tcW w:type="dxa" w:w="2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Sazidur Rahman Mahin
(Roll 1414)</w:t>
            </w:r>
          </w:p>
        </w:tc>
        <w:tc>
          <w:tcPr>
            <w:tcW w:type="dxa" w:w="6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Final-year Software Engineering student, Institute of Information Technology, University of Dhaka. Software engineering experience at Brain Station 23. Project responsibility: corpus pipeline, amendment lineage extraction, evaluation.</w:t>
            </w:r>
          </w:p>
        </w:tc>
      </w:tr>
      <w:tr>
        <w:trPr>
          <w:cantSplit/>
          <w:tblHeader w:val="false"/>
        </w:trPr>
        <w:tc>
          <w:tcPr>
            <w:tcW w:type="dxa" w:w="2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Shah Alam Abir
(Roll 1439)</w:t>
            </w:r>
          </w:p>
        </w:tc>
        <w:tc>
          <w:tcPr>
            <w:tcW w:type="dxa" w:w="6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Final-year Software Engineering student, Institute of Information Technology, University of Dhaka. Software engineering experience at Cefalo Bangladesh Ltd. Published research including a vision-language navigation benchmark. Project responsibility: retrieval architecture, grounded generation, system integration.</w:t>
            </w:r>
          </w:p>
        </w:tc>
      </w:tr>
    </w:tbl>
    <w:p>
      <w:pPr>
        <w:pStyle w:val="Heading2"/>
        <w:spacing w:after="110" w:before="230"/>
      </w:pPr>
      <w:r>
        <w:rPr>
          <w:rFonts w:ascii="Times New Roman" w:cs="Times New Roman" w:eastAsia="Times New Roman" w:hAnsi="Times New Roman"/>
          <w:b/>
          <w:bCs/>
          <w:color w:val="2E4E7E"/>
          <w:sz w:val="24"/>
          <w:szCs w:val="24"/>
        </w:rPr>
        <w:t xml:space="preserve">12.2 Demonstrated capability</w:t>
      </w:r>
    </w:p>
    <w:p>
      <w:pPr>
        <w:pStyle w:val="ListParagraph"/>
        <w:numPr>
          <w:ilvl w:val="0"/>
          <w:numId w:val="2"/>
        </w:numPr>
        <w:spacing w:after="85" w:line="285"/>
      </w:pPr>
      <w:r>
        <w:rPr>
          <w:rFonts w:ascii="Times New Roman" w:cs="Times New Roman" w:eastAsia="Times New Roman" w:hAnsi="Times New Roman"/>
          <w:sz w:val="22"/>
          <w:szCs w:val="22"/>
        </w:rPr>
        <w:t xml:space="preserve">Two national AI hackathon wins between the applicants.</w:t>
      </w:r>
    </w:p>
    <w:p>
      <w:pPr>
        <w:pStyle w:val="ListParagraph"/>
        <w:numPr>
          <w:ilvl w:val="0"/>
          <w:numId w:val="2"/>
        </w:numPr>
        <w:spacing w:after="85" w:line="285"/>
      </w:pPr>
      <w:r>
        <w:rPr>
          <w:rFonts w:ascii="Times New Roman" w:cs="Times New Roman" w:eastAsia="Times New Roman" w:hAnsi="Times New Roman"/>
          <w:sz w:val="22"/>
          <w:szCs w:val="22"/>
        </w:rPr>
        <w:t xml:space="preserve">Industry software engineering experience at established Bangladeshi and international-facing firms.</w:t>
      </w:r>
    </w:p>
    <w:p>
      <w:pPr>
        <w:pStyle w:val="ListParagraph"/>
        <w:numPr>
          <w:ilvl w:val="0"/>
          <w:numId w:val="2"/>
        </w:numPr>
        <w:spacing w:after="85" w:line="285"/>
      </w:pPr>
      <w:r>
        <w:rPr>
          <w:rFonts w:ascii="Times New Roman" w:cs="Times New Roman" w:eastAsia="Times New Roman" w:hAnsi="Times New Roman"/>
          <w:sz w:val="22"/>
          <w:szCs w:val="22"/>
        </w:rPr>
        <w:t xml:space="preserve">Prior construction and deployment of retrieval-augmented generation systems of the same architectural class as the one proposed here — hybrid retrieve-then-rerank pipelines in production settings.</w:t>
      </w:r>
    </w:p>
    <w:p>
      <w:pPr>
        <w:pStyle w:val="ListParagraph"/>
        <w:numPr>
          <w:ilvl w:val="0"/>
          <w:numId w:val="2"/>
        </w:numPr>
        <w:spacing w:after="85" w:line="285"/>
      </w:pPr>
      <w:r>
        <w:rPr>
          <w:rFonts w:ascii="Times New Roman" w:cs="Times New Roman" w:eastAsia="Times New Roman" w:hAnsi="Times New Roman"/>
          <w:sz w:val="22"/>
          <w:szCs w:val="22"/>
        </w:rPr>
        <w:t xml:space="preserve">Affiliation with active research groups, with published work including a vision-language navigation benchmark.</w:t>
      </w:r>
    </w:p>
    <w:p>
      <w:pPr>
        <w:pStyle w:val="ListParagraph"/>
        <w:numPr>
          <w:ilvl w:val="0"/>
          <w:numId w:val="2"/>
        </w:numPr>
        <w:spacing w:after="85" w:line="285"/>
      </w:pPr>
      <w:r>
        <w:rPr>
          <w:rFonts w:ascii="Times New Roman" w:cs="Times New Roman" w:eastAsia="Times New Roman" w:hAnsi="Times New Roman"/>
          <w:sz w:val="22"/>
          <w:szCs w:val="22"/>
        </w:rPr>
        <w:t xml:space="preserve">Academic supervision and institutional support from the Institute of Information Technology, University of Dhaka.</w:t>
      </w:r>
    </w:p>
    <w:p>
      <w:pPr>
        <w:pStyle w:val="Heading2"/>
        <w:spacing w:after="110" w:before="230"/>
      </w:pPr>
      <w:r>
        <w:rPr>
          <w:rFonts w:ascii="Times New Roman" w:cs="Times New Roman" w:eastAsia="Times New Roman" w:hAnsi="Times New Roman"/>
          <w:b/>
          <w:bCs/>
          <w:color w:val="2E4E7E"/>
          <w:sz w:val="24"/>
          <w:szCs w:val="24"/>
        </w:rPr>
        <w:t xml:space="preserve">12.3 Why this team for this problem</w:t>
      </w:r>
    </w:p>
    <w:p>
      <w:pPr>
        <w:spacing w:after="130" w:line="290"/>
        <w:jc w:val="both"/>
      </w:pPr>
      <w:r>
        <w:rPr>
          <w:rFonts w:ascii="Times New Roman" w:cs="Times New Roman" w:eastAsia="Times New Roman" w:hAnsi="Times New Roman"/>
          <w:sz w:val="22"/>
          <w:szCs w:val="22"/>
        </w:rPr>
        <w:t xml:space="preserve">The project requires three capabilities simultaneously: the retrieval engineering to build a hybrid temporal pipeline, the data discipline to construct and audit a versioned corpus, and the judgement to know what a system of this kind must refuse to do. The applicants have built systems of this architecture before, have published work evaluated against benchmarks, and have designed this proposal around explicit abstention and advocate verification rather than around maximal capability claims.</w:t>
      </w:r>
    </w:p>
    <w:p>
      <w:pPr>
        <w:pStyle w:val="Heading1"/>
        <w:spacing w:after="150" w:before="320"/>
      </w:pPr>
      <w:r>
        <w:rPr>
          <w:rFonts w:ascii="Times New Roman" w:cs="Times New Roman" w:eastAsia="Times New Roman" w:hAnsi="Times New Roman"/>
          <w:b/>
          <w:bCs/>
          <w:color w:val="1F3864"/>
          <w:sz w:val="28"/>
          <w:szCs w:val="28"/>
        </w:rPr>
        <w:t xml:space="preserve">13. Monitoring and Reporting</w:t>
      </w:r>
    </w:p>
    <w:p>
      <w:pPr>
        <w:spacing w:after="130" w:line="290"/>
        <w:jc w:val="both"/>
      </w:pPr>
      <w:r>
        <w:rPr>
          <w:rFonts w:ascii="Times New Roman" w:cs="Times New Roman" w:eastAsia="Times New Roman" w:hAnsi="Times New Roman"/>
          <w:sz w:val="22"/>
          <w:szCs w:val="22"/>
        </w:rPr>
        <w:t xml:space="preserve">The project adopts the Innovation Fund’s milestone-linked monitoring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cantSplit/>
          <w:tblHeader/>
        </w:trPr>
        <w:tc>
          <w:tcPr>
            <w:tcW w:type="dxa" w:w="22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Reporting point</w:t>
            </w:r>
          </w:p>
        </w:tc>
        <w:tc>
          <w:tcPr>
            <w:tcW w:type="dxa" w:w="32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Content</w:t>
            </w:r>
          </w:p>
        </w:tc>
        <w:tc>
          <w:tcPr>
            <w:tcW w:type="dxa" w:w="36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Evidence submitted</w:t>
            </w:r>
          </w:p>
        </w:tc>
      </w:tr>
      <w:tr>
        <w:trPr>
          <w:cantSplit/>
          <w:tblHeader w:val="false"/>
        </w:trPr>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Month 2</w:t>
            </w:r>
          </w:p>
        </w:tc>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Corpus ingestion complete</w:t>
            </w:r>
          </w:p>
        </w:tc>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Record counts, schema documentation, cached source inventory</w:t>
            </w:r>
          </w:p>
        </w:tc>
      </w:tr>
      <w:tr>
        <w:trPr>
          <w:cantSplit/>
          <w:tblHeader w:val="false"/>
        </w:trPr>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Month 3 — first tranche report</w:t>
            </w:r>
          </w:p>
        </w:tc>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Validity intervals written; coverage measurable</w:t>
            </w:r>
          </w:p>
        </w:tc>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Coverage figures by confidence tier; sample records; expenditure statement</w:t>
            </w:r>
          </w:p>
        </w:tc>
      </w:tr>
      <w:tr>
        <w:trPr>
          <w:cantSplit/>
          <w:tblHeader w:val="false"/>
        </w:trPr>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Month 4</w:t>
            </w:r>
          </w:p>
        </w:tc>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End-to-end cited answers operational</w:t>
            </w:r>
          </w:p>
        </w:tc>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Demonstration build; abstention and verification logs</w:t>
            </w:r>
          </w:p>
        </w:tc>
      </w:tr>
      <w:tr>
        <w:trPr>
          <w:cantSplit/>
          <w:tblHeader w:val="false"/>
        </w:trPr>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Month 5</w:t>
            </w:r>
          </w:p>
        </w:tc>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Evaluation, lineage audit and advocate review complete</w:t>
            </w:r>
          </w:p>
        </w:tc>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Metrics table, baseline comparison, audit results, advocate sign-off</w:t>
            </w:r>
          </w:p>
        </w:tc>
      </w:tr>
      <w:tr>
        <w:trPr>
          <w:cantSplit/>
          <w:tblHeader w:val="false"/>
        </w:trPr>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Month 6 — final report</w:t>
            </w:r>
          </w:p>
        </w:tc>
        <w:tc>
          <w:tcPr>
            <w:tcW w:type="dxa" w:w="3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Public release and handover</w:t>
            </w:r>
          </w:p>
        </w:tc>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Handover package, public URLs, repository, final expenditure statement</w:t>
            </w:r>
          </w:p>
        </w:tc>
      </w:tr>
    </w:tbl>
    <w:p>
      <w:pPr>
        <w:spacing w:after="100"/>
      </w:pPr>
    </w:p>
    <w:p>
      <w:pPr>
        <w:spacing w:after="130" w:line="290"/>
        <w:jc w:val="both"/>
      </w:pPr>
      <w:r>
        <w:rPr>
          <w:rFonts w:ascii="Times New Roman" w:cs="Times New Roman" w:eastAsia="Times New Roman" w:hAnsi="Times New Roman"/>
          <w:sz w:val="22"/>
          <w:szCs w:val="22"/>
        </w:rPr>
        <w:t xml:space="preserve">All expenditure is supported by receipts and reconciled against the head-wise budget. Deviations between heads exceeding ten percent are reported in advance. The applicants accept the assignment of a mentor under the programme and will participate in bi-monthly evaluation as required.</w:t>
      </w:r>
    </w:p>
    <w:p>
      <w:pPr>
        <w:pStyle w:val="Heading1"/>
        <w:spacing w:after="150" w:before="320"/>
      </w:pPr>
      <w:r>
        <w:rPr>
          <w:rFonts w:ascii="Times New Roman" w:cs="Times New Roman" w:eastAsia="Times New Roman" w:hAnsi="Times New Roman"/>
          <w:b/>
          <w:bCs/>
          <w:color w:val="1F3864"/>
          <w:sz w:val="28"/>
          <w:szCs w:val="28"/>
        </w:rPr>
        <w:t xml:space="preserve">14. Conclusion</w:t>
      </w:r>
    </w:p>
    <w:p>
      <w:pPr>
        <w:spacing w:after="130" w:line="290"/>
        <w:jc w:val="both"/>
      </w:pPr>
      <w:r>
        <w:rPr>
          <w:rFonts w:ascii="Times New Roman" w:cs="Times New Roman" w:eastAsia="Times New Roman" w:hAnsi="Times New Roman"/>
          <w:sz w:val="22"/>
          <w:szCs w:val="22"/>
        </w:rPr>
        <w:t xml:space="preserve">Bangladesh already has its statutory text in digital form, and in several cases under open licence. What it does not have — and what no system anywhere currently provides — is that text organised by the dates on which each provision was in force. That is a narrow, buildable gap, and it is the gap on which the outcome of a historical dispute depends.</w:t>
      </w:r>
    </w:p>
    <w:p>
      <w:pPr>
        <w:spacing w:after="130" w:line="290"/>
        <w:jc w:val="both"/>
      </w:pPr>
      <w:r>
        <w:rPr>
          <w:rFonts w:ascii="Times New Roman" w:cs="Times New Roman" w:eastAsia="Times New Roman" w:hAnsi="Times New Roman"/>
          <w:sz w:val="22"/>
          <w:szCs w:val="22"/>
        </w:rPr>
        <w:t xml:space="preserve">Dhara builds that layer, verifies it with practising advocates, publishes the result openly, and hands the corpus and API to the ICT Division as national digital infrastructure. It asks for BDT 4,85,000 over six months, spends nothing on work already done by others, and states its own limits — in coverage, in authority and in claimed impact — on the face of the system rather than in a footnote.</w:t>
      </w:r>
    </w:p>
    <w:p>
      <w:pPr>
        <w:spacing w:after="130" w:line="290"/>
        <w:jc w:val="both"/>
      </w:pPr>
      <w:r>
        <w:rPr>
          <w:rFonts w:ascii="Times New Roman" w:cs="Times New Roman" w:eastAsia="Times New Roman" w:hAnsi="Times New Roman"/>
          <w:sz w:val="22"/>
          <w:szCs w:val="22"/>
        </w:rPr>
        <w:t xml:space="preserve">Existing legal search answers the question of what the law says. Dhara answers the question that actually decides cases: what the law said then. A country should not have to ask a foreign database what its own law provides.</w:t>
      </w:r>
    </w:p>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References</w:t>
      </w:r>
    </w:p>
    <w:p>
      <w:pPr>
        <w:spacing w:after="90" w:line="270"/>
        <w:ind w:left="547" w:hanging="547"/>
        <w:jc w:val="both"/>
      </w:pPr>
      <w:r>
        <w:rPr>
          <w:rFonts w:ascii="Times New Roman" w:cs="Times New Roman" w:eastAsia="Times New Roman" w:hAnsi="Times New Roman"/>
          <w:sz w:val="20"/>
          <w:szCs w:val="20"/>
        </w:rPr>
        <w:t xml:space="preserve">[1]  Ministry of Law, Justice and Parliamentary Affairs, Government of Bangladesh. Statement by the Minister for Law on pending cases, Jatiya Sangsad, figures as of 31 March 2026. Reported in The Daily Star and Dhaka Tribune, July 2026.</w:t>
      </w:r>
    </w:p>
    <w:p>
      <w:pPr>
        <w:spacing w:after="90" w:line="270"/>
        <w:ind w:left="547" w:hanging="547"/>
        <w:jc w:val="both"/>
      </w:pPr>
      <w:r>
        <w:rPr>
          <w:rFonts w:ascii="Times New Roman" w:cs="Times New Roman" w:eastAsia="Times New Roman" w:hAnsi="Times New Roman"/>
          <w:sz w:val="20"/>
          <w:szCs w:val="20"/>
        </w:rPr>
        <w:t xml:space="preserve">[2]  Netra News. Analysis of subordinate judiciary caseload and bench strength, June 2026.</w:t>
      </w:r>
    </w:p>
    <w:p>
      <w:pPr>
        <w:spacing w:after="90" w:line="270"/>
        <w:ind w:left="547" w:hanging="547"/>
        <w:jc w:val="both"/>
      </w:pPr>
      <w:r>
        <w:rPr>
          <w:rFonts w:ascii="Times New Roman" w:cs="Times New Roman" w:eastAsia="Times New Roman" w:hAnsi="Times New Roman"/>
          <w:sz w:val="20"/>
          <w:szCs w:val="20"/>
        </w:rPr>
        <w:t xml:space="preserve">[3]  Ministry of Law, Justice and Parliamentary Affairs. Statement on mandatory pre-litigation mediation under the amended legal aid framework, Jatiya Sangsad, July 2026. Reported in Bangladesh Post.</w:t>
      </w:r>
    </w:p>
    <w:p>
      <w:pPr>
        <w:spacing w:after="90" w:line="270"/>
        <w:ind w:left="547" w:hanging="547"/>
        <w:jc w:val="both"/>
      </w:pPr>
      <w:r>
        <w:rPr>
          <w:rFonts w:ascii="Times New Roman" w:cs="Times New Roman" w:eastAsia="Times New Roman" w:hAnsi="Times New Roman"/>
          <w:sz w:val="20"/>
          <w:szCs w:val="20"/>
        </w:rPr>
        <w:t xml:space="preserve">[4]  Legislative and Parliamentary Affairs Division. Bangladesh Code — official portal, bdlaws.minlaw.gov.bd.</w:t>
      </w:r>
    </w:p>
    <w:p>
      <w:pPr>
        <w:spacing w:after="90" w:line="270"/>
        <w:ind w:left="547" w:hanging="547"/>
        <w:jc w:val="both"/>
      </w:pPr>
      <w:r>
        <w:rPr>
          <w:rFonts w:ascii="Times New Roman" w:cs="Times New Roman" w:eastAsia="Times New Roman" w:hAnsi="Times New Roman"/>
          <w:sz w:val="20"/>
          <w:szCs w:val="20"/>
        </w:rPr>
        <w:t xml:space="preserve">[5]  Sakhawat, A. (2026). BLAD: A Historically Contextualized, Multilingual Dataset of Bangladeshi Legal Acts (1799–2025). arXiv:2607.17111. Dataset released under CC BY-SA 4.0.</w:t>
      </w:r>
    </w:p>
    <w:p>
      <w:pPr>
        <w:spacing w:after="90" w:line="270"/>
        <w:ind w:left="547" w:hanging="547"/>
        <w:jc w:val="both"/>
      </w:pPr>
      <w:r>
        <w:rPr>
          <w:rFonts w:ascii="Times New Roman" w:cs="Times New Roman" w:eastAsia="Times New Roman" w:hAnsi="Times New Roman"/>
          <w:sz w:val="20"/>
          <w:szCs w:val="20"/>
        </w:rPr>
        <w:t xml:space="preserve">[6]  Wasi, A. T., Faisal, W., Islam, M. R. and Bappy, M. M. (2024). Exploring Possibilities of AI-Powered Legal Assistance in Bangladesh through Large Language Modeling. arXiv:2410.17210.</w:t>
      </w:r>
    </w:p>
    <w:p>
      <w:pPr>
        <w:spacing w:after="90" w:line="270"/>
        <w:ind w:left="547" w:hanging="547"/>
        <w:jc w:val="both"/>
      </w:pPr>
      <w:r>
        <w:rPr>
          <w:rFonts w:ascii="Times New Roman" w:cs="Times New Roman" w:eastAsia="Times New Roman" w:hAnsi="Times New Roman"/>
          <w:sz w:val="20"/>
          <w:szCs w:val="20"/>
        </w:rPr>
        <w:t xml:space="preserve">[7]  Lewis, P. et al. (2020). Retrieval-Augmented Generation for Knowledge-Intensive NLP Tasks. Advances in Neural Information Processing Systems.</w:t>
      </w:r>
    </w:p>
    <w:p>
      <w:pPr>
        <w:spacing w:after="90" w:line="270"/>
        <w:ind w:left="547" w:hanging="547"/>
        <w:jc w:val="both"/>
      </w:pPr>
      <w:r>
        <w:rPr>
          <w:rFonts w:ascii="Times New Roman" w:cs="Times New Roman" w:eastAsia="Times New Roman" w:hAnsi="Times New Roman"/>
          <w:sz w:val="20"/>
          <w:szCs w:val="20"/>
        </w:rPr>
        <w:t xml:space="preserve">[8]  Dahl, M., Magesh, V., Suzgun, M. and Ho, D. E. (2024). Large Legal Fictions: Profiling Legal Hallucinations in Large Language Models. Journal of Legal Analysis.</w:t>
      </w:r>
    </w:p>
    <w:p>
      <w:pPr>
        <w:spacing w:after="90" w:line="270"/>
        <w:ind w:left="547" w:hanging="547"/>
        <w:jc w:val="both"/>
      </w:pPr>
      <w:r>
        <w:rPr>
          <w:rFonts w:ascii="Times New Roman" w:cs="Times New Roman" w:eastAsia="Times New Roman" w:hAnsi="Times New Roman"/>
          <w:sz w:val="20"/>
          <w:szCs w:val="20"/>
        </w:rPr>
        <w:t xml:space="preserve">[9]  Cormack, G. V., Clarke, C. L. A. and Buettcher, S. (2009). Reciprocal Rank Fusion Outperforms Condorcet and Individual Rank Learning Methods. SIGIR.</w:t>
      </w:r>
    </w:p>
    <w:p>
      <w:pPr>
        <w:spacing w:after="90" w:line="270"/>
        <w:ind w:left="547" w:hanging="547"/>
        <w:jc w:val="both"/>
      </w:pPr>
      <w:r>
        <w:rPr>
          <w:rFonts w:ascii="Times New Roman" w:cs="Times New Roman" w:eastAsia="Times New Roman" w:hAnsi="Times New Roman"/>
          <w:sz w:val="20"/>
          <w:szCs w:val="20"/>
        </w:rPr>
        <w:t xml:space="preserve">[10]  Bhattacharjee, A. et al. (2022). BanglaBERT: Language Model Pretraining and Benchmarks for Low-Resource Language Understanding in Bangla. Findings of NAACL.</w:t>
      </w:r>
    </w:p>
    <w:p>
      <w:pPr>
        <w:spacing w:after="90" w:line="270"/>
        <w:ind w:left="547" w:hanging="547"/>
        <w:jc w:val="both"/>
      </w:pPr>
      <w:r>
        <w:rPr>
          <w:rFonts w:ascii="Times New Roman" w:cs="Times New Roman" w:eastAsia="Times New Roman" w:hAnsi="Times New Roman"/>
          <w:sz w:val="20"/>
          <w:szCs w:val="20"/>
        </w:rPr>
        <w:t xml:space="preserve">[11]  Feng, F. et al. (2022). Language-agnostic BERT Sentence Embedding (LaBSE). ACL.</w:t>
      </w:r>
    </w:p>
    <w:p>
      <w:pPr>
        <w:spacing w:after="90" w:line="270"/>
        <w:ind w:left="547" w:hanging="547"/>
        <w:jc w:val="both"/>
      </w:pPr>
      <w:r>
        <w:rPr>
          <w:rFonts w:ascii="Times New Roman" w:cs="Times New Roman" w:eastAsia="Times New Roman" w:hAnsi="Times New Roman"/>
          <w:sz w:val="20"/>
          <w:szCs w:val="20"/>
        </w:rPr>
        <w:t xml:space="preserve">[12]  Wang, L. et al. (2024). Multilingual E5 Text Embeddings. arXiv preprint.</w:t>
      </w:r>
    </w:p>
    <w:p>
      <w:pPr>
        <w:spacing w:after="90" w:line="270"/>
        <w:ind w:left="547" w:hanging="547"/>
        <w:jc w:val="both"/>
      </w:pPr>
      <w:r>
        <w:rPr>
          <w:rFonts w:ascii="Times New Roman" w:cs="Times New Roman" w:eastAsia="Times New Roman" w:hAnsi="Times New Roman"/>
          <w:sz w:val="20"/>
          <w:szCs w:val="20"/>
        </w:rPr>
        <w:t xml:space="preserve">[13]  Guha, N. et al. (2023). LegalBench: A Collaboratively Built Benchmark for Measuring Legal Reasoning in Large Language Models. NeurIPS Datasets and Benchmarks.</w:t>
      </w:r>
    </w:p>
    <w:p>
      <w:pPr>
        <w:spacing w:after="90" w:line="270"/>
        <w:ind w:left="547" w:hanging="547"/>
        <w:jc w:val="both"/>
      </w:pPr>
      <w:r>
        <w:rPr>
          <w:rFonts w:ascii="Times New Roman" w:cs="Times New Roman" w:eastAsia="Times New Roman" w:hAnsi="Times New Roman"/>
          <w:sz w:val="20"/>
          <w:szCs w:val="20"/>
        </w:rPr>
        <w:t xml:space="preserve">[14]  United Nations Bangladesh. Sustainable Development Goals — Bangladesh, bangladesh.un.org/en/sdgs.</w:t>
      </w:r>
    </w:p>
    <w:p>
      <w:pPr>
        <w:spacing w:after="90" w:line="270"/>
        <w:ind w:left="547" w:hanging="547"/>
        <w:jc w:val="both"/>
      </w:pPr>
      <w:r>
        <w:rPr>
          <w:rFonts w:ascii="Times New Roman" w:cs="Times New Roman" w:eastAsia="Times New Roman" w:hAnsi="Times New Roman"/>
          <w:sz w:val="20"/>
          <w:szCs w:val="20"/>
        </w:rPr>
        <w:t xml:space="preserve">[15]  Information and Communication Technology Division. Innovation Fund policy and guidelines, FY 2026–27, ims.ictd.gov.bd.</w:t>
      </w:r>
    </w:p>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Annex A — Head-wise Budget Sheet</w:t>
      </w:r>
    </w:p>
    <w:p>
      <w:pPr>
        <w:spacing w:after="130" w:line="290"/>
        <w:jc w:val="both"/>
      </w:pPr>
      <w:r>
        <w:rPr>
          <w:rFonts w:ascii="Times New Roman" w:cs="Times New Roman" w:eastAsia="Times New Roman" w:hAnsi="Times New Roman"/>
          <w:sz w:val="22"/>
          <w:szCs w:val="22"/>
        </w:rPr>
        <w:t xml:space="preserve">For signature and seal on submission, as required under clause (খ) of the selection committee notice.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300"/>
        <w:gridCol w:w="1400"/>
        <w:gridCol w:w="1726"/>
      </w:tblGrid>
      <w:tr>
        <w:trPr>
          <w:cantSplit/>
          <w:tblHeader/>
        </w:trPr>
        <w:tc>
          <w:tcPr>
            <w:tcW w:type="dxa" w:w="5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Sl.</w:t>
            </w:r>
          </w:p>
        </w:tc>
        <w:tc>
          <w:tcPr>
            <w:tcW w:type="dxa" w:w="31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Head of expenditure</w:t>
            </w:r>
          </w:p>
        </w:tc>
        <w:tc>
          <w:tcPr>
            <w:tcW w:type="dxa" w:w="23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Basis</w:t>
            </w:r>
          </w:p>
        </w:tc>
        <w:tc>
          <w:tcPr>
            <w:tcW w:type="dxa" w:w="14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Unit</w:t>
            </w:r>
          </w:p>
        </w:tc>
        <w:tc>
          <w:tcPr>
            <w:tcW w:type="dxa" w:w="17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Amount (BDT)</w:t>
            </w:r>
          </w:p>
        </w:tc>
      </w:tr>
      <w:tr>
        <w:trPr>
          <w:cantSplit/>
          <w:tblHeader w:val="false"/>
        </w:trPr>
        <w:tc>
          <w:tcPr>
            <w:tcW w:type="dxa" w:w="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w:t>
            </w:r>
          </w:p>
        </w:tc>
        <w:tc>
          <w:tcPr>
            <w:tcW w:type="dxa" w:w="31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Development stipend</w:t>
            </w:r>
          </w:p>
        </w:tc>
        <w:tc>
          <w:tcPr>
            <w:tcW w:type="dxa" w:w="2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 × 6 months × BDT 18,000</w:t>
            </w:r>
          </w:p>
        </w:tc>
        <w:tc>
          <w:tcPr>
            <w:tcW w:type="dxa" w:w="1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Person-months</w:t>
            </w:r>
          </w:p>
        </w:tc>
        <w:tc>
          <w:tcPr>
            <w:tcW w:type="dxa" w:w="1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2,16,000</w:t>
            </w:r>
          </w:p>
        </w:tc>
      </w:tr>
      <w:tr>
        <w:trPr>
          <w:cantSplit/>
          <w:tblHeader w:val="false"/>
        </w:trPr>
        <w:tc>
          <w:tcPr>
            <w:tcW w:type="dxa" w:w="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w:t>
            </w:r>
          </w:p>
        </w:tc>
        <w:tc>
          <w:tcPr>
            <w:tcW w:type="dxa" w:w="31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Advocate verification panel</w:t>
            </w:r>
          </w:p>
        </w:tc>
        <w:tc>
          <w:tcPr>
            <w:tcW w:type="dxa" w:w="2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 × 45 h × BDT 1,200</w:t>
            </w:r>
          </w:p>
        </w:tc>
        <w:tc>
          <w:tcPr>
            <w:tcW w:type="dxa" w:w="1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Hours</w:t>
            </w:r>
          </w:p>
        </w:tc>
        <w:tc>
          <w:tcPr>
            <w:tcW w:type="dxa" w:w="1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1,08,000</w:t>
            </w:r>
          </w:p>
        </w:tc>
      </w:tr>
      <w:tr>
        <w:trPr>
          <w:cantSplit/>
          <w:tblHeader w:val="false"/>
        </w:trPr>
        <w:tc>
          <w:tcPr>
            <w:tcW w:type="dxa" w:w="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3</w:t>
            </w:r>
          </w:p>
        </w:tc>
        <w:tc>
          <w:tcPr>
            <w:tcW w:type="dxa" w:w="31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LLM API credits</w:t>
            </w:r>
          </w:p>
        </w:tc>
        <w:tc>
          <w:tcPr>
            <w:tcW w:type="dxa" w:w="2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~15,000 answers @ ~BDT 3</w:t>
            </w:r>
          </w:p>
        </w:tc>
        <w:tc>
          <w:tcPr>
            <w:tcW w:type="dxa" w:w="1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Pool</w:t>
            </w:r>
          </w:p>
        </w:tc>
        <w:tc>
          <w:tcPr>
            <w:tcW w:type="dxa" w:w="1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45,000</w:t>
            </w:r>
          </w:p>
        </w:tc>
      </w:tr>
      <w:tr>
        <w:trPr>
          <w:cantSplit/>
          <w:tblHeader w:val="false"/>
        </w:trPr>
        <w:tc>
          <w:tcPr>
            <w:tcW w:type="dxa" w:w="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4</w:t>
            </w:r>
          </w:p>
        </w:tc>
        <w:tc>
          <w:tcPr>
            <w:tcW w:type="dxa" w:w="31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GPU compute — self-hosted inference</w:t>
            </w:r>
          </w:p>
        </w:tc>
        <w:tc>
          <w:tcPr>
            <w:tcW w:type="dxa" w:w="2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Rented GPU hours, 6 months</w:t>
            </w:r>
          </w:p>
        </w:tc>
        <w:tc>
          <w:tcPr>
            <w:tcW w:type="dxa" w:w="1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Hours</w:t>
            </w:r>
          </w:p>
        </w:tc>
        <w:tc>
          <w:tcPr>
            <w:tcW w:type="dxa" w:w="1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40,000</w:t>
            </w:r>
          </w:p>
        </w:tc>
      </w:tr>
      <w:tr>
        <w:trPr>
          <w:cantSplit/>
          <w:tblHeader w:val="false"/>
        </w:trPr>
        <w:tc>
          <w:tcPr>
            <w:tcW w:type="dxa" w:w="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5</w:t>
            </w:r>
          </w:p>
        </w:tc>
        <w:tc>
          <w:tcPr>
            <w:tcW w:type="dxa" w:w="31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Cloud hosting, vector DB, public API</w:t>
            </w:r>
          </w:p>
        </w:tc>
        <w:tc>
          <w:tcPr>
            <w:tcW w:type="dxa" w:w="2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BDT 2,500 × 12 months</w:t>
            </w:r>
          </w:p>
        </w:tc>
        <w:tc>
          <w:tcPr>
            <w:tcW w:type="dxa" w:w="1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Months</w:t>
            </w:r>
          </w:p>
        </w:tc>
        <w:tc>
          <w:tcPr>
            <w:tcW w:type="dxa" w:w="1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30,000</w:t>
            </w:r>
          </w:p>
        </w:tc>
      </w:tr>
      <w:tr>
        <w:trPr>
          <w:cantSplit/>
          <w:tblHeader w:val="false"/>
        </w:trPr>
        <w:tc>
          <w:tcPr>
            <w:tcW w:type="dxa" w:w="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6</w:t>
            </w:r>
          </w:p>
        </w:tc>
        <w:tc>
          <w:tcPr>
            <w:tcW w:type="dxa" w:w="31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Field testing — 3 districts</w:t>
            </w:r>
          </w:p>
        </w:tc>
        <w:tc>
          <w:tcPr>
            <w:tcW w:type="dxa" w:w="2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Travel, sessions, materials</w:t>
            </w:r>
          </w:p>
        </w:tc>
        <w:tc>
          <w:tcPr>
            <w:tcW w:type="dxa" w:w="1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Districts</w:t>
            </w:r>
          </w:p>
        </w:tc>
        <w:tc>
          <w:tcPr>
            <w:tcW w:type="dxa" w:w="1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27,000</w:t>
            </w:r>
          </w:p>
        </w:tc>
      </w:tr>
      <w:tr>
        <w:trPr>
          <w:cantSplit/>
          <w:tblHeader w:val="false"/>
        </w:trPr>
        <w:tc>
          <w:tcPr>
            <w:tcW w:type="dxa" w:w="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7</w:t>
            </w:r>
          </w:p>
        </w:tc>
        <w:tc>
          <w:tcPr>
            <w:tcW w:type="dxa" w:w="31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Contingency</w:t>
            </w:r>
          </w:p>
        </w:tc>
        <w:tc>
          <w:tcPr>
            <w:tcW w:type="dxa" w:w="2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 of total</w:t>
            </w:r>
          </w:p>
        </w:tc>
        <w:tc>
          <w:tcPr>
            <w:tcW w:type="dxa" w:w="1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w:t>
            </w:r>
          </w:p>
        </w:tc>
        <w:tc>
          <w:tcPr>
            <w:tcW w:type="dxa" w:w="1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11,000</w:t>
            </w:r>
          </w:p>
        </w:tc>
      </w:tr>
      <w:tr>
        <w:trPr>
          <w:cantSplit/>
          <w:tblHeader w:val="false"/>
        </w:trPr>
        <w:tc>
          <w:tcPr>
            <w:tcW w:type="dxa" w:w="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8</w:t>
            </w:r>
          </w:p>
        </w:tc>
        <w:tc>
          <w:tcPr>
            <w:tcW w:type="dxa" w:w="31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Domain, SSL, email</w:t>
            </w:r>
          </w:p>
        </w:tc>
        <w:tc>
          <w:tcPr>
            <w:tcW w:type="dxa" w:w="2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 years</w:t>
            </w:r>
          </w:p>
        </w:tc>
        <w:tc>
          <w:tcPr>
            <w:tcW w:type="dxa" w:w="1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Years</w:t>
            </w:r>
          </w:p>
        </w:tc>
        <w:tc>
          <w:tcPr>
            <w:tcW w:type="dxa" w:w="17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8,000</w:t>
            </w:r>
          </w:p>
        </w:tc>
      </w:tr>
      <w:tr>
        <w:trPr>
          <w:cantSplit/>
          <w:tblHeader w:val="false"/>
        </w:trPr>
        <w:tc>
          <w:tcPr>
            <w:tcW w:type="dxa" w:w="5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r>
          </w:p>
        </w:tc>
        <w:tc>
          <w:tcPr>
            <w:tcW w:type="dxa" w:w="3100"/>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Grand Total</w:t>
            </w:r>
          </w:p>
        </w:tc>
        <w:tc>
          <w:tcPr>
            <w:tcW w:type="dxa" w:w="23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r>
          </w:p>
        </w:tc>
        <w:tc>
          <w:tcPr>
            <w:tcW w:type="dxa" w:w="1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r>
          </w:p>
        </w:tc>
        <w:tc>
          <w:tcPr>
            <w:tcW w:type="dxa" w:w="1726"/>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4,85,000</w:t>
            </w:r>
          </w:p>
        </w:tc>
      </w:tr>
    </w:tbl>
    <w:p>
      <w:pPr>
        <w:spacing w:after="160"/>
      </w:pPr>
    </w:p>
    <w:p>
      <w:pPr>
        <w:spacing w:after="130" w:line="290"/>
        <w:jc w:val="both"/>
      </w:pPr>
      <w:r>
        <w:rPr>
          <w:rFonts w:ascii="Times New Roman" w:cs="Times New Roman" w:eastAsia="Times New Roman" w:hAnsi="Times New Roman"/>
          <w:b/>
          <w:bCs/>
          <w:sz w:val="22"/>
          <w:szCs w:val="22"/>
        </w:rPr>
        <w:t xml:space="preserve">In words: Four lakh eighty-five thousand taka only.</w:t>
      </w:r>
    </w:p>
    <w:p>
      <w:pPr>
        <w:spacing w:after="400"/>
      </w:pPr>
    </w:p>
    <w:p>
      <w:pPr>
        <w:spacing w:after="130" w:line="290"/>
        <w:jc w:val="both"/>
      </w:pPr>
      <w:r>
        <w:rPr>
          <w:rFonts w:ascii="Times New Roman" w:cs="Times New Roman" w:eastAsia="Times New Roman" w:hAnsi="Times New Roman"/>
          <w:i/>
          <w:iCs/>
          <w:sz w:val="20"/>
          <w:szCs w:val="20"/>
        </w:rPr>
        <w:t xml:space="preserve">Certified that the above estimate is true and correct to the best of our knowledge.</w:t>
      </w:r>
    </w:p>
    <w:p>
      <w:pPr>
        <w:spacing w:after="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Signature of Applicant 1</w:t>
            </w:r>
          </w:p>
        </w:tc>
        <w:tc>
          <w:tcPr>
            <w:tcW w:type="dxa" w:w="4513"/>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Signature of Applicant 2</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Sazidur Rahman Mahin  (Roll 1414)</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Shah Alam Abir  (Roll 1439)</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Date: ............................</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Date: ............................</w:t>
            </w:r>
          </w:p>
        </w:tc>
      </w:tr>
    </w:tbl>
    <w:p>
      <w:pPr>
        <w:spacing w:after="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Countersigned — Head of Department / Institution</w:t>
            </w:r>
          </w:p>
        </w:tc>
        <w:tc>
          <w:tcPr>
            <w:tcW w:type="dxa" w:w="4513"/>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Seal</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Name and designation: ............................</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t>
            </w:r>
          </w:p>
        </w:tc>
      </w:tr>
      <w:tr>
        <w:trPr>
          <w:cantSplit/>
          <w:tblHeader w:val="false"/>
        </w:trPr>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Date: ............................</w:t>
            </w:r>
          </w:p>
        </w:tc>
        <w:tc>
          <w:tcPr>
            <w:tcW w:type="dxa" w:w="4513"/>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t>
            </w:r>
          </w:p>
        </w:tc>
      </w:tr>
    </w:tbl>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Annex B — Activity Schedule</w:t>
      </w:r>
    </w:p>
    <w:p>
      <w:pPr>
        <w:spacing w:after="130" w:line="290"/>
        <w:jc w:val="both"/>
      </w:pPr>
      <w:r>
        <w:rPr>
          <w:rFonts w:ascii="Times New Roman" w:cs="Times New Roman" w:eastAsia="Times New Roman" w:hAnsi="Times New Roman"/>
          <w:sz w:val="22"/>
          <w:szCs w:val="22"/>
        </w:rPr>
        <w:t xml:space="preserve">Shaded cells indicate the months in which each activity is active. Month 1 begins on the date of first disbursement.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900"/>
        <w:gridCol w:w="900"/>
        <w:gridCol w:w="900"/>
        <w:gridCol w:w="900"/>
        <w:gridCol w:w="900"/>
        <w:gridCol w:w="900"/>
      </w:tblGrid>
      <w:tr>
        <w:trPr>
          <w:cantSplit/>
          <w:tblHeader/>
        </w:trPr>
        <w:tc>
          <w:tcPr>
            <w:tcW w:type="dxa" w:w="36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Activity</w:t>
            </w:r>
          </w:p>
        </w:tc>
        <w:tc>
          <w:tcPr>
            <w:tcW w:type="dxa" w:w="9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M1</w:t>
            </w:r>
          </w:p>
        </w:tc>
        <w:tc>
          <w:tcPr>
            <w:tcW w:type="dxa" w:w="9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M2</w:t>
            </w:r>
          </w:p>
        </w:tc>
        <w:tc>
          <w:tcPr>
            <w:tcW w:type="dxa" w:w="9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M3</w:t>
            </w:r>
          </w:p>
        </w:tc>
        <w:tc>
          <w:tcPr>
            <w:tcW w:type="dxa" w:w="9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M4</w:t>
            </w:r>
          </w:p>
        </w:tc>
        <w:tc>
          <w:tcPr>
            <w:tcW w:type="dxa" w:w="9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M5</w:t>
            </w:r>
          </w:p>
        </w:tc>
        <w:tc>
          <w:tcPr>
            <w:tcW w:type="dxa" w:w="9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M6</w:t>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Corpus ingestion and gap analysis</w:t>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Provision schema and database build</w:t>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Amendment-footnote parser</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Gazette commencement-date resolution</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Embedding and index construction</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Temporal hybrid retrieval endpoint</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Grounded generation and verification</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Abstention threshold calibration</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Evaluation set authoring</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Lineage audit (200 provisions)</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Evaluation and baseline comparison</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Advocate verification panel</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Public Bangla interface</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Field testing in 3 districts</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r>
      <w:tr>
        <w:trPr>
          <w:cantSplit/>
          <w:tblHeader w:val="false"/>
        </w:trPr>
        <w:tc>
          <w:tcPr>
            <w:tcW w:type="dxa" w:w="36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Integration, release and handover</w:t>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
            </w:r>
          </w:p>
        </w:tc>
        <w:tc>
          <w:tcPr>
            <w:tcW w:type="dxa" w:w="900"/>
            <w:shd w:fill="F0F4FA" w:val="clear"/>
            <w:tcMar>
              <w:top w:type="dxa" w:w="70"/>
              <w:left w:type="dxa" w:w="100"/>
              <w:bottom w:type="dxa" w:w="70"/>
              <w:right w:type="dxa" w:w="100"/>
            </w:tcMar>
          </w:tcPr>
          <w:p>
            <w:pPr>
              <w:spacing w:after="0" w:line="265"/>
              <w:jc w:val="center"/>
            </w:pPr>
            <w:r>
              <w:rPr>
                <w:rFonts w:ascii="Times New Roman" w:cs="Times New Roman" w:eastAsia="Times New Roman" w:hAnsi="Times New Roman"/>
                <w:sz w:val="20"/>
                <w:szCs w:val="20"/>
              </w:rPr>
              <w:t xml:space="preserve">●</w:t>
            </w:r>
          </w:p>
        </w:tc>
      </w:tr>
    </w:tbl>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Annex C — Evaluation Protocol</w:t>
      </w:r>
    </w:p>
    <w:p>
      <w:pPr>
        <w:pStyle w:val="Heading2"/>
        <w:spacing w:after="110" w:before="230"/>
      </w:pPr>
      <w:r>
        <w:rPr>
          <w:rFonts w:ascii="Times New Roman" w:cs="Times New Roman" w:eastAsia="Times New Roman" w:hAnsi="Times New Roman"/>
          <w:b/>
          <w:bCs/>
          <w:color w:val="2E4E7E"/>
          <w:sz w:val="24"/>
          <w:szCs w:val="24"/>
        </w:rPr>
        <w:t xml:space="preserve">C.1 Question set 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rPr>
          <w:cantSplit/>
          <w:tblHeader/>
        </w:trPr>
        <w:tc>
          <w:tcPr>
            <w:tcW w:type="dxa" w:w="34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Category</w:t>
            </w:r>
          </w:p>
        </w:tc>
        <w:tc>
          <w:tcPr>
            <w:tcW w:type="dxa" w:w="22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Count</w:t>
            </w:r>
          </w:p>
        </w:tc>
        <w:tc>
          <w:tcPr>
            <w:tcW w:type="dxa" w:w="34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Purpose</w:t>
            </w:r>
          </w:p>
        </w:tc>
      </w:tr>
      <w:tr>
        <w:trPr>
          <w:cantSplit/>
          <w:tblHeader w:val="false"/>
        </w:trPr>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Date-sensitive questions</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~30</w:t>
            </w:r>
          </w:p>
        </w:tc>
        <w:tc>
          <w:tcPr>
            <w:tcW w:type="dxa" w:w="3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Resolve to different provisions depending on the as-of date; answerable only by a temporally aware system</w:t>
            </w:r>
          </w:p>
        </w:tc>
      </w:tr>
      <w:tr>
        <w:trPr>
          <w:cantSplit/>
          <w:tblHeader w:val="false"/>
        </w:trPr>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Cross-lingual questions</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~30</w:t>
            </w:r>
          </w:p>
        </w:tc>
        <w:tc>
          <w:tcPr>
            <w:tcW w:type="dxa" w:w="3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Bangla query against English-drafted provision, and the reverse</w:t>
            </w:r>
          </w:p>
        </w:tc>
      </w:tr>
      <w:tr>
        <w:trPr>
          <w:cantSplit/>
          <w:tblHeader w:val="false"/>
        </w:trPr>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Exact-reference questions</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~30</w:t>
            </w:r>
          </w:p>
        </w:tc>
        <w:tc>
          <w:tcPr>
            <w:tcW w:type="dxa" w:w="3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Named section or defined term; tests lexical retrieval</w:t>
            </w:r>
          </w:p>
        </w:tc>
      </w:tr>
      <w:tr>
        <w:trPr>
          <w:cantSplit/>
          <w:tblHeader w:val="false"/>
        </w:trPr>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Natural-language questions</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~40</w:t>
            </w:r>
          </w:p>
        </w:tc>
        <w:tc>
          <w:tcPr>
            <w:tcW w:type="dxa" w:w="3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Plain-language queries of the kind a citizen would ask</w:t>
            </w:r>
          </w:p>
        </w:tc>
      </w:tr>
      <w:tr>
        <w:trPr>
          <w:cantSplit/>
          <w:tblHeader w:val="false"/>
        </w:trPr>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Unanswerable questions</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~20</w:t>
            </w:r>
          </w:p>
        </w:tc>
        <w:tc>
          <w:tcPr>
            <w:tcW w:type="dxa" w:w="3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No governing provision exists; tests abstention rather than fabrication</w:t>
            </w:r>
          </w:p>
        </w:tc>
      </w:tr>
      <w:tr>
        <w:trPr>
          <w:cantSplit/>
          <w:tblHeader w:val="false"/>
        </w:trPr>
        <w:tc>
          <w:tcPr>
            <w:tcW w:type="dxa" w:w="3400"/>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Total</w:t>
            </w:r>
          </w:p>
        </w:tc>
        <w:tc>
          <w:tcPr>
            <w:tcW w:type="dxa" w:w="2200"/>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150</w:t>
            </w:r>
          </w:p>
        </w:tc>
        <w:tc>
          <w:tcPr>
            <w:tcW w:type="dxa" w:w="34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
            </w:r>
          </w:p>
        </w:tc>
      </w:tr>
    </w:tbl>
    <w:p>
      <w:pPr>
        <w:pStyle w:val="Heading2"/>
        <w:spacing w:after="110" w:before="230"/>
      </w:pPr>
      <w:r>
        <w:rPr>
          <w:rFonts w:ascii="Times New Roman" w:cs="Times New Roman" w:eastAsia="Times New Roman" w:hAnsi="Times New Roman"/>
          <w:b/>
          <w:bCs/>
          <w:color w:val="2E4E7E"/>
          <w:sz w:val="24"/>
          <w:szCs w:val="24"/>
        </w:rPr>
        <w:t xml:space="preserve">C.2 Scoring</w:t>
      </w:r>
    </w:p>
    <w:p>
      <w:pPr>
        <w:pStyle w:val="ListParagraph"/>
        <w:numPr>
          <w:ilvl w:val="0"/>
          <w:numId w:val="2"/>
        </w:numPr>
        <w:spacing w:after="85" w:line="285"/>
      </w:pPr>
      <w:r>
        <w:rPr>
          <w:rFonts w:ascii="Times New Roman" w:cs="Times New Roman" w:eastAsia="Times New Roman" w:hAnsi="Times New Roman"/>
          <w:sz w:val="22"/>
          <w:szCs w:val="22"/>
        </w:rPr>
        <w:t xml:space="preserve">Each question is annotated with its gold provision or provisions, and for date-sensitive items with the correct provision at each tested as-of date.</w:t>
      </w:r>
    </w:p>
    <w:p>
      <w:pPr>
        <w:pStyle w:val="ListParagraph"/>
        <w:numPr>
          <w:ilvl w:val="0"/>
          <w:numId w:val="2"/>
        </w:numPr>
        <w:spacing w:after="85" w:line="285"/>
      </w:pPr>
      <w:r>
        <w:rPr>
          <w:rFonts w:ascii="Times New Roman" w:cs="Times New Roman" w:eastAsia="Times New Roman" w:hAnsi="Times New Roman"/>
          <w:sz w:val="22"/>
          <w:szCs w:val="22"/>
        </w:rPr>
        <w:t xml:space="preserve">Retrieval is scored by whether a gold provision appears in the top five retrieved.</w:t>
      </w:r>
    </w:p>
    <w:p>
      <w:pPr>
        <w:pStyle w:val="ListParagraph"/>
        <w:numPr>
          <w:ilvl w:val="0"/>
          <w:numId w:val="2"/>
        </w:numPr>
        <w:spacing w:after="85" w:line="285"/>
      </w:pPr>
      <w:r>
        <w:rPr>
          <w:rFonts w:ascii="Times New Roman" w:cs="Times New Roman" w:eastAsia="Times New Roman" w:hAnsi="Times New Roman"/>
          <w:sz w:val="22"/>
          <w:szCs w:val="22"/>
        </w:rPr>
        <w:t xml:space="preserve">Citation precision is scored by advocate review of a stratified sample of generated answers.</w:t>
      </w:r>
    </w:p>
    <w:p>
      <w:pPr>
        <w:pStyle w:val="ListParagraph"/>
        <w:numPr>
          <w:ilvl w:val="0"/>
          <w:numId w:val="2"/>
        </w:numPr>
        <w:spacing w:after="85" w:line="285"/>
      </w:pPr>
      <w:r>
        <w:rPr>
          <w:rFonts w:ascii="Times New Roman" w:cs="Times New Roman" w:eastAsia="Times New Roman" w:hAnsi="Times New Roman"/>
          <w:sz w:val="22"/>
          <w:szCs w:val="22"/>
        </w:rPr>
        <w:t xml:space="preserve">Hallucinated citations are counted automatically by the deterministic verification check.</w:t>
      </w:r>
    </w:p>
    <w:p>
      <w:pPr>
        <w:pStyle w:val="ListParagraph"/>
        <w:numPr>
          <w:ilvl w:val="0"/>
          <w:numId w:val="2"/>
        </w:numPr>
        <w:spacing w:after="85" w:line="285"/>
      </w:pPr>
      <w:r>
        <w:rPr>
          <w:rFonts w:ascii="Times New Roman" w:cs="Times New Roman" w:eastAsia="Times New Roman" w:hAnsi="Times New Roman"/>
          <w:sz w:val="22"/>
          <w:szCs w:val="22"/>
        </w:rPr>
        <w:t xml:space="preserve">Abstention is scored as correct on the unanswerable subset and as an error elsewhere, so that abstention cannot be gamed.</w:t>
      </w:r>
    </w:p>
    <w:p>
      <w:pPr>
        <w:pStyle w:val="Heading2"/>
        <w:spacing w:after="110" w:before="230"/>
      </w:pPr>
      <w:r>
        <w:rPr>
          <w:rFonts w:ascii="Times New Roman" w:cs="Times New Roman" w:eastAsia="Times New Roman" w:hAnsi="Times New Roman"/>
          <w:b/>
          <w:bCs/>
          <w:color w:val="2E4E7E"/>
          <w:sz w:val="24"/>
          <w:szCs w:val="24"/>
        </w:rPr>
        <w:t xml:space="preserve">C.3 Baseline</w:t>
      </w:r>
    </w:p>
    <w:p>
      <w:pPr>
        <w:spacing w:after="130" w:line="290"/>
        <w:jc w:val="both"/>
      </w:pPr>
      <w:r>
        <w:rPr>
          <w:rFonts w:ascii="Times New Roman" w:cs="Times New Roman" w:eastAsia="Times New Roman" w:hAnsi="Times New Roman"/>
          <w:sz w:val="22"/>
          <w:szCs w:val="22"/>
        </w:rPr>
        <w:t xml:space="preserve">The temporally naive baseline is the identical pipeline with the date filter disabled. All other components — indexing, fusion, reranking, generation, verification — remain unchanged, so the measured difference is attributable to temporal filtering alone. Both systems are run on the same question set in the same session.</w:t>
      </w:r>
    </w:p>
    <w:p>
      <w:pPr>
        <w:pStyle w:val="Heading2"/>
        <w:spacing w:after="110" w:before="230"/>
      </w:pPr>
      <w:r>
        <w:rPr>
          <w:rFonts w:ascii="Times New Roman" w:cs="Times New Roman" w:eastAsia="Times New Roman" w:hAnsi="Times New Roman"/>
          <w:b/>
          <w:bCs/>
          <w:color w:val="2E4E7E"/>
          <w:sz w:val="24"/>
          <w:szCs w:val="24"/>
        </w:rPr>
        <w:t xml:space="preserve">C.4 Lineage audit</w:t>
      </w:r>
    </w:p>
    <w:p>
      <w:pPr>
        <w:spacing w:after="130" w:line="290"/>
        <w:jc w:val="both"/>
      </w:pPr>
      <w:r>
        <w:rPr>
          <w:rFonts w:ascii="Times New Roman" w:cs="Times New Roman" w:eastAsia="Times New Roman" w:hAnsi="Times New Roman"/>
          <w:sz w:val="22"/>
          <w:szCs w:val="22"/>
        </w:rPr>
        <w:t xml:space="preserve">A random sample of 200 provisions carrying high-confidence lineage is manually checked against the official portal and the Bangladesh Gazette. Lineage precision is the proportion of audited provisions whose extracted amending instrument and commencement date are both correct. Coverage and precision are reported together; neither figure is meaningful alone.</w:t>
      </w:r>
    </w:p>
    <w:p>
      <w:pPr>
        <w:pageBreakBefore/>
        <w:spacing w:after="0"/>
      </w:pPr>
    </w:p>
    <w:p>
      <w:pPr>
        <w:pStyle w:val="Heading1"/>
        <w:spacing w:after="150" w:before="320"/>
      </w:pPr>
      <w:r>
        <w:rPr>
          <w:rFonts w:ascii="Times New Roman" w:cs="Times New Roman" w:eastAsia="Times New Roman" w:hAnsi="Times New Roman"/>
          <w:b/>
          <w:bCs/>
          <w:color w:val="1F3864"/>
          <w:sz w:val="28"/>
          <w:szCs w:val="28"/>
        </w:rPr>
        <w:t xml:space="preserve">Annex D — Submission Checklist</w:t>
      </w:r>
    </w:p>
    <w:p>
      <w:pPr>
        <w:spacing w:after="130" w:line="290"/>
        <w:jc w:val="both"/>
      </w:pPr>
      <w:r>
        <w:rPr>
          <w:rFonts w:ascii="Times New Roman" w:cs="Times New Roman" w:eastAsia="Times New Roman" w:hAnsi="Times New Roman"/>
          <w:sz w:val="22"/>
          <w:szCs w:val="22"/>
        </w:rPr>
        <w:t xml:space="preserve">Documents required by the selection committee notice, to be submitted in hard copy.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26"/>
      </w:tblGrid>
      <w:tr>
        <w:trPr>
          <w:cantSplit/>
          <w:tblHeader/>
        </w:trPr>
        <w:tc>
          <w:tcPr>
            <w:tcW w:type="dxa" w:w="6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Ref.</w:t>
            </w:r>
          </w:p>
        </w:tc>
        <w:tc>
          <w:tcPr>
            <w:tcW w:type="dxa" w:w="5400"/>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Document</w:t>
            </w:r>
          </w:p>
        </w:tc>
        <w:tc>
          <w:tcPr>
            <w:tcW w:type="dxa" w:w="3026"/>
            <w:shd w:fill="DCE3F0" w:val="clear"/>
            <w:tcMar>
              <w:top w:type="dxa" w:w="70"/>
              <w:left w:type="dxa" w:w="100"/>
              <w:bottom w:type="dxa" w:w="70"/>
              <w:right w:type="dxa" w:w="100"/>
            </w:tcMar>
          </w:tcPr>
          <w:p>
            <w:pPr>
              <w:spacing w:after="0" w:line="265"/>
            </w:pPr>
            <w:r>
              <w:rPr>
                <w:rFonts w:ascii="Times New Roman" w:cs="Times New Roman" w:eastAsia="Times New Roman" w:hAnsi="Times New Roman"/>
                <w:b/>
                <w:bCs/>
                <w:sz w:val="20"/>
                <w:szCs w:val="20"/>
              </w:rPr>
              <w:t xml:space="preserve">Status</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ক</w:t>
            </w:r>
          </w:p>
        </w:tc>
        <w:tc>
          <w:tcPr>
            <w:tcW w:type="dxa" w:w="5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Copy of the full project proposal submitted online</w:t>
            </w:r>
          </w:p>
        </w:tc>
        <w:tc>
          <w:tcPr>
            <w:tcW w:type="dxa" w:w="30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This document</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খ</w:t>
            </w:r>
          </w:p>
        </w:tc>
        <w:tc>
          <w:tcPr>
            <w:tcW w:type="dxa" w:w="5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Head-wise proposed budget for implementation</w:t>
            </w:r>
          </w:p>
        </w:tc>
        <w:tc>
          <w:tcPr>
            <w:tcW w:type="dxa" w:w="30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Annex A</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গ</w:t>
            </w:r>
          </w:p>
        </w:tc>
        <w:tc>
          <w:tcPr>
            <w:tcW w:type="dxa" w:w="5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PowerPoint presentation saved on a pen drive</w:t>
            </w:r>
          </w:p>
        </w:tc>
        <w:tc>
          <w:tcPr>
            <w:tcW w:type="dxa" w:w="30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To be carried</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ঘ</w:t>
            </w:r>
          </w:p>
        </w:tc>
        <w:tc>
          <w:tcPr>
            <w:tcW w:type="dxa" w:w="5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Presentation covering all prescribed headings within 4 minutes</w:t>
            </w:r>
          </w:p>
        </w:tc>
        <w:tc>
          <w:tcPr>
            <w:tcW w:type="dxa" w:w="30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Prepared</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ঙ</w:t>
            </w:r>
          </w:p>
        </w:tc>
        <w:tc>
          <w:tcPr>
            <w:tcW w:type="dxa" w:w="5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Supervisor’s certification for the proposed project, if any</w:t>
            </w:r>
          </w:p>
        </w:tc>
        <w:tc>
          <w:tcPr>
            <w:tcW w:type="dxa" w:w="30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To be obtained</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চ</w:t>
            </w:r>
          </w:p>
        </w:tc>
        <w:tc>
          <w:tcPr>
            <w:tcW w:type="dxa" w:w="5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National Identity Card copy and curriculum vitae (individual applicants)</w:t>
            </w:r>
          </w:p>
        </w:tc>
        <w:tc>
          <w:tcPr>
            <w:tcW w:type="dxa" w:w="30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To be attached</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ছ</w:t>
            </w:r>
          </w:p>
        </w:tc>
        <w:tc>
          <w:tcPr>
            <w:tcW w:type="dxa" w:w="5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Certificate from the head of institution or head of department (student applicants)</w:t>
            </w:r>
          </w:p>
        </w:tc>
        <w:tc>
          <w:tcPr>
            <w:tcW w:type="dxa" w:w="30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To be obtained from the Institute of Information Technology, University of Dhaka</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জ</w:t>
            </w:r>
          </w:p>
        </w:tc>
        <w:tc>
          <w:tcPr>
            <w:tcW w:type="dxa" w:w="5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Trade licence, latest tax certificate, incorporation certificate (institutional applicants)</w:t>
            </w:r>
          </w:p>
        </w:tc>
        <w:tc>
          <w:tcPr>
            <w:tcW w:type="dxa" w:w="30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Not applicable — individual student applicants</w:t>
            </w:r>
          </w:p>
        </w:tc>
      </w:tr>
      <w:tr>
        <w:trPr>
          <w:cantSplit/>
          <w:tblHeader w:val="false"/>
        </w:trPr>
        <w:tc>
          <w:tcPr>
            <w:tcW w:type="dxa" w:w="6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ঝ</w:t>
            </w:r>
          </w:p>
        </w:tc>
        <w:tc>
          <w:tcPr>
            <w:tcW w:type="dxa" w:w="5400"/>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Full proposal and budget signed and sealed on every page</w:t>
            </w:r>
          </w:p>
        </w:tc>
        <w:tc>
          <w:tcPr>
            <w:tcW w:type="dxa" w:w="3026"/>
            <w:tcMar>
              <w:top w:type="dxa" w:w="70"/>
              <w:left w:type="dxa" w:w="100"/>
              <w:bottom w:type="dxa" w:w="70"/>
              <w:right w:type="dxa" w:w="100"/>
            </w:tcMar>
          </w:tcPr>
          <w:p>
            <w:pPr>
              <w:spacing w:after="0" w:line="265"/>
            </w:pPr>
            <w:r>
              <w:rPr>
                <w:rFonts w:ascii="Times New Roman" w:cs="Times New Roman" w:eastAsia="Times New Roman" w:hAnsi="Times New Roman"/>
                <w:sz w:val="20"/>
                <w:szCs w:val="20"/>
              </w:rPr>
              <w:t xml:space="preserve">To be completed before submission</w:t>
            </w:r>
          </w:p>
        </w:tc>
      </w:tr>
    </w:tbl>
    <w:p>
      <w:pPr>
        <w:spacing w:after="200"/>
      </w:pPr>
    </w:p>
    <w:p>
      <w:pPr>
        <w:spacing w:after="130" w:line="290"/>
        <w:jc w:val="both"/>
      </w:pPr>
      <w:r>
        <w:rPr>
          <w:rFonts w:ascii="Times New Roman" w:cs="Times New Roman" w:eastAsia="Times New Roman" w:hAnsi="Times New Roman"/>
          <w:i/>
          <w:iCs/>
          <w:color w:val="5A6674"/>
          <w:sz w:val="20"/>
          <w:szCs w:val="20"/>
        </w:rPr>
        <w:t xml:space="preserve">Note: every page of the proposal and of the budget must bear a signature and seal. The applicants should allow time for the departmental certificate under clause (ছ), which depends on institutional processing.</w:t>
      </w:r>
    </w:p>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6674"/>
        <w:sz w:val="17"/>
        <w:szCs w:val="17"/>
      </w:rPr>
      <w:t xml:space="preserve">Dhara — Full Project Proposal  |  ICT Division Innovation Fund FY 2026–27  |  Page </w:t>
    </w:r>
    <w:r>
      <w:rPr>
        <w:rFonts w:ascii="Times New Roman" w:cs="Times New Roman" w:eastAsia="Times New Roman" w:hAnsi="Times New Roman"/>
        <w:color w:val="5A667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2026-10-19T06:38:04.043Z</dcterms:created>
  <dcterms:modified xsi:type="dcterms:W3CDTF">2026-10-19T06:38:04.044Z</dcterms:modified>
</cp:coreProperties>
</file>

<file path=docProps/custom.xml><?xml version="1.0" encoding="utf-8"?>
<Properties xmlns="http://schemas.openxmlformats.org/officeDocument/2006/custom-properties" xmlns:vt="http://schemas.openxmlformats.org/officeDocument/2006/docPropsVTypes"/>
</file>