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36" w:line="256"/>
        <w:jc w:val="center"/>
      </w:pPr>
      <w:r>
        <w:rPr>
          <w:rFonts w:ascii="Times New Roman" w:cs="Times New Roman" w:eastAsia="Times New Roman" w:hAnsi="Times New Roman"/>
          <w:b/>
          <w:bCs/>
          <w:sz w:val="23"/>
          <w:szCs w:val="23"/>
        </w:rPr>
        <w:t xml:space="preserve">Information and Communication Technology Division</w:t>
      </w:r>
    </w:p>
    <w:p>
      <w:pPr>
        <w:spacing w:after="36" w:line="256"/>
        <w:jc w:val="center"/>
      </w:pPr>
      <w:r>
        <w:rPr>
          <w:rFonts w:ascii="Times New Roman" w:cs="Times New Roman" w:eastAsia="Times New Roman" w:hAnsi="Times New Roman"/>
          <w:b/>
          <w:bCs/>
          <w:sz w:val="21"/>
          <w:szCs w:val="21"/>
        </w:rPr>
        <w:t xml:space="preserve">Ministry of Posts, Telecommunications and Information Technology</w:t>
      </w:r>
    </w:p>
    <w:p>
      <w:pPr>
        <w:spacing w:after="280" w:line="256"/>
        <w:jc w:val="center"/>
      </w:pPr>
      <w:r>
        <w:rPr>
          <w:rFonts w:ascii="Times New Roman" w:cs="Times New Roman" w:eastAsia="Times New Roman" w:hAnsi="Times New Roman"/>
          <w:sz w:val="21"/>
          <w:szCs w:val="21"/>
        </w:rPr>
        <w:t xml:space="preserve">Government of the People’s Republic of Bangladesh</w:t>
      </w:r>
    </w:p>
    <w:p>
      <w:pPr>
        <w:spacing w:after="50" w:line="256"/>
        <w:jc w:val="center"/>
      </w:pPr>
      <w:r>
        <w:rPr>
          <w:rFonts w:ascii="Times New Roman" w:cs="Times New Roman" w:eastAsia="Times New Roman" w:hAnsi="Times New Roman"/>
          <w:i/>
          <w:iCs/>
          <w:sz w:val="21"/>
          <w:szCs w:val="21"/>
        </w:rPr>
        <w:t xml:space="preserve">Grant for Innovative Works, Fiscal Year 2026-27</w:t>
      </w:r>
    </w:p>
    <w:p>
      <w:pPr>
        <w:spacing w:after="350" w:line="256"/>
        <w:jc w:val="center"/>
      </w:pPr>
      <w:r>
        <w:rPr>
          <w:rFonts w:ascii="Times New Roman" w:cs="Times New Roman" w:eastAsia="Times New Roman" w:hAnsi="Times New Roman"/>
          <w:i/>
          <w:iCs/>
          <w:sz w:val="21"/>
          <w:szCs w:val="21"/>
        </w:rPr>
        <w:t xml:space="preserve">Project Proposal</w:t>
      </w:r>
    </w:p>
    <w:p>
      <w:pPr>
        <w:spacing w:after="80"/>
        <w:jc w:val="center"/>
      </w:pPr>
      <w:r>
        <w:rPr>
          <w:rFonts w:ascii="Times New Roman" w:cs="Times New Roman" w:eastAsia="Times New Roman" w:hAnsi="Times New Roman"/>
          <w:b/>
          <w:bCs/>
          <w:color w:val="1F3864"/>
          <w:sz w:val="46"/>
          <w:szCs w:val="46"/>
        </w:rPr>
        <w:t xml:space="preserve">DHARA</w:t>
      </w:r>
    </w:p>
    <w:p>
      <w:pPr>
        <w:spacing w:after="120" w:line="256"/>
        <w:jc w:val="center"/>
      </w:pPr>
      <w:r>
        <w:rPr>
          <w:rFonts w:ascii="Times New Roman" w:cs="Times New Roman" w:eastAsia="Times New Roman" w:hAnsi="Times New Roman"/>
          <w:b/>
          <w:bCs/>
          <w:sz w:val="25"/>
          <w:szCs w:val="25"/>
        </w:rPr>
        <w:t xml:space="preserve">A National Legal Knowledge Platform for Bangladesh</w:t>
      </w:r>
    </w:p>
    <w:p>
      <w:pPr>
        <w:spacing w:after="100" w:line="256"/>
        <w:jc w:val="center"/>
      </w:pPr>
      <w:r>
        <w:rPr>
          <w:rFonts w:ascii="Times New Roman" w:cs="Times New Roman" w:eastAsia="Times New Roman" w:hAnsi="Times New Roman"/>
          <w:i/>
          <w:iCs/>
          <w:sz w:val="19"/>
          <w:szCs w:val="19"/>
        </w:rPr>
        <w:t xml:space="preserve">ধারা : a section of an Act, and also a flowing stream</w:t>
      </w:r>
    </w:p>
    <w:p>
      <w:pPr>
        <w:spacing w:after="340" w:line="256"/>
        <w:jc w:val="center"/>
      </w:pPr>
      <w:r>
        <w:rPr>
          <w:rFonts w:ascii="Times New Roman" w:cs="Times New Roman" w:eastAsia="Times New Roman" w:hAnsi="Times New Roman"/>
          <w:i/>
          <w:iCs/>
          <w:sz w:val="20"/>
          <w:szCs w:val="20"/>
        </w:rPr>
        <w:t xml:space="preserve">Pilot: amendment-aware legal research and analysis for judges, advocates and legal officers, with every answer cited and 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rPr>
          <w:cantSplit/>
          <w:tblHeader/>
        </w:trPr>
        <w:tc>
          <w:tcPr>
            <w:tcW w:type="dxa" w:w="275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Field</w:t>
            </w:r>
          </w:p>
        </w:tc>
        <w:tc>
          <w:tcPr>
            <w:tcW w:type="dxa" w:w="627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Detail</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Project title</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Dhara: A National Legal Knowledge Platform for Bangladesh</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Pilot component</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Amendment-Aware Retrieval-Augmented Generation for Bangladeshi Legal Text</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Thematic domain</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LegalTech, Artificial Intelligence, Digital Public Infrastructure</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Funding programme</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Innovation Fund (Grant for Innovative Works), FY 2026-27</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Grant tier applied for</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Small (proof of concept to working public release)</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Amount requested</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BDT 4,85,000 (Four lakh eighty-five thousand taka only)</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Implementation period</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Six (6) months from date of first disbursement</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Applicants</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Sazidur Rahman Mahin (Roll 1414); Shah Alam Abir (Roll 1439)</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Institution</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Institute of Information Technology, University of Dhaka</w:t>
            </w:r>
          </w:p>
        </w:tc>
      </w:tr>
      <w:tr>
        <w:trPr>
          <w:cantSplit/>
          <w:tblHeader w:val="false"/>
        </w:trPr>
        <w:tc>
          <w:tcPr>
            <w:tcW w:type="dxa" w:w="27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Date of submission</w:t>
            </w:r>
          </w:p>
        </w:tc>
        <w:tc>
          <w:tcPr>
            <w:tcW w:type="dxa" w:w="62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[to be entered on submission]</w:t>
            </w:r>
          </w:p>
        </w:tc>
      </w:tr>
    </w:tbl>
    <w:p>
      <w:pPr>
        <w:pageBreakBefore/>
        <w:spacing w:after="0"/>
      </w:pPr>
    </w:p>
    <w:p>
      <w:pPr>
        <w:pStyle w:val="Heading1"/>
        <w:spacing w:after="96" w:before="200"/>
      </w:pPr>
      <w:r>
        <w:rPr>
          <w:rFonts w:ascii="Times New Roman" w:cs="Times New Roman" w:eastAsia="Times New Roman" w:hAnsi="Times New Roman"/>
          <w:b/>
          <w:bCs/>
          <w:color w:val="1F3864"/>
          <w:sz w:val="26"/>
          <w:szCs w:val="26"/>
        </w:rPr>
        <w:t xml:space="preserve">Contents</w:t>
      </w:r>
    </w:p>
    <w:p>
      <w:pPr>
        <w:spacing w:after="60"/>
      </w:pPr>
    </w:p>
    <w:p>
      <w:pPr>
        <w:tabs>
          <w:tab w:val="right" w:pos="9026" w:leader="dot"/>
        </w:tabs>
        <w:spacing w:after="110" w:line="250"/>
      </w:pPr>
      <w:r>
        <w:rPr>
          <w:rFonts w:ascii="Times New Roman" w:cs="Times New Roman" w:eastAsia="Times New Roman" w:hAnsi="Times New Roman"/>
          <w:sz w:val="21"/>
          <w:szCs w:val="21"/>
        </w:rPr>
        <w:t xml:space="preserve">Executive Summary</w:t>
      </w:r>
    </w:p>
    <w:p>
      <w:pPr>
        <w:tabs>
          <w:tab w:val="right" w:pos="9026" w:leader="dot"/>
        </w:tabs>
        <w:spacing w:after="110" w:line="250"/>
      </w:pPr>
      <w:r>
        <w:rPr>
          <w:rFonts w:ascii="Times New Roman" w:cs="Times New Roman" w:eastAsia="Times New Roman" w:hAnsi="Times New Roman"/>
          <w:sz w:val="21"/>
          <w:szCs w:val="21"/>
        </w:rPr>
        <w:t xml:space="preserve">1.  Introduction</w:t>
      </w:r>
    </w:p>
    <w:p>
      <w:pPr>
        <w:tabs>
          <w:tab w:val="right" w:pos="9026" w:leader="dot"/>
        </w:tabs>
        <w:spacing w:after="110" w:line="250"/>
      </w:pPr>
      <w:r>
        <w:rPr>
          <w:rFonts w:ascii="Times New Roman" w:cs="Times New Roman" w:eastAsia="Times New Roman" w:hAnsi="Times New Roman"/>
          <w:sz w:val="21"/>
          <w:szCs w:val="21"/>
        </w:rPr>
        <w:t xml:space="preserve">2.  Motivation</w:t>
      </w:r>
    </w:p>
    <w:p>
      <w:pPr>
        <w:tabs>
          <w:tab w:val="right" w:pos="9026" w:leader="dot"/>
        </w:tabs>
        <w:spacing w:after="110" w:line="250"/>
      </w:pPr>
      <w:r>
        <w:rPr>
          <w:rFonts w:ascii="Times New Roman" w:cs="Times New Roman" w:eastAsia="Times New Roman" w:hAnsi="Times New Roman"/>
          <w:sz w:val="21"/>
          <w:szCs w:val="21"/>
        </w:rPr>
        <w:t xml:space="preserve">3.  Background Study</w:t>
      </w:r>
    </w:p>
    <w:p>
      <w:pPr>
        <w:tabs>
          <w:tab w:val="right" w:pos="9026" w:leader="dot"/>
        </w:tabs>
        <w:spacing w:after="110" w:line="250"/>
      </w:pPr>
      <w:r>
        <w:rPr>
          <w:rFonts w:ascii="Times New Roman" w:cs="Times New Roman" w:eastAsia="Times New Roman" w:hAnsi="Times New Roman"/>
          <w:sz w:val="21"/>
          <w:szCs w:val="21"/>
        </w:rPr>
        <w:t xml:space="preserve">4.  Proposed Solution</w:t>
      </w:r>
    </w:p>
    <w:p>
      <w:pPr>
        <w:tabs>
          <w:tab w:val="right" w:pos="9026" w:leader="dot"/>
        </w:tabs>
        <w:spacing w:after="110" w:line="250"/>
      </w:pPr>
      <w:r>
        <w:rPr>
          <w:rFonts w:ascii="Times New Roman" w:cs="Times New Roman" w:eastAsia="Times New Roman" w:hAnsi="Times New Roman"/>
          <w:sz w:val="21"/>
          <w:szCs w:val="21"/>
        </w:rPr>
        <w:t xml:space="preserve">5.  Scope and Pilot Implementation</w:t>
      </w:r>
    </w:p>
    <w:p>
      <w:pPr>
        <w:tabs>
          <w:tab w:val="right" w:pos="9026" w:leader="dot"/>
        </w:tabs>
        <w:spacing w:after="110" w:line="250"/>
      </w:pPr>
      <w:r>
        <w:rPr>
          <w:rFonts w:ascii="Times New Roman" w:cs="Times New Roman" w:eastAsia="Times New Roman" w:hAnsi="Times New Roman"/>
          <w:sz w:val="21"/>
          <w:szCs w:val="21"/>
        </w:rPr>
        <w:t xml:space="preserve">6.  Budget and Resource Plan</w:t>
      </w:r>
    </w:p>
    <w:p>
      <w:pPr>
        <w:tabs>
          <w:tab w:val="right" w:pos="9026" w:leader="dot"/>
        </w:tabs>
        <w:spacing w:after="110" w:line="250"/>
      </w:pPr>
      <w:r>
        <w:rPr>
          <w:rFonts w:ascii="Times New Roman" w:cs="Times New Roman" w:eastAsia="Times New Roman" w:hAnsi="Times New Roman"/>
          <w:sz w:val="21"/>
          <w:szCs w:val="21"/>
        </w:rPr>
        <w:t xml:space="preserve">7.  Impact on Society</w:t>
      </w:r>
    </w:p>
    <w:p>
      <w:pPr>
        <w:tabs>
          <w:tab w:val="right" w:pos="9026" w:leader="dot"/>
        </w:tabs>
        <w:spacing w:after="110" w:line="250"/>
      </w:pPr>
      <w:r>
        <w:rPr>
          <w:rFonts w:ascii="Times New Roman" w:cs="Times New Roman" w:eastAsia="Times New Roman" w:hAnsi="Times New Roman"/>
          <w:sz w:val="21"/>
          <w:szCs w:val="21"/>
        </w:rPr>
        <w:t xml:space="preserve">8.  Alignment with Sustainable Development Goals (SDGs)</w:t>
      </w:r>
    </w:p>
    <w:p>
      <w:pPr>
        <w:tabs>
          <w:tab w:val="right" w:pos="9026" w:leader="dot"/>
        </w:tabs>
        <w:spacing w:after="110" w:line="250"/>
      </w:pPr>
      <w:r>
        <w:rPr>
          <w:rFonts w:ascii="Times New Roman" w:cs="Times New Roman" w:eastAsia="Times New Roman" w:hAnsi="Times New Roman"/>
          <w:sz w:val="21"/>
          <w:szCs w:val="21"/>
        </w:rPr>
        <w:t xml:space="preserve">9.  Revenue Plan</w:t>
      </w:r>
    </w:p>
    <w:p>
      <w:pPr>
        <w:tabs>
          <w:tab w:val="right" w:pos="9026" w:leader="dot"/>
        </w:tabs>
        <w:spacing w:after="110" w:line="250"/>
      </w:pPr>
      <w:r>
        <w:rPr>
          <w:rFonts w:ascii="Times New Roman" w:cs="Times New Roman" w:eastAsia="Times New Roman" w:hAnsi="Times New Roman"/>
          <w:sz w:val="21"/>
          <w:szCs w:val="21"/>
        </w:rPr>
        <w:t xml:space="preserve">10. Expected Outcomes and Deliverables</w:t>
      </w:r>
    </w:p>
    <w:p>
      <w:pPr>
        <w:tabs>
          <w:tab w:val="right" w:pos="9026" w:leader="dot"/>
        </w:tabs>
        <w:spacing w:after="110" w:line="250"/>
      </w:pPr>
      <w:r>
        <w:rPr>
          <w:rFonts w:ascii="Times New Roman" w:cs="Times New Roman" w:eastAsia="Times New Roman" w:hAnsi="Times New Roman"/>
          <w:sz w:val="21"/>
          <w:szCs w:val="21"/>
        </w:rPr>
        <w:t xml:space="preserve">References</w:t>
      </w:r>
    </w:p>
    <w:p>
      <w:pPr>
        <w:tabs>
          <w:tab w:val="right" w:pos="9026" w:leader="dot"/>
        </w:tabs>
        <w:spacing w:after="110" w:line="250"/>
      </w:pPr>
      <w:r>
        <w:rPr>
          <w:rFonts w:ascii="Times New Roman" w:cs="Times New Roman" w:eastAsia="Times New Roman" w:hAnsi="Times New Roman"/>
          <w:sz w:val="21"/>
          <w:szCs w:val="21"/>
        </w:rPr>
        <w:t xml:space="preserve">Annex A: Head-wise Budget Sheet</w:t>
      </w:r>
    </w:p>
    <w:p>
      <w:pPr>
        <w:spacing w:after="200"/>
      </w:pPr>
    </w:p>
    <w:p>
      <w:pPr>
        <w:pStyle w:val="Heading1"/>
        <w:spacing w:after="96" w:before="200"/>
      </w:pPr>
      <w:r>
        <w:rPr>
          <w:rFonts w:ascii="Times New Roman" w:cs="Times New Roman" w:eastAsia="Times New Roman" w:hAnsi="Times New Roman"/>
          <w:b/>
          <w:bCs/>
          <w:color w:val="1F3864"/>
          <w:sz w:val="26"/>
          <w:szCs w:val="26"/>
        </w:rPr>
        <w:t xml:space="preserve">Executive Summary</w:t>
      </w:r>
    </w:p>
    <w:p>
      <w:pPr>
        <w:spacing w:after="86" w:line="256"/>
        <w:jc w:val="both"/>
      </w:pPr>
      <w:r>
        <w:rPr>
          <w:rFonts w:ascii="Times New Roman" w:cs="Times New Roman" w:eastAsia="Times New Roman" w:hAnsi="Times New Roman"/>
          <w:sz w:val="21"/>
          <w:szCs w:val="21"/>
        </w:rPr>
        <w:t xml:space="preserve">Bangladesh’s judiciary carried 46,39,476 pending cases as of 31 March 2026, of which 40,78,432 were in the lower courts. Approximately 2,301 subordinate judges carry that load, about 1,756 cases each. Clearing the subordinate backlog within one year, assuming no new filings, would require roughly 6,300 judges, close to three times the present bench. Recruitment alone cannot close a gap of that scale.</w:t>
      </w:r>
    </w:p>
    <w:p>
      <w:pPr>
        <w:spacing w:after="86" w:line="256"/>
        <w:jc w:val="both"/>
      </w:pPr>
      <w:r>
        <w:rPr>
          <w:rFonts w:ascii="Times New Roman" w:cs="Times New Roman" w:eastAsia="Times New Roman" w:hAnsi="Times New Roman"/>
          <w:sz w:val="21"/>
          <w:szCs w:val="21"/>
        </w:rPr>
        <w:t xml:space="preserve">Most causes of backlog are not software problems. One is. Bangladeshi statutory law is difficult to search and impossible to search correctly with respect to time. A dispute is decided by the law as it stood on the date the cause of action arose, yet every system available in the country today, including the official portal, commercial databases and general-purpose chatbots, returns only the current consolidated text.</w:t>
      </w:r>
    </w:p>
    <w:p>
      <w:pPr>
        <w:spacing w:after="86" w:line="256"/>
        <w:jc w:val="both"/>
      </w:pPr>
      <w:r>
        <w:rPr>
          <w:rFonts w:ascii="Times New Roman" w:cs="Times New Roman" w:eastAsia="Times New Roman" w:hAnsi="Times New Roman"/>
          <w:sz w:val="21"/>
          <w:szCs w:val="21"/>
        </w:rPr>
        <w:t xml:space="preserve">Dhara is proposed as a national legal knowledge platform: a single environment in which judges, advocates and legal officers research the law, analyse a matter, draft the filing and manage the case, with every legal statement traceable to a dated, verifiable source. The full platform is a multi-year undertaking and is described in Section 4 so that the Division can see where the work leads.</w:t>
      </w:r>
    </w:p>
    <w:p>
      <w:pPr>
        <w:spacing w:after="86" w:line="256"/>
        <w:jc w:val="both"/>
      </w:pPr>
      <w:r>
        <w:rPr>
          <w:rFonts w:ascii="Times New Roman" w:cs="Times New Roman" w:eastAsia="Times New Roman" w:hAnsi="Times New Roman"/>
          <w:sz w:val="21"/>
          <w:szCs w:val="21"/>
        </w:rPr>
        <w:t xml:space="preserve">This proposal does not ask the Division to fund that platform. It asks the Division to fund its foundation.</w:t>
      </w:r>
    </w:p>
    <w:p>
      <w:pPr>
        <w:spacing w:after="86" w:line="256"/>
        <w:jc w:val="both"/>
      </w:pPr>
      <w:r>
        <w:rPr>
          <w:rFonts w:ascii="Times New Roman" w:cs="Times New Roman" w:eastAsia="Times New Roman" w:hAnsi="Times New Roman"/>
          <w:sz w:val="21"/>
          <w:szCs w:val="21"/>
        </w:rPr>
        <w:t xml:space="preserve">The pilot delivers one layer, completely: the full Bangladesh Code represented at provision level, bilingual, with each provision carrying the dates between which it was in force, served through a cited research interface that abstains rather than guesses. That layer is the prerequisite for everything above it, because drafting from superseded law is worse than not drafting at all, and it is the layer that no commercial party has an incentive to build and release openly.</w:t>
      </w:r>
    </w:p>
    <w:p>
      <w:pPr>
        <w:spacing w:after="86" w:line="256"/>
        <w:jc w:val="both"/>
      </w:pPr>
      <w:r>
        <w:rPr>
          <w:rFonts w:ascii="Times New Roman" w:cs="Times New Roman" w:eastAsia="Times New Roman" w:hAnsi="Times New Roman"/>
          <w:sz w:val="21"/>
          <w:szCs w:val="21"/>
        </w:rPr>
        <w:t xml:space="preserve">The project requests BDT 4,85,000 over six months. The budget is almost entirely engineering time, and that is the point rather than an overhead on it. No money is spent re-digitising statutory text that is already public. The money is spent completing that text against the official portal, restructuring it to provision level, and attaching validity dates to every amended provision, which is work that no existing dataset has done. On completion, the structured corpus, the public API and the evaluation benchmark are handed to the ICT Division under Article 21.5 and released under an open licence, and a free Bangla public search interface remains in operation.</w:t>
      </w:r>
    </w:p>
    <w:p>
      <w:pPr>
        <w:pStyle w:val="Heading1"/>
        <w:spacing w:after="96" w:before="200"/>
      </w:pPr>
      <w:r>
        <w:rPr>
          <w:rFonts w:ascii="Times New Roman" w:cs="Times New Roman" w:eastAsia="Times New Roman" w:hAnsi="Times New Roman"/>
          <w:b/>
          <w:bCs/>
          <w:color w:val="1F3864"/>
          <w:sz w:val="26"/>
          <w:szCs w:val="26"/>
        </w:rPr>
        <w:t xml:space="preserve">1. Introduction</w:t>
      </w:r>
    </w:p>
    <w:p>
      <w:pPr>
        <w:spacing w:after="86" w:line="256"/>
        <w:jc w:val="both"/>
      </w:pPr>
      <w:r>
        <w:rPr>
          <w:rFonts w:ascii="Times New Roman" w:cs="Times New Roman" w:eastAsia="Times New Roman" w:hAnsi="Times New Roman"/>
          <w:sz w:val="21"/>
          <w:szCs w:val="21"/>
        </w:rPr>
        <w:t xml:space="preserve">Legal work in Bangladesh is conducted across disconnected tools: a statute portal that shows only present text, paid foreign databases for case law, word processors for drafting, paper diaries for deadlines, and increasingly, general-purpose chatbots that fabricate section numbers. Nothing connects them, and nothing verifies them.</w:t>
      </w:r>
    </w:p>
    <w:p>
      <w:pPr>
        <w:pStyle w:val="Heading2"/>
        <w:spacing w:after="74" w:before="142"/>
      </w:pPr>
      <w:r>
        <w:rPr>
          <w:rFonts w:ascii="Times New Roman" w:cs="Times New Roman" w:eastAsia="Times New Roman" w:hAnsi="Times New Roman"/>
          <w:b/>
          <w:bCs/>
          <w:color w:val="2E4E7E"/>
          <w:sz w:val="22"/>
          <w:szCs w:val="22"/>
        </w:rPr>
        <w:t xml:space="preserve">1.1 Scale of 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6776"/>
      </w:tblGrid>
      <w:tr>
        <w:trPr>
          <w:cantSplit/>
          <w:tblHeader/>
        </w:trPr>
        <w:tc>
          <w:tcPr>
            <w:tcW w:type="dxa" w:w="225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46,39,476</w:t>
            </w:r>
          </w:p>
        </w:tc>
        <w:tc>
          <w:tcPr>
            <w:tcW w:type="dxa" w:w="677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Cases pending across all levels of the judiciary as of 31 March 2026 [1]</w:t>
            </w:r>
          </w:p>
        </w:tc>
      </w:tr>
      <w:tr>
        <w:trPr>
          <w:cantSplit/>
          <w:tblHeader w:val="false"/>
        </w:trPr>
        <w:tc>
          <w:tcPr>
            <w:tcW w:type="dxa" w:w="22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40,78,432</w:t>
            </w:r>
          </w:p>
        </w:tc>
        <w:tc>
          <w:tcPr>
            <w:tcW w:type="dxa" w:w="67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Of those, pending in the lower courts [1]</w:t>
            </w:r>
          </w:p>
        </w:tc>
      </w:tr>
      <w:tr>
        <w:trPr>
          <w:cantSplit/>
          <w:tblHeader w:val="false"/>
        </w:trPr>
        <w:tc>
          <w:tcPr>
            <w:tcW w:type="dxa" w:w="22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About 1,756</w:t>
            </w:r>
          </w:p>
        </w:tc>
        <w:tc>
          <w:tcPr>
            <w:tcW w:type="dxa" w:w="67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Average caseload per subordinate judge [2]</w:t>
            </w:r>
          </w:p>
        </w:tc>
      </w:tr>
      <w:tr>
        <w:trPr>
          <w:cantSplit/>
          <w:tblHeader w:val="false"/>
        </w:trPr>
        <w:tc>
          <w:tcPr>
            <w:tcW w:type="dxa" w:w="22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About 6,300</w:t>
            </w:r>
          </w:p>
        </w:tc>
        <w:tc>
          <w:tcPr>
            <w:tcW w:type="dxa" w:w="67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Judges required to clear the subordinate backlog in one year, roughly three times the current bench [2]</w:t>
            </w:r>
          </w:p>
        </w:tc>
      </w:tr>
    </w:tbl>
    <w:p>
      <w:pPr>
        <w:spacing w:after="60"/>
      </w:pPr>
    </w:p>
    <w:p>
      <w:pPr>
        <w:spacing w:after="86" w:line="256"/>
        <w:jc w:val="both"/>
      </w:pPr>
      <w:r>
        <w:rPr>
          <w:rFonts w:ascii="Times New Roman" w:cs="Times New Roman" w:eastAsia="Times New Roman" w:hAnsi="Times New Roman"/>
          <w:sz w:val="21"/>
          <w:szCs w:val="21"/>
        </w:rPr>
        <w:t xml:space="preserve">Hiring cannot close a threefold gap. Part of the load must be carried by making legal work faster and less error-prone, and that is a software problem.</w:t>
      </w:r>
    </w:p>
    <w:p>
      <w:pPr>
        <w:pStyle w:val="Heading2"/>
        <w:keepNext/>
        <w:spacing w:after="74" w:before="142"/>
      </w:pPr>
      <w:r>
        <w:rPr>
          <w:rFonts w:ascii="Times New Roman" w:cs="Times New Roman" w:eastAsia="Times New Roman" w:hAnsi="Times New Roman"/>
          <w:b/>
          <w:bCs/>
          <w:color w:val="2E4E7E"/>
          <w:sz w:val="22"/>
          <w:szCs w:val="22"/>
        </w:rPr>
        <w:t xml:space="preserve">1.2 What the official portal does and does not provide</w:t>
      </w:r>
    </w:p>
    <w:p>
      <w:pPr>
        <w:keepNext/>
        <w:spacing w:after="86" w:line="256"/>
        <w:jc w:val="both"/>
      </w:pPr>
      <w:r>
        <w:rPr>
          <w:rFonts w:ascii="Times New Roman" w:cs="Times New Roman" w:eastAsia="Times New Roman" w:hAnsi="Times New Roman"/>
          <w:sz w:val="21"/>
          <w:szCs w:val="21"/>
        </w:rPr>
        <w:t xml:space="preserve">The Bangladesh Code portal is comprehensive, free and well maintained, and this proposal treats it as the authoritative public source. It records that a provision was amended. It does not record when.</w:t>
      </w:r>
    </w:p>
    <w:p>
      <w:pPr>
        <w:keepNext/>
        <w:spacing w:after="86" w:line="256"/>
        <w:jc w:val="both"/>
      </w:pPr>
      <w:r>
        <w:rPr>
          <w:rFonts w:ascii="Times New Roman" w:cs="Times New Roman" w:eastAsia="Times New Roman" w:hAnsi="Times New Roman"/>
          <w:sz w:val="21"/>
          <w:szCs w:val="21"/>
        </w:rPr>
        <w:t xml:space="preserve">A typical amendment footnote reads in full:</w:t>
      </w:r>
    </w:p>
    <w:p>
      <w:pPr>
        <w:keepNext/>
        <w:spacing w:after="110" w:before="60" w:line="256"/>
        <w:ind w:left="648" w:right="648"/>
      </w:pPr>
      <w:r>
        <w:rPr>
          <w:rFonts w:ascii="Times New Roman" w:cs="Times New Roman" w:eastAsia="Times New Roman" w:hAnsi="Times New Roman"/>
          <w:i/>
          <w:iCs/>
          <w:color w:val="2E4E7E"/>
          <w:sz w:val="21"/>
          <w:szCs w:val="21"/>
        </w:rPr>
        <w:t xml:space="preserve">“The words ‘and two Taka note’ were inserted by section 2 of the Bangladesh Currency (Amendment) Act, 1989.”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The footnote tells you</w:t>
            </w:r>
          </w:p>
        </w:tc>
        <w:tc>
          <w:tcPr>
            <w:tcW w:type="dxa" w:w="4513"/>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The footnote withholds</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That this provision was amended, and which Act amended it</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date that amendment took effect, and what the provision said before it</w:t>
            </w:r>
          </w:p>
        </w:tc>
      </w:tr>
    </w:tbl>
    <w:p>
      <w:pPr>
        <w:spacing w:after="70"/>
      </w:pPr>
    </w:p>
    <w:p>
      <w:pPr>
        <w:spacing w:after="86" w:line="256"/>
        <w:jc w:val="both"/>
      </w:pPr>
      <w:r>
        <w:rPr>
          <w:rFonts w:ascii="Times New Roman" w:cs="Times New Roman" w:eastAsia="Times New Roman" w:hAnsi="Times New Roman"/>
          <w:sz w:val="21"/>
          <w:szCs w:val="21"/>
        </w:rPr>
        <w:t xml:space="preserve">Both withheld items are required to answer the only question that matters in a historical dispute: what did this provision say on the day the cause of action arose? A claim that arose in 2015 is judged by the 2015 text. The portal displays the 2026 text. Nothing on the page tells you whether those are the same.</w:t>
      </w:r>
    </w:p>
    <w:p>
      <w:pPr>
        <w:pStyle w:val="Heading2"/>
        <w:spacing w:after="74" w:before="142"/>
      </w:pPr>
      <w:r>
        <w:rPr>
          <w:rFonts w:ascii="Times New Roman" w:cs="Times New Roman" w:eastAsia="Times New Roman" w:hAnsi="Times New Roman"/>
          <w:b/>
          <w:bCs/>
          <w:color w:val="2E4E7E"/>
          <w:sz w:val="22"/>
          <w:szCs w:val="22"/>
        </w:rPr>
        <w:t xml:space="preserve">1.3 Two further limitations</w:t>
      </w:r>
    </w:p>
    <w:p>
      <w:pPr>
        <w:pStyle w:val="ListParagraph"/>
        <w:numPr>
          <w:ilvl w:val="0"/>
          <w:numId w:val="2"/>
        </w:numPr>
        <w:spacing w:after="56" w:line="252"/>
      </w:pPr>
      <w:r>
        <w:rPr>
          <w:rFonts w:ascii="Times New Roman" w:cs="Times New Roman" w:eastAsia="Times New Roman" w:hAnsi="Times New Roman"/>
          <w:sz w:val="21"/>
          <w:szCs w:val="21"/>
        </w:rPr>
        <w:t xml:space="preserve">Keyword-only retrieval. Bangla is morphologically rich and legal Bangla is highly synonymous. A query phrased around unpaid wages will not reach a provision drafted with an equivalent term, and a Bangla query cannot reach an English-drafted section.</w:t>
      </w:r>
    </w:p>
    <w:p>
      <w:pPr>
        <w:pStyle w:val="ListParagraph"/>
        <w:numPr>
          <w:ilvl w:val="0"/>
          <w:numId w:val="2"/>
        </w:numPr>
        <w:spacing w:after="56" w:line="252"/>
      </w:pPr>
      <w:r>
        <w:rPr>
          <w:rFonts w:ascii="Times New Roman" w:cs="Times New Roman" w:eastAsia="Times New Roman" w:hAnsi="Times New Roman"/>
          <w:sz w:val="21"/>
          <w:szCs w:val="21"/>
        </w:rPr>
        <w:t xml:space="preserve">No programmatic access. Provisions are served as HTML pages. There is no public API, no bulk export and no structured representation, so no downstream system can filter, compare or version them.</w:t>
      </w:r>
    </w:p>
    <w:p>
      <w:pPr>
        <w:pStyle w:val="Heading2"/>
        <w:spacing w:after="74" w:before="142"/>
      </w:pPr>
      <w:r>
        <w:rPr>
          <w:rFonts w:ascii="Times New Roman" w:cs="Times New Roman" w:eastAsia="Times New Roman" w:hAnsi="Times New Roman"/>
          <w:b/>
          <w:bCs/>
          <w:color w:val="2E4E7E"/>
          <w:sz w:val="22"/>
          <w:szCs w:val="22"/>
        </w:rPr>
        <w:t xml:space="preserve">1.4 Who bears the cost</w:t>
      </w:r>
    </w:p>
    <w:p>
      <w:pPr>
        <w:spacing w:after="86" w:line="256"/>
        <w:jc w:val="both"/>
      </w:pPr>
      <w:r>
        <w:rPr>
          <w:rFonts w:ascii="Times New Roman" w:cs="Times New Roman" w:eastAsia="Times New Roman" w:hAnsi="Times New Roman"/>
          <w:sz w:val="21"/>
          <w:szCs w:val="21"/>
        </w:rPr>
        <w:t xml:space="preserve">A senior advocate in Dhaka absorbs these limitations through experience and paid subscriptions. A junior lawyer in a district town, a legal aid officer and a self-represented litigant cannot. The cost of authoritative legal research tracks income and geography.</w:t>
      </w:r>
    </w:p>
    <w:p>
      <w:pPr>
        <w:spacing w:after="86" w:line="256"/>
        <w:jc w:val="both"/>
      </w:pPr>
      <w:r>
        <w:rPr>
          <w:rFonts w:ascii="Times New Roman" w:cs="Times New Roman" w:eastAsia="Times New Roman" w:hAnsi="Times New Roman"/>
          <w:sz w:val="21"/>
          <w:szCs w:val="21"/>
        </w:rPr>
        <w:t xml:space="preserve">A second cost is now emerging. General-purpose language models are already in use for legal questions in Bangladesh. They answer fluently, invent section numbers, and hold no verified knowledge of Bangladeshi amendment history. Measured rates of fabricated citations in such models answering legal queries are high enough to constitute a practical hazard [8].</w:t>
      </w:r>
    </w:p>
    <w:p>
      <w:pPr>
        <w:pStyle w:val="Heading1"/>
        <w:spacing w:after="96" w:before="200"/>
      </w:pPr>
      <w:r>
        <w:rPr>
          <w:rFonts w:ascii="Times New Roman" w:cs="Times New Roman" w:eastAsia="Times New Roman" w:hAnsi="Times New Roman"/>
          <w:b/>
          <w:bCs/>
          <w:color w:val="1F3864"/>
          <w:sz w:val="26"/>
          <w:szCs w:val="26"/>
        </w:rPr>
        <w:t xml:space="preserve">2. Motivation</w:t>
      </w:r>
    </w:p>
    <w:p>
      <w:pPr>
        <w:pStyle w:val="Heading2"/>
        <w:spacing w:after="74" w:before="142"/>
      </w:pPr>
      <w:r>
        <w:rPr>
          <w:rFonts w:ascii="Times New Roman" w:cs="Times New Roman" w:eastAsia="Times New Roman" w:hAnsi="Times New Roman"/>
          <w:b/>
          <w:bCs/>
          <w:color w:val="2E4E7E"/>
          <w:sz w:val="22"/>
          <w:szCs w:val="22"/>
        </w:rPr>
        <w:t xml:space="preserve">2.1 Why this is worth solving</w:t>
      </w:r>
    </w:p>
    <w:p>
      <w:pPr>
        <w:pStyle w:val="ListParagraph"/>
        <w:numPr>
          <w:ilvl w:val="0"/>
          <w:numId w:val="3"/>
        </w:numPr>
        <w:spacing w:after="56" w:line="252"/>
      </w:pPr>
      <w:r>
        <w:rPr>
          <w:rFonts w:ascii="Times New Roman" w:cs="Times New Roman" w:eastAsia="Times New Roman" w:hAnsi="Times New Roman"/>
          <w:sz w:val="21"/>
          <w:szCs w:val="21"/>
        </w:rPr>
        <w:t xml:space="preserve">Research time is the dominant cost in low-value litigation, which is exactly the class of matter that poor litigants bring.</w:t>
      </w:r>
    </w:p>
    <w:p>
      <w:pPr>
        <w:pStyle w:val="ListParagraph"/>
        <w:numPr>
          <w:ilvl w:val="0"/>
          <w:numId w:val="3"/>
        </w:numPr>
        <w:spacing w:after="56" w:line="252"/>
      </w:pPr>
      <w:r>
        <w:rPr>
          <w:rFonts w:ascii="Times New Roman" w:cs="Times New Roman" w:eastAsia="Times New Roman" w:hAnsi="Times New Roman"/>
          <w:sz w:val="21"/>
          <w:szCs w:val="21"/>
        </w:rPr>
        <w:t xml:space="preserve">Submissions built on superseded provisions consume hearing time and generate adjournments, a direct contribution to backlog.</w:t>
      </w:r>
    </w:p>
    <w:p>
      <w:pPr>
        <w:pStyle w:val="ListParagraph"/>
        <w:numPr>
          <w:ilvl w:val="0"/>
          <w:numId w:val="3"/>
        </w:numPr>
        <w:spacing w:after="56" w:line="252"/>
      </w:pPr>
      <w:r>
        <w:rPr>
          <w:rFonts w:ascii="Times New Roman" w:cs="Times New Roman" w:eastAsia="Times New Roman" w:hAnsi="Times New Roman"/>
          <w:sz w:val="21"/>
          <w:szCs w:val="21"/>
        </w:rPr>
        <w:t xml:space="preserve">Most litigants do not know which law or forum governs their dispute, and a claim filed in the wrong forum is dismissed after months.</w:t>
      </w:r>
    </w:p>
    <w:p>
      <w:pPr>
        <w:pStyle w:val="ListParagraph"/>
        <w:numPr>
          <w:ilvl w:val="0"/>
          <w:numId w:val="3"/>
        </w:numPr>
        <w:spacing w:after="56" w:line="252"/>
      </w:pPr>
      <w:r>
        <w:rPr>
          <w:rFonts w:ascii="Times New Roman" w:cs="Times New Roman" w:eastAsia="Times New Roman" w:hAnsi="Times New Roman"/>
          <w:sz w:val="21"/>
          <w:szCs w:val="21"/>
        </w:rPr>
        <w:t xml:space="preserve">A structured, version-tracked, machine-readable Bangladeshi legal corpus does not exist. Once built, it is reusable public infrastructure for every subsequent legal-technology effort in the country.</w:t>
      </w:r>
    </w:p>
    <w:p>
      <w:pPr>
        <w:pStyle w:val="Heading2"/>
        <w:spacing w:after="74" w:before="142"/>
      </w:pPr>
      <w:r>
        <w:rPr>
          <w:rFonts w:ascii="Times New Roman" w:cs="Times New Roman" w:eastAsia="Times New Roman" w:hAnsi="Times New Roman"/>
          <w:b/>
          <w:bCs/>
          <w:color w:val="2E4E7E"/>
          <w:sz w:val="22"/>
          <w:szCs w:val="22"/>
        </w:rPr>
        <w:t xml:space="preserve">2.2 Why retrieval-augmented generation</w:t>
      </w:r>
    </w:p>
    <w:p>
      <w:pPr>
        <w:spacing w:after="86" w:line="256"/>
        <w:jc w:val="both"/>
      </w:pPr>
      <w:r>
        <w:rPr>
          <w:rFonts w:ascii="Times New Roman" w:cs="Times New Roman" w:eastAsia="Times New Roman" w:hAnsi="Times New Roman"/>
          <w:sz w:val="21"/>
          <w:szCs w:val="21"/>
        </w:rPr>
        <w:t xml:space="preserve">Keyword search cannot answer a natural-language question or bridge Bangla and English. Direct prompting of a general-purpose model fabricates provisions and offers no provenance. Retrieval-augmented generation is the correct architecture because it separates knowledge, which is retrieved, citable and auditable, from language ability, which belongs to the model.</w:t>
      </w:r>
    </w:p>
    <w:p>
      <w:pPr>
        <w:spacing w:after="86" w:line="256"/>
        <w:jc w:val="both"/>
      </w:pPr>
      <w:r>
        <w:rPr>
          <w:rFonts w:ascii="Times New Roman" w:cs="Times New Roman" w:eastAsia="Times New Roman" w:hAnsi="Times New Roman"/>
          <w:sz w:val="21"/>
          <w:szCs w:val="21"/>
        </w:rPr>
        <w:t xml:space="preserve">Plain retrieval-augmented generation is nevertheless insufficient here. It retrieves the current text and is therefore silently wrong for any historical dispute. Adding an explicit temporal layer is this project’s contribution.</w:t>
      </w:r>
    </w:p>
    <w:p>
      <w:pPr>
        <w:pStyle w:val="Heading2"/>
        <w:spacing w:after="74" w:before="142"/>
      </w:pPr>
      <w:r>
        <w:rPr>
          <w:rFonts w:ascii="Times New Roman" w:cs="Times New Roman" w:eastAsia="Times New Roman" w:hAnsi="Times New Roman"/>
          <w:b/>
          <w:bCs/>
          <w:color w:val="2E4E7E"/>
          <w:sz w:val="22"/>
          <w:szCs w:val="22"/>
        </w:rPr>
        <w:t xml:space="preserve">2.3 The organising principle</w:t>
      </w:r>
    </w:p>
    <w:p>
      <w:pPr>
        <w:spacing w:after="86" w:line="256"/>
        <w:jc w:val="both"/>
      </w:pPr>
      <w:r>
        <w:rPr>
          <w:rFonts w:ascii="Times New Roman" w:cs="Times New Roman" w:eastAsia="Times New Roman" w:hAnsi="Times New Roman"/>
          <w:sz w:val="21"/>
          <w:szCs w:val="21"/>
        </w:rPr>
        <w:t xml:space="preserve">Every capability the platform will eventually offer depends on one property: that the system knows, for any provision and any date, what the law actually said. A drafting assistant citing a repealed section produces a defective filing; a precedent analyser relying on an overruled judgment misleads counsel; a limitation calculator built on the wrong commencement date computes the wrong deadline. The substrate therefore comes first, and comes first completely, which is why the pilot covers the entire Bangladesh Code rather than a sample, and why its largest non-personnel head is advocate verification rather than additional features.</w:t>
      </w:r>
    </w:p>
    <w:p>
      <w:pPr>
        <w:pStyle w:val="Heading2"/>
        <w:spacing w:after="74" w:before="142"/>
      </w:pPr>
      <w:r>
        <w:rPr>
          <w:rFonts w:ascii="Times New Roman" w:cs="Times New Roman" w:eastAsia="Times New Roman" w:hAnsi="Times New Roman"/>
          <w:b/>
          <w:bCs/>
          <w:color w:val="2E4E7E"/>
          <w:sz w:val="22"/>
          <w:szCs w:val="22"/>
        </w:rPr>
        <w:t xml:space="preserve">2.4 What the project does not claim</w:t>
      </w:r>
    </w:p>
    <w:p>
      <w:pPr>
        <w:spacing w:after="86" w:line="256"/>
        <w:jc w:val="both"/>
      </w:pPr>
      <w:r>
        <w:rPr>
          <w:rFonts w:ascii="Times New Roman" w:cs="Times New Roman" w:eastAsia="Times New Roman" w:hAnsi="Times New Roman"/>
          <w:sz w:val="21"/>
          <w:szCs w:val="21"/>
        </w:rPr>
        <w:t xml:space="preserve">Dhara does not give legal advice, does not predict case outcomes and does not profile judges. It is a research assistant with mandatory human review. This is a design decision rather than a disclaimer: predictive judicial analytics is legally restricted in several jurisdictions and is inappropriate for a system of this kind. The project also makes no claim that it will reduce the national case backlog, which is driven principally by judge shortage and procedural delay.</w:t>
      </w:r>
    </w:p>
    <w:p>
      <w:pPr>
        <w:pStyle w:val="Heading1"/>
        <w:spacing w:after="96" w:before="200"/>
      </w:pPr>
      <w:r>
        <w:rPr>
          <w:rFonts w:ascii="Times New Roman" w:cs="Times New Roman" w:eastAsia="Times New Roman" w:hAnsi="Times New Roman"/>
          <w:b/>
          <w:bCs/>
          <w:color w:val="1F3864"/>
          <w:sz w:val="26"/>
          <w:szCs w:val="26"/>
        </w:rPr>
        <w:t xml:space="preserve">3. Background Study</w:t>
      </w:r>
    </w:p>
    <w:p>
      <w:pPr>
        <w:pStyle w:val="Heading2"/>
        <w:spacing w:after="74" w:before="142"/>
      </w:pPr>
      <w:r>
        <w:rPr>
          <w:rFonts w:ascii="Times New Roman" w:cs="Times New Roman" w:eastAsia="Times New Roman" w:hAnsi="Times New Roman"/>
          <w:b/>
          <w:bCs/>
          <w:color w:val="2E4E7E"/>
          <w:sz w:val="22"/>
          <w:szCs w:val="22"/>
        </w:rPr>
        <w:t xml:space="preserve">3.1 International and regional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cantSplit/>
          <w:tblHeader/>
        </w:trPr>
        <w:tc>
          <w:tcPr>
            <w:tcW w:type="dxa" w:w="22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System</w:t>
            </w:r>
          </w:p>
        </w:tc>
        <w:tc>
          <w:tcPr>
            <w:tcW w:type="dxa" w:w="31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Capability</w:t>
            </w:r>
          </w:p>
        </w:tc>
        <w:tc>
          <w:tcPr>
            <w:tcW w:type="dxa" w:w="37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Relevance to Bangladesh</w:t>
            </w:r>
          </w:p>
        </w:tc>
      </w:tr>
      <w:tr>
        <w:trPr>
          <w:cantSplit/>
          <w:tblHeader w:val="false"/>
        </w:trPr>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Westlaw (KeyCite), LexisNexis (Shepard’s)</w:t>
            </w:r>
          </w:p>
        </w:tc>
        <w:tc>
          <w:tcPr>
            <w:tcW w:type="dxa" w:w="31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Point-in-time statutory text and citation-treatment signalling</w:t>
            </w:r>
          </w:p>
        </w:tc>
        <w:tc>
          <w:tcPr>
            <w:tcW w:type="dxa" w:w="3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Proprietary, priced for Western markets, no Bangladeshi coverage</w:t>
            </w:r>
          </w:p>
        </w:tc>
      </w:tr>
      <w:tr>
        <w:trPr>
          <w:cantSplit/>
          <w:tblHeader w:val="false"/>
        </w:trPr>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Harvey AI</w:t>
            </w:r>
          </w:p>
        </w:tc>
        <w:tc>
          <w:tcPr>
            <w:tcW w:type="dxa" w:w="31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Leading generative legal platform, used by major international firms</w:t>
            </w:r>
          </w:p>
        </w:tc>
        <w:tc>
          <w:tcPr>
            <w:tcW w:type="dxa" w:w="3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Built on United States and United Kingdom law. No Bangladeshi statute and no Bangla</w:t>
            </w:r>
          </w:p>
        </w:tc>
      </w:tr>
      <w:tr>
        <w:trPr>
          <w:cantSplit/>
          <w:tblHeader w:val="false"/>
        </w:trPr>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Manupatra (Noida, India)</w:t>
            </w:r>
          </w:p>
        </w:tc>
        <w:tc>
          <w:tcPr>
            <w:tcW w:type="dxa" w:w="31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Commercial database including Bangladeshi statutes and case law</w:t>
            </w:r>
          </w:p>
        </w:tc>
        <w:tc>
          <w:tcPr>
            <w:tcW w:type="dxa" w:w="3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Bangladeshi law sold to Bangladeshi firms from abroad, in English, inside an India-first product</w:t>
            </w:r>
          </w:p>
        </w:tc>
      </w:tr>
    </w:tbl>
    <w:p>
      <w:pPr>
        <w:spacing w:after="50"/>
      </w:pPr>
    </w:p>
    <w:p>
      <w:pPr>
        <w:spacing w:after="86" w:line="256"/>
        <w:jc w:val="both"/>
      </w:pPr>
      <w:r>
        <w:rPr>
          <w:rFonts w:ascii="Times New Roman" w:cs="Times New Roman" w:eastAsia="Times New Roman" w:hAnsi="Times New Roman"/>
          <w:sz w:val="21"/>
          <w:szCs w:val="21"/>
        </w:rPr>
        <w:t xml:space="preserve">The practical position today is that the most usable digital index of Bangladeshi law is maintained outside Bangladesh.</w:t>
      </w:r>
    </w:p>
    <w:p>
      <w:pPr>
        <w:pStyle w:val="Heading2"/>
        <w:spacing w:after="74" w:before="142"/>
      </w:pPr>
      <w:r>
        <w:rPr>
          <w:rFonts w:ascii="Times New Roman" w:cs="Times New Roman" w:eastAsia="Times New Roman" w:hAnsi="Times New Roman"/>
          <w:b/>
          <w:bCs/>
          <w:color w:val="2E4E7E"/>
          <w:sz w:val="22"/>
          <w:szCs w:val="22"/>
        </w:rPr>
        <w:t xml:space="preserve">3.2 National resources</w:t>
      </w:r>
    </w:p>
    <w:p>
      <w:pPr>
        <w:spacing w:after="86" w:line="256"/>
        <w:jc w:val="both"/>
      </w:pPr>
      <w:r>
        <w:rPr>
          <w:rFonts w:ascii="Times New Roman" w:cs="Times New Roman" w:eastAsia="Times New Roman" w:hAnsi="Times New Roman"/>
          <w:sz w:val="21"/>
          <w:szCs w:val="21"/>
        </w:rPr>
        <w:t xml:space="preserve">Bangladesh-specific legal datasets exist, and this project builds on them rather than duplicating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Resource</w:t>
            </w:r>
          </w:p>
        </w:tc>
        <w:tc>
          <w:tcPr>
            <w:tcW w:type="dxa" w:w="33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Provides</w:t>
            </w:r>
          </w:p>
        </w:tc>
        <w:tc>
          <w:tcPr>
            <w:tcW w:type="dxa" w:w="33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Does not provide</w:t>
            </w:r>
          </w:p>
        </w:tc>
      </w:tr>
      <w:tr>
        <w:trPr>
          <w:cantSplit/>
          <w:tblHeader w:val="false"/>
        </w:trPr>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BLAD (2026) [5]</w:t>
            </w:r>
          </w:p>
        </w:tc>
        <w:tc>
          <w:tcPr>
            <w:tcW w:type="dxa" w:w="3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1,484 Acts, 35,633 sections, 14,523 footnotes, 1799 to 2025, bilingual, openly licensed</w:t>
            </w:r>
          </w:p>
        </w:tc>
        <w:tc>
          <w:tcPr>
            <w:tcW w:type="dxa" w:w="33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Footnotes stored as unparsed text. Repeal status recorded per Act rather than per section. The authors state that retrieval and temporal analysis remain future work</w:t>
            </w:r>
          </w:p>
        </w:tc>
      </w:tr>
      <w:tr>
        <w:trPr>
          <w:cantSplit/>
          <w:tblHeader w:val="false"/>
        </w:trPr>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UKIL-DB-EN (2024) [6]</w:t>
            </w:r>
          </w:p>
        </w:tc>
        <w:tc>
          <w:tcPr>
            <w:tcW w:type="dxa" w:w="3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595 Acts, 18,023 sections, English, with a fine-tuned assistant model</w:t>
            </w:r>
          </w:p>
        </w:tc>
        <w:tc>
          <w:tcPr>
            <w:tcW w:type="dxa" w:w="33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Repealed Acts and sections were deliberately removed during curation, so historical law is absent by construction</w:t>
            </w:r>
          </w:p>
        </w:tc>
      </w:tr>
      <w:tr>
        <w:trPr>
          <w:cantSplit/>
          <w:tblHeader w:val="false"/>
        </w:trPr>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bdlaws portal [4]</w:t>
            </w:r>
          </w:p>
        </w:tc>
        <w:tc>
          <w:tcPr>
            <w:tcW w:type="dxa" w:w="3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Official consolidated text, bilingual, with amendment footnotes</w:t>
            </w:r>
          </w:p>
        </w:tc>
        <w:tc>
          <w:tcPr>
            <w:tcW w:type="dxa" w:w="33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No commencement dates. Superseded text not shown. No API or bulk export</w:t>
            </w:r>
          </w:p>
        </w:tc>
      </w:tr>
    </w:tbl>
    <w:p>
      <w:pPr>
        <w:pStyle w:val="Heading2"/>
        <w:spacing w:after="74" w:before="142"/>
      </w:pPr>
      <w:r>
        <w:rPr>
          <w:rFonts w:ascii="Times New Roman" w:cs="Times New Roman" w:eastAsia="Times New Roman" w:hAnsi="Times New Roman"/>
          <w:b/>
          <w:bCs/>
          <w:color w:val="2E4E7E"/>
          <w:sz w:val="22"/>
          <w:szCs w:val="22"/>
        </w:rPr>
        <w:t xml:space="preserve">3.3 The gap this project addresses</w:t>
      </w:r>
    </w:p>
    <w:p>
      <w:pPr>
        <w:spacing w:after="86" w:line="256"/>
        <w:jc w:val="both"/>
      </w:pPr>
      <w:r>
        <w:rPr>
          <w:rFonts w:ascii="Times New Roman" w:cs="Times New Roman" w:eastAsia="Times New Roman" w:hAnsi="Times New Roman"/>
          <w:sz w:val="21"/>
          <w:szCs w:val="21"/>
        </w:rPr>
        <w:t xml:space="preserve">The statutory text of Bangladesh is substantially digitised and in part openly licensed. What does not exist, in any system, public or commercial, domestic or foreign, is a representation in which each provision carries the dates between which it was in force, with retrieval that honours those dates.</w:t>
      </w:r>
    </w:p>
    <w:p>
      <w:pPr>
        <w:spacing w:after="86" w:line="256"/>
        <w:jc w:val="both"/>
      </w:pPr>
      <w:r>
        <w:rPr>
          <w:rFonts w:ascii="Times New Roman" w:cs="Times New Roman" w:eastAsia="Times New Roman" w:hAnsi="Times New Roman"/>
          <w:sz w:val="21"/>
          <w:szCs w:val="21"/>
        </w:rPr>
        <w:t xml:space="preserve">That single missing layer separates a legal search tool from a legally correct one, because it is the layer on which the outcome of a historical dispute depends. Building it is the contribution of this pilot.</w:t>
      </w:r>
    </w:p>
    <w:p>
      <w:pPr>
        <w:spacing w:after="86" w:line="256"/>
        <w:jc w:val="both"/>
      </w:pPr>
      <w:r>
        <w:rPr>
          <w:rFonts w:ascii="Times New Roman" w:cs="Times New Roman" w:eastAsia="Times New Roman" w:hAnsi="Times New Roman"/>
          <w:sz w:val="21"/>
          <w:szCs w:val="21"/>
        </w:rPr>
        <w:t xml:space="preserve">The existing datasets supply raw statutory text, so no grant money goes into re-digitising what is already public. They do not supply completeness against the official portal, they are not structured to provision level against the schema a temporal system requires, and they carry no dates at all. Closing those three gaps is engineering work, and it is what this grant funds.</w:t>
      </w:r>
    </w:p>
    <w:p>
      <w:pPr>
        <w:pStyle w:val="Heading1"/>
        <w:spacing w:after="96" w:before="200"/>
      </w:pPr>
      <w:r>
        <w:rPr>
          <w:rFonts w:ascii="Times New Roman" w:cs="Times New Roman" w:eastAsia="Times New Roman" w:hAnsi="Times New Roman"/>
          <w:b/>
          <w:bCs/>
          <w:color w:val="1F3864"/>
          <w:sz w:val="26"/>
          <w:szCs w:val="26"/>
        </w:rPr>
        <w:t xml:space="preserve">4. Proposed Solution</w:t>
      </w:r>
    </w:p>
    <w:p>
      <w:pPr>
        <w:pStyle w:val="Heading2"/>
        <w:spacing w:after="74" w:before="142"/>
      </w:pPr>
      <w:r>
        <w:rPr>
          <w:rFonts w:ascii="Times New Roman" w:cs="Times New Roman" w:eastAsia="Times New Roman" w:hAnsi="Times New Roman"/>
          <w:b/>
          <w:bCs/>
          <w:color w:val="2E4E7E"/>
          <w:sz w:val="22"/>
          <w:szCs w:val="22"/>
        </w:rPr>
        <w:t xml:space="preserve">4.1 The complete platform</w:t>
      </w:r>
    </w:p>
    <w:p>
      <w:pPr>
        <w:spacing w:after="86" w:line="256"/>
        <w:jc w:val="both"/>
      </w:pPr>
      <w:r>
        <w:rPr>
          <w:rFonts w:ascii="Times New Roman" w:cs="Times New Roman" w:eastAsia="Times New Roman" w:hAnsi="Times New Roman"/>
          <w:sz w:val="21"/>
          <w:szCs w:val="21"/>
        </w:rPr>
        <w:t xml:space="preserve">Dhara is proposed as the connective layer for legal work in Bangladesh: an operating environment in which the law itself is a structured, dated, citable asset rather than a collection of documents to be read. The platform is organised into twelve modules across four releases. The pilot delivers the statutory component of the first release, marked v1.0 below. The remainder is presented for context and is not funded by this grant.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450"/>
        <w:gridCol w:w="4576"/>
        <w:gridCol w:w="1350"/>
      </w:tblGrid>
      <w:tr>
        <w:trPr>
          <w:cantSplit/>
          <w:tblHeader/>
        </w:trPr>
        <w:tc>
          <w:tcPr>
            <w:tcW w:type="dxa" w:w="65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w:t>
            </w:r>
          </w:p>
        </w:tc>
        <w:tc>
          <w:tcPr>
            <w:tcW w:type="dxa" w:w="245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Module</w:t>
            </w:r>
          </w:p>
        </w:tc>
        <w:tc>
          <w:tcPr>
            <w:tcW w:type="dxa" w:w="457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Scope</w:t>
            </w:r>
          </w:p>
        </w:tc>
        <w:tc>
          <w:tcPr>
            <w:tcW w:type="dxa" w:w="135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Release</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M1</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Legal Knowledge Base</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Statutes and SROs, then higher-court judgments, subordinate legislation, law reports, regulator circulars</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v1.0 to v3.0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M2</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Legal Intelligence</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Validity intervals and amendment lineage, then citation graph, section-to-judgment index, citation treatment, authority scoring</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v1.0 to v3.0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M3</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Research and Analysis</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Grounded dated question answering and provision browser, then precedent search, issue spotting, research memos</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v1.0 to v3.0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M4</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Drafting</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Pleadings, notices and opinions with live citation checking against the dated corpus</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v2.0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M5</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Matter Management</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Matter records, document repository, chronology, linked research and drafts</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v2.0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M6</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Calendar and Compliance</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Limitation computation, deadline alerts, cause list monitoring, hearing diary</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v2.0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M7</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Document Intelligence</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Bilingual OCR, structured extraction, summarisation, opposing-filing analysis</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v2.0 to v3.0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M8</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Judicial Tools</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Bench memo preparation, bundle summarisation, precedent briefs, consistency checking</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v4.0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M9</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Institutional Analytics</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Backlog composition, ADR eligibility flagging, disposal and pendency trends</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v4.0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M10</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Public and Legal Aid</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Free Bangla search and public API, then grievance triage, forum routing, eligibility screening</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v1.0 to v3.0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M11</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Platform Services</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Identity, roles, chambers, confidentiality controls, audit trail, billing, mobile</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v2.0 to v4.0</w:t>
            </w:r>
          </w:p>
        </w:tc>
      </w:tr>
      <w:tr>
        <w:trPr>
          <w:cantSplit/>
          <w:tblHeader w:val="false"/>
        </w:trPr>
        <w:tc>
          <w:tcPr>
            <w:tcW w:type="dxa" w:w="6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M12</w:t>
            </w:r>
          </w:p>
        </w:tc>
        <w:tc>
          <w:tcPr>
            <w:tcW w:type="dxa" w:w="24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Trust and Governance</w:t>
            </w:r>
          </w:p>
        </w:tc>
        <w:tc>
          <w:tcPr>
            <w:tcW w:type="dxa" w:w="4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Verification, abstention, provenance, coverage reporting, advocate review, model sovereignty</w:t>
            </w:r>
          </w:p>
        </w:tc>
        <w:tc>
          <w:tcPr>
            <w:tcW w:type="dxa" w:w="13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all releases</w:t>
            </w:r>
          </w:p>
        </w:tc>
      </w:tr>
    </w:tbl>
    <w:p>
      <w:pPr>
        <w:pStyle w:val="Heading2"/>
        <w:spacing w:after="74" w:before="142"/>
      </w:pPr>
      <w:r>
        <w:rPr>
          <w:rFonts w:ascii="Times New Roman" w:cs="Times New Roman" w:eastAsia="Times New Roman" w:hAnsi="Times New Roman"/>
          <w:b/>
          <w:bCs/>
          <w:color w:val="2E4E7E"/>
          <w:sz w:val="22"/>
          <w:szCs w:val="22"/>
        </w:rPr>
        <w:t xml:space="preserve">4.2 Release sequence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150"/>
        <w:gridCol w:w="3900"/>
        <w:gridCol w:w="1826"/>
      </w:tblGrid>
      <w:tr>
        <w:trPr>
          <w:cantSplit/>
          <w:tblHeader/>
        </w:trPr>
        <w:tc>
          <w:tcPr>
            <w:tcW w:type="dxa" w:w="115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Release</w:t>
            </w:r>
          </w:p>
        </w:tc>
        <w:tc>
          <w:tcPr>
            <w:tcW w:type="dxa" w:w="215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Theme</w:t>
            </w:r>
          </w:p>
        </w:tc>
        <w:tc>
          <w:tcPr>
            <w:tcW w:type="dxa" w:w="39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Delivers</w:t>
            </w:r>
          </w:p>
        </w:tc>
        <w:tc>
          <w:tcPr>
            <w:tcW w:type="dxa" w:w="18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Gated by</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v1.0 (this pilot)</w:t>
            </w:r>
          </w:p>
        </w:tc>
        <w:tc>
          <w:tcPr>
            <w:tcW w:type="dxa" w:w="2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Statutory foundation</w:t>
            </w:r>
          </w:p>
        </w:tc>
        <w:tc>
          <w:tcPr>
            <w:tcW w:type="dxa" w:w="3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Full Code at provision level, dated; cited research interface; free public search; open corpus and API</w:t>
            </w:r>
          </w:p>
        </w:tc>
        <w:tc>
          <w:tcPr>
            <w:tcW w:type="dxa" w:w="18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Not gated</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v1.5</w:t>
            </w:r>
          </w:p>
        </w:tc>
        <w:tc>
          <w:tcPr>
            <w:tcW w:type="dxa" w:w="2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Case law</w:t>
            </w:r>
          </w:p>
        </w:tc>
        <w:tc>
          <w:tcPr>
            <w:tcW w:type="dxa" w:w="3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Higher-court judgments, citation graph, section-to-judgment index, precedent search, citizen grievance triage</w:t>
            </w:r>
          </w:p>
        </w:tc>
        <w:tc>
          <w:tcPr>
            <w:tcW w:type="dxa" w:w="18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Judgment corpus access, an institutional rather than technical dependency</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v2.0</w:t>
            </w:r>
          </w:p>
        </w:tc>
        <w:tc>
          <w:tcPr>
            <w:tcW w:type="dxa" w:w="2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Professional workspace</w:t>
            </w:r>
          </w:p>
        </w:tc>
        <w:tc>
          <w:tcPr>
            <w:tcW w:type="dxa" w:w="3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Drafting with live citation checking, matter management, limitation and deadline computation, document intelligence, accounts and billing</w:t>
            </w:r>
          </w:p>
        </w:tc>
        <w:tc>
          <w:tcPr>
            <w:tcW w:type="dxa" w:w="18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v1.0 validity intervals. Without them, drafting cites repealed law</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v3.0</w:t>
            </w:r>
          </w:p>
        </w:tc>
        <w:tc>
          <w:tcPr>
            <w:tcW w:type="dxa" w:w="2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Analytical depth</w:t>
            </w:r>
          </w:p>
        </w:tc>
        <w:tc>
          <w:tcPr>
            <w:tcW w:type="dxa" w:w="3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Citation treatment, authority scoring, issue spotting, research memos, contract review</w:t>
            </w:r>
          </w:p>
        </w:tc>
        <w:tc>
          <w:tcPr>
            <w:tcW w:type="dxa" w:w="18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v1.5 citation graph</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v4.0</w:t>
            </w:r>
          </w:p>
        </w:tc>
        <w:tc>
          <w:tcPr>
            <w:tcW w:type="dxa" w:w="2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Institutional</w:t>
            </w:r>
          </w:p>
        </w:tc>
        <w:tc>
          <w:tcPr>
            <w:tcW w:type="dxa" w:w="3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Judicial tools, court analytics, legal aid intake, mobile and offline</w:t>
            </w:r>
          </w:p>
        </w:tc>
        <w:tc>
          <w:tcPr>
            <w:tcW w:type="dxa" w:w="18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v3.0 treatment classification. A bench memo citing overruled authority is worse than none</w:t>
            </w:r>
          </w:p>
        </w:tc>
      </w:tr>
    </w:tbl>
    <w:p>
      <w:pPr>
        <w:spacing w:after="50"/>
      </w:pPr>
    </w:p>
    <w:p>
      <w:pPr>
        <w:spacing w:after="86" w:line="256"/>
        <w:jc w:val="both"/>
      </w:pPr>
      <w:r>
        <w:rPr>
          <w:rFonts w:ascii="Times New Roman" w:cs="Times New Roman" w:eastAsia="Times New Roman" w:hAnsi="Times New Roman"/>
          <w:sz w:val="21"/>
          <w:szCs w:val="21"/>
        </w:rPr>
        <w:t xml:space="preserve">Two consequences are worth stating plainly. First, commercial revenue begins at v2.0. Everything before it is infrastructure that no investor would fund and that must nonetheless exist for anything above it to be trustworthy. That is the honest reason to seek public funding for this layer and to hand it back as public infrastructure. Second, the dependency chain is strict rather than conventional: each release is blocked by a correctness property established in the one before it.</w:t>
      </w:r>
    </w:p>
    <w:p>
      <w:pPr>
        <w:pStyle w:val="Heading2"/>
        <w:spacing w:after="74" w:before="142"/>
      </w:pPr>
      <w:r>
        <w:rPr>
          <w:rFonts w:ascii="Times New Roman" w:cs="Times New Roman" w:eastAsia="Times New Roman" w:hAnsi="Times New Roman"/>
          <w:b/>
          <w:bCs/>
          <w:color w:val="2E4E7E"/>
          <w:sz w:val="22"/>
          <w:szCs w:val="22"/>
        </w:rPr>
        <w:t xml:space="preserve">4.3 Pilot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Layer</w:t>
            </w:r>
          </w:p>
        </w:tc>
        <w:tc>
          <w:tcPr>
            <w:tcW w:type="dxa" w:w="24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Component</w:t>
            </w:r>
          </w:p>
        </w:tc>
        <w:tc>
          <w:tcPr>
            <w:tcW w:type="dxa" w:w="57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Function</w:t>
            </w:r>
          </w:p>
        </w:tc>
      </w:tr>
      <w:tr>
        <w:trPr>
          <w:cantSplit/>
          <w:tblHeader w:val="false"/>
        </w:trPr>
        <w:tc>
          <w:tcPr>
            <w:tcW w:type="dxa" w:w="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L1</w:t>
            </w:r>
          </w:p>
        </w:tc>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Corpus and versioning</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Ingest the open corpus, then resolve amendment footnotes into dated validity intervals with confidence tiering</w:t>
            </w:r>
          </w:p>
        </w:tc>
      </w:tr>
      <w:tr>
        <w:trPr>
          <w:cantSplit/>
          <w:tblHeader w:val="false"/>
        </w:trPr>
        <w:tc>
          <w:tcPr>
            <w:tcW w:type="dxa" w:w="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L2</w:t>
            </w:r>
          </w:p>
        </w:tc>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Indexing</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Lexical index and dense multilingual vector index over paired Bangla and English provision text</w:t>
            </w:r>
          </w:p>
        </w:tc>
      </w:tr>
      <w:tr>
        <w:trPr>
          <w:cantSplit/>
          <w:tblHeader w:val="false"/>
        </w:trPr>
        <w:tc>
          <w:tcPr>
            <w:tcW w:type="dxa" w:w="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L3</w:t>
            </w:r>
          </w:p>
        </w:tc>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Temporal hybrid retrieval</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Date-filtered candidate generation, sparse and dense fusion, optional cross-encoder reranking</w:t>
            </w:r>
          </w:p>
        </w:tc>
      </w:tr>
      <w:tr>
        <w:trPr>
          <w:cantSplit/>
          <w:tblHeader w:val="false"/>
        </w:trPr>
        <w:tc>
          <w:tcPr>
            <w:tcW w:type="dxa" w:w="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L4</w:t>
            </w:r>
          </w:p>
        </w:tc>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Grounded generation</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Citation-attached synthesis, deterministic verification, calibrated abstention</w:t>
            </w:r>
          </w:p>
        </w:tc>
      </w:tr>
    </w:tbl>
    <w:p>
      <w:pPr>
        <w:spacing w:after="50"/>
      </w:pPr>
    </w:p>
    <w:p>
      <w:pPr>
        <w:spacing w:after="86" w:line="256"/>
        <w:jc w:val="both"/>
      </w:pPr>
      <w:r>
        <w:rPr>
          <w:rFonts w:ascii="Times New Roman" w:cs="Times New Roman" w:eastAsia="Times New Roman" w:hAnsi="Times New Roman"/>
          <w:sz w:val="21"/>
          <w:szCs w:val="21"/>
        </w:rPr>
        <w:t xml:space="preserve">Layers L2 and L4 apply established technique carefully. Layers L1 and L3 contain the contribution. The ordering within L3 is the technical heart of the project: filtering precedes ranking, so a superseded provision is never a candidate and cannot survive into an answer. Reversing those two steps reintroduces precisely the defect the system exists to remove.</w:t>
      </w:r>
    </w:p>
    <w:p>
      <w:pPr>
        <w:pStyle w:val="Heading2"/>
        <w:spacing w:after="74" w:before="142"/>
      </w:pPr>
      <w:r>
        <w:rPr>
          <w:rFonts w:ascii="Times New Roman" w:cs="Times New Roman" w:eastAsia="Times New Roman" w:hAnsi="Times New Roman"/>
          <w:b/>
          <w:bCs/>
          <w:color w:val="2E4E7E"/>
          <w:sz w:val="22"/>
          <w:szCs w:val="22"/>
        </w:rPr>
        <w:t xml:space="preserve">4.4 Provision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Field</w:t>
            </w:r>
          </w:p>
        </w:tc>
        <w:tc>
          <w:tcPr>
            <w:tcW w:type="dxa" w:w="64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Description</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provision_id</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Stable identifier composed of act_id and section path</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text_bn / text_en</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Paired bilingual text of the same provision</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hierarchy_path</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Act, Chapter, Section, Sub-section, Proviso</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in_force_from / in_force_to</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Validity interval of this version. in_force_to is null where the version is current</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amended_by</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amending Act, Ordinance or Statutory Regulatory Order</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previous_version_id</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Link to the superseded version of the same provision</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lineage_confidence</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high, medium or none, recording the reliability of the extracted amendment history</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footnote_basis</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footnote text from which the commencement date was derived, shown to the user</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source_url</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Canonical official portal page for the provision</w:t>
            </w:r>
          </w:p>
        </w:tc>
      </w:tr>
    </w:tbl>
    <w:p>
      <w:pPr>
        <w:pStyle w:val="Heading2"/>
        <w:spacing w:after="74" w:before="142"/>
      </w:pPr>
      <w:r>
        <w:rPr>
          <w:rFonts w:ascii="Times New Roman" w:cs="Times New Roman" w:eastAsia="Times New Roman" w:hAnsi="Times New Roman"/>
          <w:b/>
          <w:bCs/>
          <w:color w:val="2E4E7E"/>
          <w:sz w:val="22"/>
          <w:szCs w:val="22"/>
        </w:rPr>
        <w:t xml:space="preserve">4.5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Category</w:t>
            </w:r>
          </w:p>
        </w:tc>
        <w:tc>
          <w:tcPr>
            <w:tcW w:type="dxa" w:w="64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Selection</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Primary corpus</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BLAD under CC BY-SA 4.0, with the official Bangladesh Code portal for gap-filling and source links</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Supplementary</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Bangladesh Gazette: SROs and amending ordinances, for commencement dates</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Backend and frontend</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Python with FastAPI; Next.js (React) with TypeScript</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Database and search</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PostgreSQL with pgvector; PostgreSQL full-text search for lexical retrieval</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Models</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sentence-transformers (multilingual-e5-base, LaBSE fallback); hosted API for generation; open-weight model for self-hosted fallback. No fine-tuning in this phase</w:t>
            </w:r>
          </w:p>
        </w:tc>
      </w:tr>
      <w:tr>
        <w:trPr>
          <w:cantSplit/>
          <w:tblHeader w:val="false"/>
        </w:trPr>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Operations</w:t>
            </w:r>
          </w:p>
        </w:tc>
        <w:tc>
          <w:tcPr>
            <w:tcW w:type="dxa" w:w="64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Docker, GitHub, GitHub Actions, single cloud instance</w:t>
            </w:r>
          </w:p>
        </w:tc>
      </w:tr>
    </w:tbl>
    <w:p>
      <w:pPr>
        <w:pStyle w:val="Heading1"/>
        <w:spacing w:after="96" w:before="200"/>
      </w:pPr>
      <w:r>
        <w:rPr>
          <w:rFonts w:ascii="Times New Roman" w:cs="Times New Roman" w:eastAsia="Times New Roman" w:hAnsi="Times New Roman"/>
          <w:b/>
          <w:bCs/>
          <w:color w:val="1F3864"/>
          <w:sz w:val="26"/>
          <w:szCs w:val="26"/>
        </w:rPr>
        <w:t xml:space="preserve">5. Scope and Pilot Implementation</w:t>
      </w:r>
    </w:p>
    <w:p>
      <w:pPr>
        <w:spacing w:after="86" w:line="256"/>
        <w:jc w:val="both"/>
      </w:pPr>
      <w:r>
        <w:rPr>
          <w:rFonts w:ascii="Times New Roman" w:cs="Times New Roman" w:eastAsia="Times New Roman" w:hAnsi="Times New Roman"/>
          <w:sz w:val="21"/>
          <w:szCs w:val="21"/>
        </w:rPr>
        <w:t xml:space="preserve">The pilot delivers statutory law only, and delivers all of it. The following is the complete functional specification of what will exist at the end of six months.</w:t>
      </w:r>
    </w:p>
    <w:p>
      <w:pPr>
        <w:pStyle w:val="Heading2"/>
        <w:spacing w:after="74" w:before="142"/>
      </w:pPr>
      <w:r>
        <w:rPr>
          <w:rFonts w:ascii="Times New Roman" w:cs="Times New Roman" w:eastAsia="Times New Roman" w:hAnsi="Times New Roman"/>
          <w:b/>
          <w:bCs/>
          <w:color w:val="2E4E7E"/>
          <w:sz w:val="22"/>
          <w:szCs w:val="22"/>
        </w:rPr>
        <w:t xml:space="preserve">5.1 Corpus and versioning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Ref</w:t>
            </w:r>
          </w:p>
        </w:tc>
        <w:tc>
          <w:tcPr>
            <w:tcW w:type="dxa" w:w="80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Requirement</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C-1</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Ingest the openly licensed structured corpus (1,484 Acts, 35,633 sections) under its licence terms</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C-2</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Gap analysis against the official portal, with targeted re-scrape only where coverage is missing or malformed</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C-3</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Cache all raw source pages locally before parsing, so the corpus survives portal change</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C-4</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Parse to provision level preserving Act, Chapter, Section, Sub-section and Proviso</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C-5</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Store Bangla and English text of the same provision as a single paired record</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C-6</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Assign stable, citable provision identifiers of the form act_id/sN@version_date</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C-7</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Retain the canonical official source URL for every provision</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C-8</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Produce versioned, reproducible corpus snapshots from a deterministic pipeline</w:t>
            </w:r>
          </w:p>
        </w:tc>
      </w:tr>
    </w:tbl>
    <w:p>
      <w:pPr>
        <w:pStyle w:val="Heading2"/>
        <w:spacing w:after="74" w:before="142"/>
      </w:pPr>
      <w:r>
        <w:rPr>
          <w:rFonts w:ascii="Times New Roman" w:cs="Times New Roman" w:eastAsia="Times New Roman" w:hAnsi="Times New Roman"/>
          <w:b/>
          <w:bCs/>
          <w:color w:val="2E4E7E"/>
          <w:sz w:val="22"/>
          <w:szCs w:val="22"/>
        </w:rPr>
        <w:t xml:space="preserve">5.2 Temporal layer, the core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Ref</w:t>
            </w:r>
          </w:p>
        </w:tc>
        <w:tc>
          <w:tcPr>
            <w:tcW w:type="dxa" w:w="80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Requirement</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T-1</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Parse amendment footnotes and extract the amending instrument for each affected provision</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T-2</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Resolve each amending instrument to its commencement date using the Bangladesh Gazette and Code metadata</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T-3</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Write in_force_from and in_force_to onto every provision version</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T-4</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Assign a lineage confidence tier of high, medium or none to each provision</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T-5</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Link each version to its predecessor, so the superseded wording is retrievable</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T-6</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Store the footnote text from which the date was derived and display it to the user as provenance</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T-7</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Mark a provision as date unknown rather than assign a date that cannot be verified</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T-8</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Generate a word-level difference between consecutive versions of a provision</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T-9</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Report amendment coverage by confidence tier as a measured figure, validated against a manual audit</w:t>
            </w:r>
          </w:p>
        </w:tc>
      </w:tr>
    </w:tbl>
    <w:p>
      <w:pPr>
        <w:pStyle w:val="Heading2"/>
        <w:spacing w:after="74" w:before="142"/>
      </w:pPr>
      <w:r>
        <w:rPr>
          <w:rFonts w:ascii="Times New Roman" w:cs="Times New Roman" w:eastAsia="Times New Roman" w:hAnsi="Times New Roman"/>
          <w:b/>
          <w:bCs/>
          <w:color w:val="2E4E7E"/>
          <w:sz w:val="22"/>
          <w:szCs w:val="22"/>
        </w:rPr>
        <w:t xml:space="preserve">5.3 Retrieval and grounded answering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Ref</w:t>
            </w:r>
          </w:p>
        </w:tc>
        <w:tc>
          <w:tcPr>
            <w:tcW w:type="dxa" w:w="80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Requirement</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R-1</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Accept a natural-language query in Bangla or English together with an as-of date, defaulting to today</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R-2</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Restrict candidates by validity interval at the database level before any ranking occurs</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R-3</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Run lexical (BM25) and dense multilingual retrieval in parallel over the filtered set</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R-4</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Merge the two ranked lists by reciprocal rank fusion, requiring no score calibration</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R-5</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Support cross-lingual matching through a shared embedding space, without machine translation</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G-1</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Constrain generation to retrieved provisions and their metadata only</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G-2</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Attach a provision-level citation to every generated sentence</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G-3</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Identify the exact span within the source provision that supports each cited sentence</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G-4</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Verify deterministically that every cited identifier appears in the retrieved set, and withhold any response that fails</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G-5</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Abstain with an explicit insufficient-grounding response below a calibrated confidence threshold</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G-6</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Refuse out-of-scope requests such as legal advice, outcome prediction and judicial profiling, and redirect to a legal question</w:t>
            </w:r>
          </w:p>
        </w:tc>
      </w:tr>
      <w:tr>
        <w:trPr>
          <w:cantSplit/>
          <w:tblHeader w:val="false"/>
        </w:trPr>
        <w:tc>
          <w:tcPr>
            <w:tcW w:type="dxa" w:w="1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G-7</w:t>
            </w:r>
          </w:p>
        </w:tc>
        <w:tc>
          <w:tcPr>
            <w:tcW w:type="dxa" w:w="8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Warn when the cited provision was amended after the selected date, or when lineage is unavailable</w:t>
            </w:r>
          </w:p>
        </w:tc>
      </w:tr>
    </w:tbl>
    <w:p>
      <w:pPr>
        <w:pStyle w:val="Heading2"/>
        <w:spacing w:after="74" w:before="142"/>
      </w:pPr>
      <w:r>
        <w:rPr>
          <w:rFonts w:ascii="Times New Roman" w:cs="Times New Roman" w:eastAsia="Times New Roman" w:hAnsi="Times New Roman"/>
          <w:b/>
          <w:bCs/>
          <w:color w:val="2E4E7E"/>
          <w:sz w:val="22"/>
          <w:szCs w:val="22"/>
        </w:rPr>
        <w:t xml:space="preserve">5.4 User-facing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Feature</w:t>
            </w:r>
          </w:p>
        </w:tc>
        <w:tc>
          <w:tcPr>
            <w:tcW w:type="dxa" w:w="65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Description</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Dated research interface</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Query in Bangla or English with an as-of date. Answer language is selectable independently of query language</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Visible retrieval pipeline</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user watches date filtering, retrieval and citation verification execute, rather than being asked to trust them</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Inline citation chips</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Each cited sentence carries a numbered chip. Selecting it highlights the exact supporting span in the source panel</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Source panel</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Every provision the answer draws on, with the version used, and a statement that nothing beyond the list was consulted</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Version timeline</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 visual track of a provision’s versions with the selected date marked, making the effect of the date immediately legible</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Provision browser</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Navigate by Act and chapter. View version history, full text, and a word-level difference between versions</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Provenance disclosure</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For every provision: identifier, validity dates, amending instrument, previous version, confidence tier, the footnote the date came from, and the official source link</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Four response states</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Answered, historical version with warning, coverage warning, and explicit refusal, each visually distinct</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Query history</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Previous questions with the date used and the outcome, re-runnable</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Free Bangla public access</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same engine, with no authentication, permanently free</w:t>
            </w:r>
          </w:p>
        </w:tc>
      </w:tr>
      <w:tr>
        <w:trPr>
          <w:cantSplit/>
          <w:tblHeader w:val="false"/>
        </w:trPr>
        <w:tc>
          <w:tcPr>
            <w:tcW w:type="dxa" w:w="2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Public read API</w:t>
            </w:r>
          </w:p>
        </w:tc>
        <w:tc>
          <w:tcPr>
            <w:tcW w:type="dxa" w:w="6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Documented programmatic access over the versioned corpus for legal aid bodies and developers</w:t>
            </w:r>
          </w:p>
        </w:tc>
      </w:tr>
    </w:tbl>
    <w:p>
      <w:pPr>
        <w:pStyle w:val="Heading2"/>
        <w:spacing w:after="74" w:before="142"/>
      </w:pPr>
      <w:r>
        <w:rPr>
          <w:rFonts w:ascii="Times New Roman" w:cs="Times New Roman" w:eastAsia="Times New Roman" w:hAnsi="Times New Roman"/>
          <w:b/>
          <w:bCs/>
          <w:color w:val="2E4E7E"/>
          <w:sz w:val="22"/>
          <w:szCs w:val="22"/>
        </w:rPr>
        <w:t xml:space="preserve">5.5 Out of scope for the pilot</w:t>
      </w:r>
    </w:p>
    <w:p>
      <w:pPr>
        <w:spacing w:after="86" w:line="256"/>
        <w:jc w:val="both"/>
      </w:pPr>
      <w:r>
        <w:rPr>
          <w:rFonts w:ascii="Times New Roman" w:cs="Times New Roman" w:eastAsia="Times New Roman" w:hAnsi="Times New Roman"/>
          <w:sz w:val="21"/>
          <w:szCs w:val="21"/>
        </w:rPr>
        <w:t xml:space="preserve">Judgment corpus and precedent search; citation-treatment classification; drafting; matter management; limitation computation; document upload and OCR; judicial tools; institutional analytics; authentication and billing; mobile applications; any model fine-tuning. These belong to later releases and are not funded by this grant.</w:t>
      </w:r>
    </w:p>
    <w:p>
      <w:pPr>
        <w:pStyle w:val="Heading2"/>
        <w:spacing w:after="74" w:before="142"/>
      </w:pPr>
      <w:r>
        <w:rPr>
          <w:rFonts w:ascii="Times New Roman" w:cs="Times New Roman" w:eastAsia="Times New Roman" w:hAnsi="Times New Roman"/>
          <w:b/>
          <w:bCs/>
          <w:color w:val="2E4E7E"/>
          <w:sz w:val="22"/>
          <w:szCs w:val="22"/>
        </w:rPr>
        <w:t xml:space="preserve">5.6 Work plan and timeline</w:t>
      </w:r>
    </w:p>
    <w:p>
      <w:pPr>
        <w:spacing w:after="86" w:line="256"/>
        <w:jc w:val="both"/>
      </w:pPr>
      <w:r>
        <w:rPr>
          <w:rFonts w:ascii="Times New Roman" w:cs="Times New Roman" w:eastAsia="Times New Roman" w:hAnsi="Times New Roman"/>
          <w:sz w:val="21"/>
          <w:szCs w:val="21"/>
        </w:rPr>
        <w:t xml:space="preserve">The project runs for six months from first disbursement across three parallel tracks. Six months rather than four reflects the real cost of the amendment-lineage work: resolving commencement dates across more than a thousand Acts is iterative, and the result must be complete and stable before evaluation and advocate review can begin. The final phase is feature-frozen and reserved for release, field testing and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700"/>
        <w:gridCol w:w="2600"/>
        <w:gridCol w:w="2576"/>
      </w:tblGrid>
      <w:tr>
        <w:trPr>
          <w:cantSplit/>
          <w:tblHeader/>
        </w:trPr>
        <w:tc>
          <w:tcPr>
            <w:tcW w:type="dxa" w:w="115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Phase</w:t>
            </w:r>
          </w:p>
        </w:tc>
        <w:tc>
          <w:tcPr>
            <w:tcW w:type="dxa" w:w="27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Data and ML</w:t>
            </w:r>
          </w:p>
        </w:tc>
        <w:tc>
          <w:tcPr>
            <w:tcW w:type="dxa" w:w="26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Backend</w:t>
            </w:r>
          </w:p>
        </w:tc>
        <w:tc>
          <w:tcPr>
            <w:tcW w:type="dxa" w:w="257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Frontend</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 (Months 1-2)</w:t>
            </w:r>
          </w:p>
        </w:tc>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Corpus ingestion, gap analysis, targeted re-scrape, provision schema</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Database schema, API skeleton, ingestion endpoints</w:t>
            </w:r>
          </w:p>
        </w:tc>
        <w:tc>
          <w:tcPr>
            <w:tcW w:type="dxa" w:w="2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Wireframes, application scaffold, component library</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2 (Months 2-3)</w:t>
            </w:r>
          </w:p>
        </w:tc>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Amendment-footnote parser, Gazette date resolution, confidence tiering, embeddings</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Lexical and dense index, corpus query layer</w:t>
            </w:r>
          </w:p>
        </w:tc>
        <w:tc>
          <w:tcPr>
            <w:tcW w:type="dxa" w:w="2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As-of-date query interface, provision browser</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3 (Months 3-4)</w:t>
            </w:r>
          </w:p>
        </w:tc>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Retrieval tuning, fusion weighting, reranker assessment</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Temporal retrieval endpoint, grounded generation, citation verification, abstention calibration</w:t>
            </w:r>
          </w:p>
        </w:tc>
        <w:tc>
          <w:tcPr>
            <w:tcW w:type="dxa" w:w="2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Answer view, citation chips, coverage warnings</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4 (Month 5)</w:t>
            </w:r>
          </w:p>
        </w:tc>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Evaluation set authoring, 200-provision lineage audit, evaluation and baseline comparison</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Corrections from advocate review, caching, performance tuning</w:t>
            </w:r>
          </w:p>
        </w:tc>
        <w:tc>
          <w:tcPr>
            <w:tcW w:type="dxa" w:w="2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Amendment difference view, query history</w:t>
            </w:r>
          </w:p>
        </w:tc>
      </w:tr>
      <w:tr>
        <w:trPr>
          <w:cantSplit/>
          <w:tblHeader w:val="false"/>
        </w:trPr>
        <w:tc>
          <w:tcPr>
            <w:tcW w:type="dxa" w:w="115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5 (Month 6)</w:t>
            </w:r>
          </w:p>
        </w:tc>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Results tables, benchmark release, final report</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Integration, public API documentation, no new features</w:t>
            </w:r>
          </w:p>
        </w:tc>
        <w:tc>
          <w:tcPr>
            <w:tcW w:type="dxa" w:w="257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Bangla public interface, accessibility pass, release</w:t>
            </w:r>
          </w:p>
        </w:tc>
      </w:tr>
    </w:tbl>
    <w:p>
      <w:pPr>
        <w:pStyle w:val="Heading2"/>
        <w:spacing w:after="74" w:before="142"/>
      </w:pPr>
      <w:r>
        <w:rPr>
          <w:rFonts w:ascii="Times New Roman" w:cs="Times New Roman" w:eastAsia="Times New Roman" w:hAnsi="Times New Roman"/>
          <w:b/>
          <w:bCs/>
          <w:color w:val="2E4E7E"/>
          <w:sz w:val="22"/>
          <w:szCs w:val="22"/>
        </w:rPr>
        <w:t xml:space="preserve">5.7 Milestones and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900"/>
        <w:gridCol w:w="2026"/>
      </w:tblGrid>
      <w:tr>
        <w:trPr>
          <w:cantSplit/>
          <w:tblHeader/>
        </w:trPr>
        <w:tc>
          <w:tcPr>
            <w:tcW w:type="dxa" w:w="8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ID</w:t>
            </w:r>
          </w:p>
        </w:tc>
        <w:tc>
          <w:tcPr>
            <w:tcW w:type="dxa" w:w="43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Completion criterion</w:t>
            </w:r>
          </w:p>
        </w:tc>
        <w:tc>
          <w:tcPr>
            <w:tcW w:type="dxa" w:w="19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Timing</w:t>
            </w:r>
          </w:p>
        </w:tc>
        <w:tc>
          <w:tcPr>
            <w:tcW w:type="dxa" w:w="20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Evidence submitted</w:t>
            </w:r>
          </w:p>
        </w:tc>
      </w:tr>
      <w:tr>
        <w:trPr>
          <w:cantSplit/>
          <w:tblHeader w:val="false"/>
        </w:trPr>
        <w:tc>
          <w:tcPr>
            <w:tcW w:type="dxa" w:w="8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M1</w:t>
            </w:r>
          </w:p>
        </w:tc>
        <w:tc>
          <w:tcPr>
            <w:tcW w:type="dxa" w:w="4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Corpus ingested, schema populated, raw sources cached</w:t>
            </w:r>
          </w:p>
        </w:tc>
        <w:tc>
          <w:tcPr>
            <w:tcW w:type="dxa" w:w="1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End of Month 2</w:t>
            </w:r>
          </w:p>
        </w:tc>
        <w:tc>
          <w:tcPr>
            <w:tcW w:type="dxa" w:w="2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Record counts, schema documentation</w:t>
            </w:r>
          </w:p>
        </w:tc>
      </w:tr>
      <w:tr>
        <w:trPr>
          <w:cantSplit/>
          <w:tblHeader w:val="false"/>
        </w:trPr>
        <w:tc>
          <w:tcPr>
            <w:tcW w:type="dxa" w:w="8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M2</w:t>
            </w:r>
          </w:p>
        </w:tc>
        <w:tc>
          <w:tcPr>
            <w:tcW w:type="dxa" w:w="4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Validity intervals written, coverage measurable</w:t>
            </w:r>
          </w:p>
        </w:tc>
        <w:tc>
          <w:tcPr>
            <w:tcW w:type="dxa" w:w="1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End of Month 3</w:t>
            </w:r>
          </w:p>
        </w:tc>
        <w:tc>
          <w:tcPr>
            <w:tcW w:type="dxa" w:w="2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Coverage by tier, expenditure statement (first tranche report)</w:t>
            </w:r>
          </w:p>
        </w:tc>
      </w:tr>
      <w:tr>
        <w:trPr>
          <w:cantSplit/>
          <w:tblHeader w:val="false"/>
        </w:trPr>
        <w:tc>
          <w:tcPr>
            <w:tcW w:type="dxa" w:w="8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M3</w:t>
            </w:r>
          </w:p>
        </w:tc>
        <w:tc>
          <w:tcPr>
            <w:tcW w:type="dxa" w:w="4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End-to-end cited answers with verification and abstention</w:t>
            </w:r>
          </w:p>
        </w:tc>
        <w:tc>
          <w:tcPr>
            <w:tcW w:type="dxa" w:w="1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End of Month 4</w:t>
            </w:r>
          </w:p>
        </w:tc>
        <w:tc>
          <w:tcPr>
            <w:tcW w:type="dxa" w:w="2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Demonstration build, verification logs</w:t>
            </w:r>
          </w:p>
        </w:tc>
      </w:tr>
      <w:tr>
        <w:trPr>
          <w:cantSplit/>
          <w:tblHeader w:val="false"/>
        </w:trPr>
        <w:tc>
          <w:tcPr>
            <w:tcW w:type="dxa" w:w="8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M4</w:t>
            </w:r>
          </w:p>
        </w:tc>
        <w:tc>
          <w:tcPr>
            <w:tcW w:type="dxa" w:w="4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Evaluation, lineage audit and advocate review complete</w:t>
            </w:r>
          </w:p>
        </w:tc>
        <w:tc>
          <w:tcPr>
            <w:tcW w:type="dxa" w:w="1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End of Month 5</w:t>
            </w:r>
          </w:p>
        </w:tc>
        <w:tc>
          <w:tcPr>
            <w:tcW w:type="dxa" w:w="2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Metrics, baseline comparison, advocate sign-off</w:t>
            </w:r>
          </w:p>
        </w:tc>
      </w:tr>
      <w:tr>
        <w:trPr>
          <w:cantSplit/>
          <w:tblHeader w:val="false"/>
        </w:trPr>
        <w:tc>
          <w:tcPr>
            <w:tcW w:type="dxa" w:w="8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M5</w:t>
            </w:r>
          </w:p>
        </w:tc>
        <w:tc>
          <w:tcPr>
            <w:tcW w:type="dxa" w:w="4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Public release and handover to the ICT Division</w:t>
            </w:r>
          </w:p>
        </w:tc>
        <w:tc>
          <w:tcPr>
            <w:tcW w:type="dxa" w:w="1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End of Month 6</w:t>
            </w:r>
          </w:p>
        </w:tc>
        <w:tc>
          <w:tcPr>
            <w:tcW w:type="dxa" w:w="2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Handover package, public URLs, final expenditure statement</w:t>
            </w:r>
          </w:p>
        </w:tc>
      </w:tr>
    </w:tbl>
    <w:p>
      <w:pPr>
        <w:spacing w:after="50"/>
      </w:pPr>
    </w:p>
    <w:p>
      <w:pPr>
        <w:spacing w:after="86" w:line="256"/>
        <w:jc w:val="both"/>
      </w:pPr>
      <w:r>
        <w:rPr>
          <w:rFonts w:ascii="Times New Roman" w:cs="Times New Roman" w:eastAsia="Times New Roman" w:hAnsi="Times New Roman"/>
          <w:sz w:val="21"/>
          <w:szCs w:val="21"/>
        </w:rPr>
        <w:t xml:space="preserve">M1 and M2 both fall within the first three months and constitute the verifiable output of the first tranche. All expenditure is supported by receipts and reconciled against the head-wise budget. Deviations between heads exceeding ten percent are reported in advance. The applicants accept the assignment of a mentor under the programme and will participate in evaluation as required.</w:t>
      </w:r>
    </w:p>
    <w:p>
      <w:pPr>
        <w:pStyle w:val="Heading2"/>
        <w:spacing w:after="74" w:before="142"/>
      </w:pPr>
      <w:r>
        <w:rPr>
          <w:rFonts w:ascii="Times New Roman" w:cs="Times New Roman" w:eastAsia="Times New Roman" w:hAnsi="Times New Roman"/>
          <w:b/>
          <w:bCs/>
          <w:color w:val="2E4E7E"/>
          <w:sz w:val="22"/>
          <w:szCs w:val="22"/>
        </w:rPr>
        <w:t xml:space="preserve">5.8 Risk assessment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rPr>
          <w:cantSplit/>
          <w:tblHeader/>
        </w:trPr>
        <w:tc>
          <w:tcPr>
            <w:tcW w:type="dxa" w:w="27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Risk</w:t>
            </w:r>
          </w:p>
        </w:tc>
        <w:tc>
          <w:tcPr>
            <w:tcW w:type="dxa" w:w="13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Severity</w:t>
            </w:r>
          </w:p>
        </w:tc>
        <w:tc>
          <w:tcPr>
            <w:tcW w:type="dxa" w:w="50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Mitigation</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 user relies on an incorrect answer and suffers legal detriment</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High</w:t>
            </w:r>
          </w:p>
        </w:tc>
        <w:tc>
          <w:tcPr>
            <w:tcW w:type="dxa" w:w="5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No legal advice is given and this is stated prominently. Outputs are advocate-verified before release. The system abstains below threshold. Every answer links to the official source. An audit log records every answer served</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Commencement dates unrecoverable for a substantial share of amendments</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High</w:t>
            </w:r>
          </w:p>
        </w:tc>
        <w:tc>
          <w:tcPr>
            <w:tcW w:type="dxa" w:w="5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Confidence tiering: provisions whose dates cannot be established are marked as date unknown and fall back to current text with a visible warning. Coverage is reported as a measured result. The project succeeds with partial coverage honestly declared</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printed Bangladesh Code, not the portal, is the legally authoritative text</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Medium</w:t>
            </w:r>
          </w:p>
        </w:tc>
        <w:tc>
          <w:tcPr>
            <w:tcW w:type="dxa" w:w="5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system is positioned throughout as a research aid rather than legal authority. Every citation links back to the official portal. This limitation appears in the interface, not only in documentation</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Practitioners do not adopt or change established workflow</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Medium</w:t>
            </w:r>
          </w:p>
        </w:tc>
        <w:tc>
          <w:tcPr>
            <w:tcW w:type="dxa" w:w="5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advocate panel becomes the first expert user group. Distribution runs through legal aid offices and law faculties rather than commercial outreach. The free public layer creates usage independent of professional adoption</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Source portal changes structure or blocks automated access</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Medium</w:t>
            </w:r>
          </w:p>
        </w:tc>
        <w:tc>
          <w:tcPr>
            <w:tcW w:type="dxa" w:w="5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project builds primarily on an already-downloaded open dataset. All pages needed for gap-filling are cached in Phase 1, and the parser is decoupled from the fetcher</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Retrieval quality degrades at full-Code scale</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Medium</w:t>
            </w:r>
          </w:p>
        </w:tc>
        <w:tc>
          <w:tcPr>
            <w:tcW w:type="dxa" w:w="5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hybrid design means lexical search continues to carry exact-term and section-number queries where dense retrieval underperforms on legal Bangla. Both retrievers are evaluated separately so degradation is attributable</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Cost overrun with no contingency head in the budget</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Low</w:t>
            </w:r>
          </w:p>
        </w:tc>
        <w:tc>
          <w:tcPr>
            <w:tcW w:type="dxa" w:w="5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Compute and API heads are already conservative, the embedding job is chunked and resumable, and a smaller embedding model is available as fallback. Any residual overrun is absorbed by the applicants rather than claimed</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Team continuity, as both applicants complete their degree during the period</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Medium</w:t>
            </w:r>
          </w:p>
        </w:tc>
        <w:tc>
          <w:tcPr>
            <w:tcW w:type="dxa" w:w="50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All deliverables are handed over and openly licensed, so the corpus and benchmark survive independently of the team. Documentation and deployment instructions form part of the handover</w:t>
            </w:r>
          </w:p>
        </w:tc>
      </w:tr>
    </w:tbl>
    <w:p>
      <w:pPr>
        <w:pStyle w:val="Heading2"/>
        <w:spacing w:after="74" w:before="142"/>
      </w:pPr>
      <w:r>
        <w:rPr>
          <w:rFonts w:ascii="Times New Roman" w:cs="Times New Roman" w:eastAsia="Times New Roman" w:hAnsi="Times New Roman"/>
          <w:b/>
          <w:bCs/>
          <w:color w:val="2E4E7E"/>
          <w:sz w:val="22"/>
          <w:szCs w:val="22"/>
        </w:rPr>
        <w:t xml:space="preserve">5.9 Applicant capability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Applicant</w:t>
            </w:r>
          </w:p>
        </w:tc>
        <w:tc>
          <w:tcPr>
            <w:tcW w:type="dxa" w:w="67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Background and responsibility</w:t>
            </w:r>
          </w:p>
        </w:tc>
      </w:tr>
      <w:tr>
        <w:trPr>
          <w:cantSplit/>
          <w:tblHeader w:val="false"/>
        </w:trPr>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Sazidur Rahman Mahin (Roll 1414)</w:t>
            </w:r>
          </w:p>
        </w:tc>
        <w:tc>
          <w:tcPr>
            <w:tcW w:type="dxa" w:w="6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Final-year Software Engineering student, Institute of Information Technology, University of Dhaka. Software engineering experience at Brain Station 23. Responsible for corpus pipeline, amendment lineage extraction and evaluation</w:t>
            </w:r>
          </w:p>
        </w:tc>
      </w:tr>
      <w:tr>
        <w:trPr>
          <w:cantSplit/>
          <w:tblHeader w:val="false"/>
        </w:trPr>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Shah Alam Abir (Roll 1439)</w:t>
            </w:r>
          </w:p>
        </w:tc>
        <w:tc>
          <w:tcPr>
            <w:tcW w:type="dxa" w:w="6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Final-year Software Engineering student, Institute of Information Technology, University of Dhaka. Software engineering experience at Cefalo Bangladesh Ltd. Published research including a vision-language navigation benchmark. Responsible for retrieval architecture, grounded generation and system integration</w:t>
            </w:r>
          </w:p>
        </w:tc>
      </w:tr>
    </w:tbl>
    <w:p>
      <w:pPr>
        <w:spacing w:after="60"/>
      </w:pPr>
    </w:p>
    <w:p>
      <w:pPr>
        <w:pStyle w:val="ListParagraph"/>
        <w:numPr>
          <w:ilvl w:val="0"/>
          <w:numId w:val="2"/>
        </w:numPr>
        <w:spacing w:after="56" w:line="252"/>
      </w:pPr>
      <w:r>
        <w:rPr>
          <w:rFonts w:ascii="Times New Roman" w:cs="Times New Roman" w:eastAsia="Times New Roman" w:hAnsi="Times New Roman"/>
          <w:sz w:val="21"/>
          <w:szCs w:val="21"/>
        </w:rPr>
        <w:t xml:space="preserve">Two national AI hackathon wins between the applicants.</w:t>
      </w:r>
    </w:p>
    <w:p>
      <w:pPr>
        <w:pStyle w:val="ListParagraph"/>
        <w:numPr>
          <w:ilvl w:val="0"/>
          <w:numId w:val="2"/>
        </w:numPr>
        <w:spacing w:after="56" w:line="252"/>
      </w:pPr>
      <w:r>
        <w:rPr>
          <w:rFonts w:ascii="Times New Roman" w:cs="Times New Roman" w:eastAsia="Times New Roman" w:hAnsi="Times New Roman"/>
          <w:sz w:val="21"/>
          <w:szCs w:val="21"/>
        </w:rPr>
        <w:t xml:space="preserve">Prior construction and deployment of retrieval-augmented systems of the same architectural class as the one proposed, including hybrid retrieve-then-rerank pipelines in production.</w:t>
      </w:r>
    </w:p>
    <w:p>
      <w:pPr>
        <w:pStyle w:val="ListParagraph"/>
        <w:numPr>
          <w:ilvl w:val="0"/>
          <w:numId w:val="2"/>
        </w:numPr>
        <w:spacing w:after="56" w:line="252"/>
      </w:pPr>
      <w:r>
        <w:rPr>
          <w:rFonts w:ascii="Times New Roman" w:cs="Times New Roman" w:eastAsia="Times New Roman" w:hAnsi="Times New Roman"/>
          <w:sz w:val="21"/>
          <w:szCs w:val="21"/>
        </w:rPr>
        <w:t xml:space="preserve">Affiliation with active research groups, with published work evaluated against benchmarks.</w:t>
      </w:r>
    </w:p>
    <w:p>
      <w:pPr>
        <w:pStyle w:val="ListParagraph"/>
        <w:numPr>
          <w:ilvl w:val="0"/>
          <w:numId w:val="2"/>
        </w:numPr>
        <w:spacing w:after="56" w:line="252"/>
      </w:pPr>
      <w:r>
        <w:rPr>
          <w:rFonts w:ascii="Times New Roman" w:cs="Times New Roman" w:eastAsia="Times New Roman" w:hAnsi="Times New Roman"/>
          <w:sz w:val="21"/>
          <w:szCs w:val="21"/>
        </w:rPr>
        <w:t xml:space="preserve">A working interactive prototype of the research interface and provision browser has already been built and is available for demonstration.</w:t>
      </w:r>
    </w:p>
    <w:p>
      <w:pPr>
        <w:pStyle w:val="ListParagraph"/>
        <w:numPr>
          <w:ilvl w:val="0"/>
          <w:numId w:val="2"/>
        </w:numPr>
        <w:spacing w:after="56" w:line="252"/>
      </w:pPr>
      <w:r>
        <w:rPr>
          <w:rFonts w:ascii="Times New Roman" w:cs="Times New Roman" w:eastAsia="Times New Roman" w:hAnsi="Times New Roman"/>
          <w:sz w:val="21"/>
          <w:szCs w:val="21"/>
        </w:rPr>
        <w:t xml:space="preserve">Academic supervision and institutional support from the Institute of Information Technology, University of Dhaka.</w:t>
      </w:r>
    </w:p>
    <w:p>
      <w:pPr>
        <w:pStyle w:val="Heading1"/>
        <w:spacing w:after="96" w:before="200"/>
      </w:pPr>
      <w:r>
        <w:rPr>
          <w:rFonts w:ascii="Times New Roman" w:cs="Times New Roman" w:eastAsia="Times New Roman" w:hAnsi="Times New Roman"/>
          <w:b/>
          <w:bCs/>
          <w:color w:val="1F3864"/>
          <w:sz w:val="26"/>
          <w:szCs w:val="26"/>
        </w:rPr>
        <w:t xml:space="preserve">6. Budget and Resource Plan</w:t>
      </w:r>
    </w:p>
    <w:p>
      <w:pPr>
        <w:spacing w:after="86" w:line="256"/>
        <w:jc w:val="both"/>
      </w:pPr>
      <w:r>
        <w:rPr>
          <w:rFonts w:ascii="Times New Roman" w:cs="Times New Roman" w:eastAsia="Times New Roman" w:hAnsi="Times New Roman"/>
          <w:sz w:val="21"/>
          <w:szCs w:val="21"/>
        </w:rPr>
        <w:t xml:space="preserve">The total requested is BDT 4,85,000 (four lakh eighty-five thousand taka only), disbursed over six months within the Small tier of the Innovation Fund.</w:t>
      </w:r>
    </w:p>
    <w:p>
      <w:pPr>
        <w:spacing w:after="86" w:line="256"/>
        <w:jc w:val="both"/>
      </w:pPr>
      <w:r>
        <w:rPr>
          <w:rFonts w:ascii="Times New Roman" w:cs="Times New Roman" w:eastAsia="Times New Roman" w:hAnsi="Times New Roman"/>
          <w:sz w:val="21"/>
          <w:szCs w:val="21"/>
        </w:rPr>
        <w:t xml:space="preserve">This budget is almost entirely engineering time, and that is deliberate. The deliverable of this project is a dataset, and a dataset is built by people rather than by hardware. No money is spent re-digitising statutory text that is already freely available. The money is spent completing that text against the official portal, restructuring it to provision level, resolving commencement dates onto every amended provision, building the retrieval layer above it, and verifying the result with practising advocates.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300"/>
        <w:gridCol w:w="1126"/>
      </w:tblGrid>
      <w:tr>
        <w:trPr>
          <w:cantSplit/>
          <w:tblHeader/>
        </w:trPr>
        <w:tc>
          <w:tcPr>
            <w:tcW w:type="dxa" w:w="32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Head of expenditure</w:t>
            </w:r>
          </w:p>
        </w:tc>
        <w:tc>
          <w:tcPr>
            <w:tcW w:type="dxa" w:w="34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Basis of estimate</w:t>
            </w:r>
          </w:p>
        </w:tc>
        <w:tc>
          <w:tcPr>
            <w:tcW w:type="dxa" w:w="13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Amount (BDT)</w:t>
            </w:r>
          </w:p>
        </w:tc>
        <w:tc>
          <w:tcPr>
            <w:tcW w:type="dxa" w:w="11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w:t>
            </w:r>
          </w:p>
        </w:tc>
      </w:tr>
      <w:tr>
        <w:trPr>
          <w:cantSplit/>
          <w:tblHeader w:val="false"/>
        </w:trPr>
        <w:tc>
          <w:tcPr>
            <w:tcW w:type="dxa" w:w="3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Development stipend</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2 engineers, 64 hours per month each, 6 months, at BDT 500 per hour (768 hours in total)</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3,84,000</w:t>
            </w:r>
          </w:p>
        </w:tc>
        <w:tc>
          <w:tcPr>
            <w:tcW w:type="dxa" w:w="11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79.2</w:t>
            </w:r>
          </w:p>
        </w:tc>
      </w:tr>
      <w:tr>
        <w:trPr>
          <w:cantSplit/>
          <w:tblHeader w:val="false"/>
        </w:trPr>
        <w:tc>
          <w:tcPr>
            <w:tcW w:type="dxa" w:w="3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Advocate verification panel</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2 practising advocates, 20 hours each, at BDT 1,200 per hour (40 hours in total)</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48,000</w:t>
            </w:r>
          </w:p>
        </w:tc>
        <w:tc>
          <w:tcPr>
            <w:tcW w:type="dxa" w:w="11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9.9</w:t>
            </w:r>
          </w:p>
        </w:tc>
      </w:tr>
      <w:tr>
        <w:trPr>
          <w:cantSplit/>
          <w:tblHeader w:val="false"/>
        </w:trPr>
        <w:tc>
          <w:tcPr>
            <w:tcW w:type="dxa" w:w="3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Field testing with legal aid offices</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2 districts: travel, facilitated sessions, materials</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18,000</w:t>
            </w:r>
          </w:p>
        </w:tc>
        <w:tc>
          <w:tcPr>
            <w:tcW w:type="dxa" w:w="11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3.7</w:t>
            </w:r>
          </w:p>
        </w:tc>
      </w:tr>
      <w:tr>
        <w:trPr>
          <w:cantSplit/>
          <w:tblHeader w:val="false"/>
        </w:trPr>
        <w:tc>
          <w:tcPr>
            <w:tcW w:type="dxa" w:w="3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LLM API credits</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Generation during development, repeated evaluation runs, and pilot operation</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15,000</w:t>
            </w:r>
          </w:p>
        </w:tc>
        <w:tc>
          <w:tcPr>
            <w:tcW w:type="dxa" w:w="11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3.1</w:t>
            </w:r>
          </w:p>
        </w:tc>
      </w:tr>
      <w:tr>
        <w:trPr>
          <w:cantSplit/>
          <w:tblHeader w:val="false"/>
        </w:trPr>
        <w:tc>
          <w:tcPr>
            <w:tcW w:type="dxa" w:w="3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Cloud hosting, vector database, public API</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Single instance, about eight months</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10,000</w:t>
            </w:r>
          </w:p>
        </w:tc>
        <w:tc>
          <w:tcPr>
            <w:tcW w:type="dxa" w:w="11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2.1</w:t>
            </w:r>
          </w:p>
        </w:tc>
      </w:tr>
      <w:tr>
        <w:trPr>
          <w:cantSplit/>
          <w:tblHeader w:val="false"/>
        </w:trPr>
        <w:tc>
          <w:tcPr>
            <w:tcW w:type="dxa" w:w="3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GPU compute</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Corpus embedding, reranking, self-hosted open-weight fallback</w:t>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10,000</w:t>
            </w:r>
          </w:p>
        </w:tc>
        <w:tc>
          <w:tcPr>
            <w:tcW w:type="dxa" w:w="11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2.1</w:t>
            </w:r>
          </w:p>
        </w:tc>
      </w:tr>
      <w:tr>
        <w:trPr>
          <w:cantSplit/>
          <w:tblHeader w:val="false"/>
        </w:trPr>
        <w:tc>
          <w:tcPr>
            <w:tcW w:type="dxa" w:w="3200"/>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Total</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r>
          </w:p>
        </w:tc>
        <w:tc>
          <w:tcPr>
            <w:tcW w:type="dxa" w:w="1300"/>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4,85,000</w:t>
            </w:r>
          </w:p>
        </w:tc>
        <w:tc>
          <w:tcPr>
            <w:tcW w:type="dxa" w:w="1126"/>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100.0</w:t>
            </w:r>
          </w:p>
        </w:tc>
      </w:tr>
    </w:tbl>
    <w:p>
      <w:pPr>
        <w:spacing w:after="70"/>
      </w:pPr>
    </w:p>
    <w:p>
      <w:pPr>
        <w:pStyle w:val="Heading2"/>
        <w:spacing w:after="74" w:before="142"/>
      </w:pPr>
      <w:r>
        <w:rPr>
          <w:rFonts w:ascii="Times New Roman" w:cs="Times New Roman" w:eastAsia="Times New Roman" w:hAnsi="Times New Roman"/>
          <w:b/>
          <w:bCs/>
          <w:color w:val="2E4E7E"/>
          <w:sz w:val="22"/>
          <w:szCs w:val="22"/>
        </w:rPr>
        <w:t xml:space="preserve">6.1 Justification of principal heads</w:t>
      </w:r>
    </w:p>
    <w:p>
      <w:pPr>
        <w:spacing w:after="86" w:line="256"/>
        <w:jc w:val="both"/>
      </w:pPr>
      <w:r>
        <w:rPr>
          <w:rFonts w:ascii="Times New Roman" w:cs="Times New Roman" w:eastAsia="Times New Roman" w:hAnsi="Times New Roman"/>
          <w:sz w:val="21"/>
          <w:szCs w:val="21"/>
        </w:rPr>
        <w:t xml:space="preserve">Development stipend, BDT 3,84,000. Two engineers at 64 hours per month each over six months, at BDT 500 per hour. The grant therefore buys 768 measured engineering hours at a rate below commercial cost for engineers of comparable experience in Dhaka. Sixty-four hours a month is about fifteen hours a week, which is sustainable alongside the applicants’ existing employment and is what they can honestly commit.</w:t>
      </w:r>
    </w:p>
    <w:p>
      <w:pPr>
        <w:spacing w:after="86" w:line="256"/>
        <w:jc w:val="both"/>
      </w:pPr>
      <w:r>
        <w:rPr>
          <w:rFonts w:ascii="Times New Roman" w:cs="Times New Roman" w:eastAsia="Times New Roman" w:hAnsi="Times New Roman"/>
          <w:sz w:val="21"/>
          <w:szCs w:val="21"/>
        </w:rPr>
        <w:t xml:space="preserve">Personnel accounts for 79 percent of the request, and that share is the project rather than an overhead on it. The corpus is only partially built. An openly licensed dataset supplies raw statutory text, but it is incomplete against the official portal, it is not structured to provision level against the schema a temporal system requires, and it carries no dates. Closing those gaps is the work: ingestion and gap analysis, the provision parser, the amendment-footnote parser, Gazette commencement-date resolution, confidence tiering, and the retrieval and verification layers built above them. Those are engineering hours, and they produce the asset that is handed back to the Division.</w:t>
      </w:r>
    </w:p>
    <w:p>
      <w:pPr>
        <w:spacing w:after="86" w:line="256"/>
        <w:jc w:val="both"/>
      </w:pPr>
      <w:r>
        <w:rPr>
          <w:rFonts w:ascii="Times New Roman" w:cs="Times New Roman" w:eastAsia="Times New Roman" w:hAnsi="Times New Roman"/>
          <w:sz w:val="21"/>
          <w:szCs w:val="21"/>
        </w:rPr>
        <w:t xml:space="preserve">Advocate verification panel, BDT 48,000. Two practising advocates at 20 hours each, at prevailing consultation rates. Forty hours of professional time supports review of a stratified sample of system outputs across legal domains, together with sign-off on the evaluation benchmark. It does not support exhaustive review of the full corpus, and this proposal does not claim that it does. Legal software that no qualified lawyer has examined should not be released to the public, and a benchmark not reviewed by practitioners carries limited weight. The panel also constitutes the project’s first expert user group.</w:t>
      </w:r>
    </w:p>
    <w:p>
      <w:pPr>
        <w:spacing w:after="86" w:line="256"/>
        <w:jc w:val="both"/>
      </w:pPr>
      <w:r>
        <w:rPr>
          <w:rFonts w:ascii="Times New Roman" w:cs="Times New Roman" w:eastAsia="Times New Roman" w:hAnsi="Times New Roman"/>
          <w:sz w:val="21"/>
          <w:szCs w:val="21"/>
        </w:rPr>
        <w:t xml:space="preserve">LLM API credits, BDT 15,000. A cited answer grounded in about five retrieved provisions costs on the order of BDT 3 at current commercial rates. The allocation covers development iteration, repeated evaluation runs across the 150-question set, advocate review cycles and operation during the field pilot. Retrieved provision text is cached between queries, so repeated questions touching the same sections cost a fraction of the first call.</w:t>
      </w:r>
    </w:p>
    <w:p>
      <w:pPr>
        <w:spacing w:after="86" w:line="256"/>
        <w:jc w:val="both"/>
      </w:pPr>
      <w:r>
        <w:rPr>
          <w:rFonts w:ascii="Times New Roman" w:cs="Times New Roman" w:eastAsia="Times New Roman" w:hAnsi="Times New Roman"/>
          <w:sz w:val="21"/>
          <w:szCs w:val="21"/>
        </w:rPr>
        <w:t xml:space="preserve">GPU compute, BDT 10,000. Three uses: one-off embedding of about 35,000 sections, reranking during development and evaluation, and standing up the self-hosted open-weight inference path. The third is the substantive justification, since a project intended to keep national legal infrastructure in Bangladeshi hands cannot route its free public layer through a foreign commercial API with no alternative.</w:t>
      </w:r>
    </w:p>
    <w:p>
      <w:pPr>
        <w:spacing w:after="86" w:line="256"/>
        <w:jc w:val="both"/>
      </w:pPr>
      <w:r>
        <w:rPr>
          <w:rFonts w:ascii="Times New Roman" w:cs="Times New Roman" w:eastAsia="Times New Roman" w:hAnsi="Times New Roman"/>
          <w:sz w:val="21"/>
          <w:szCs w:val="21"/>
        </w:rPr>
        <w:t xml:space="preserve">Hosting, BDT 10,000. The complete vector index is of the order of 110 MB, so the system runs on a single modest instance rather than on managed infrastructure. The allocation covers the six-month project period and approximately two months beyond launch, after which continuation depends on the handover arrangement with the Division or on an institutional agreement.</w:t>
      </w:r>
    </w:p>
    <w:p>
      <w:pPr>
        <w:pStyle w:val="Heading2"/>
        <w:spacing w:after="74" w:before="142"/>
      </w:pPr>
      <w:r>
        <w:rPr>
          <w:rFonts w:ascii="Times New Roman" w:cs="Times New Roman" w:eastAsia="Times New Roman" w:hAnsi="Times New Roman"/>
          <w:b/>
          <w:bCs/>
          <w:color w:val="2E4E7E"/>
          <w:sz w:val="22"/>
          <w:szCs w:val="22"/>
        </w:rPr>
        <w:t xml:space="preserve">6.2 Resources contributed without charge</w:t>
      </w:r>
    </w:p>
    <w:p>
      <w:pPr>
        <w:spacing w:after="86" w:line="256"/>
        <w:jc w:val="both"/>
      </w:pPr>
      <w:r>
        <w:rPr>
          <w:rFonts w:ascii="Times New Roman" w:cs="Times New Roman" w:eastAsia="Times New Roman" w:hAnsi="Times New Roman"/>
          <w:sz w:val="21"/>
          <w:szCs w:val="21"/>
        </w:rPr>
        <w:t xml:space="preserve">Development machines, engineering hours beyond the 768 funded, the raw statutory text under open licence, and academic supervision and institutional affiliation from the Institute of Information Technology, University of Dhaka. There is no contingency head; any overrun is absorbed by the applicants.</w:t>
      </w:r>
    </w:p>
    <w:p>
      <w:pPr>
        <w:pStyle w:val="Heading1"/>
        <w:spacing w:after="96" w:before="200"/>
      </w:pPr>
      <w:r>
        <w:rPr>
          <w:rFonts w:ascii="Times New Roman" w:cs="Times New Roman" w:eastAsia="Times New Roman" w:hAnsi="Times New Roman"/>
          <w:b/>
          <w:bCs/>
          <w:color w:val="1F3864"/>
          <w:sz w:val="26"/>
          <w:szCs w:val="26"/>
        </w:rPr>
        <w:t xml:space="preserve">7. Impact on Society</w:t>
      </w:r>
    </w:p>
    <w:p>
      <w:pPr>
        <w:pStyle w:val="Heading2"/>
        <w:spacing w:after="74" w:before="142"/>
      </w:pPr>
      <w:r>
        <w:rPr>
          <w:rFonts w:ascii="Times New Roman" w:cs="Times New Roman" w:eastAsia="Times New Roman" w:hAnsi="Times New Roman"/>
          <w:b/>
          <w:bCs/>
          <w:color w:val="2E4E7E"/>
          <w:sz w:val="22"/>
          <w:szCs w:val="22"/>
        </w:rPr>
        <w:t xml:space="preserve">7.1 Social, economic and institutional impact</w:t>
      </w:r>
    </w:p>
    <w:p>
      <w:pPr>
        <w:pStyle w:val="ListParagraph"/>
        <w:numPr>
          <w:ilvl w:val="0"/>
          <w:numId w:val="2"/>
        </w:numPr>
        <w:spacing w:after="56" w:line="252"/>
      </w:pPr>
      <w:r>
        <w:rPr>
          <w:rFonts w:ascii="Times New Roman" w:cs="Times New Roman" w:eastAsia="Times New Roman" w:hAnsi="Times New Roman"/>
          <w:sz w:val="21"/>
          <w:szCs w:val="21"/>
        </w:rPr>
        <w:t xml:space="preserve">Social. Litigants and practitioners outside Dhaka gain correctly dated statutory information without a paid subscription. Legal aid organisations can triage more intake with the same staff. Law students and junior advocates gain a tool that teaches correct citation practice, since every answer is anchored to a provision and a date.</w:t>
      </w:r>
    </w:p>
    <w:p>
      <w:pPr>
        <w:pStyle w:val="ListParagraph"/>
        <w:numPr>
          <w:ilvl w:val="0"/>
          <w:numId w:val="2"/>
        </w:numPr>
        <w:spacing w:after="56" w:line="252"/>
      </w:pPr>
      <w:r>
        <w:rPr>
          <w:rFonts w:ascii="Times New Roman" w:cs="Times New Roman" w:eastAsia="Times New Roman" w:hAnsi="Times New Roman"/>
          <w:sz w:val="21"/>
          <w:szCs w:val="21"/>
        </w:rPr>
        <w:t xml:space="preserve">Economic. Lower research cost per matter makes small claims economically viable to pursue. Fewer submissions built on superseded provisions means fewer wasted hearings and adjournments.</w:t>
      </w:r>
    </w:p>
    <w:p>
      <w:pPr>
        <w:pStyle w:val="ListParagraph"/>
        <w:numPr>
          <w:ilvl w:val="0"/>
          <w:numId w:val="2"/>
        </w:numPr>
        <w:spacing w:after="56" w:line="252"/>
      </w:pPr>
      <w:r>
        <w:rPr>
          <w:rFonts w:ascii="Times New Roman" w:cs="Times New Roman" w:eastAsia="Times New Roman" w:hAnsi="Times New Roman"/>
          <w:sz w:val="21"/>
          <w:szCs w:val="21"/>
        </w:rPr>
        <w:t xml:space="preserve">Institutional. The version-tracked corpus is a reusable public asset. Released openly, it lowers the entry cost for every future Bangladeshi legal-technology effort, much as open map data lowers the cost of building navigation software.</w:t>
      </w:r>
    </w:p>
    <w:p>
      <w:pPr>
        <w:pStyle w:val="Heading2"/>
        <w:spacing w:after="74" w:before="142"/>
      </w:pPr>
      <w:r>
        <w:rPr>
          <w:rFonts w:ascii="Times New Roman" w:cs="Times New Roman" w:eastAsia="Times New Roman" w:hAnsi="Times New Roman"/>
          <w:b/>
          <w:bCs/>
          <w:color w:val="2E4E7E"/>
          <w:sz w:val="22"/>
          <w:szCs w:val="22"/>
        </w:rPr>
        <w:t xml:space="preserve">7.2 Alignment with ICT Division priority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Priority area</w:t>
            </w:r>
          </w:p>
        </w:tc>
        <w:tc>
          <w:tcPr>
            <w:tcW w:type="dxa" w:w="66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Contribution</w:t>
            </w:r>
          </w:p>
        </w:tc>
      </w:tr>
      <w:tr>
        <w:trPr>
          <w:cantSplit/>
          <w:tblHeader w:val="false"/>
        </w:trPr>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Public service innovation</w:t>
            </w:r>
          </w:p>
        </w:tc>
        <w:tc>
          <w:tcPr>
            <w:tcW w:type="dxa" w:w="66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Free Bangla public access to correctly dated statutory information, a documented public API usable by legal aid bodies, and the corpus and API handed to the Division as reusable national infrastructure</w:t>
            </w:r>
          </w:p>
        </w:tc>
      </w:tr>
      <w:tr>
        <w:trPr>
          <w:cantSplit/>
          <w:tblHeader w:val="false"/>
        </w:trPr>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Socio-economic development</w:t>
            </w:r>
          </w:p>
        </w:tc>
        <w:tc>
          <w:tcPr>
            <w:tcW w:type="dxa" w:w="66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Reduces the cost of authoritative legal research, which currently tracks income and geography, and serves district practitioners and self-represented litigants who have no subscription alternative</w:t>
            </w:r>
          </w:p>
        </w:tc>
      </w:tr>
      <w:tr>
        <w:trPr>
          <w:cantSplit/>
          <w:tblHeader w:val="false"/>
        </w:trPr>
        <w:tc>
          <w:tcPr>
            <w:tcW w:type="dxa" w:w="2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ICT industry growth</w:t>
            </w:r>
          </w:p>
        </w:tc>
        <w:tc>
          <w:tcPr>
            <w:tcW w:type="dxa" w:w="66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Establishes Bangla legal NLP capability and an open benchmark in a domain with no existing national resources, lowering the entry cost for every subsequent Bangladeshi legal-technology effort</w:t>
            </w:r>
          </w:p>
        </w:tc>
      </w:tr>
    </w:tbl>
    <w:p>
      <w:pPr>
        <w:pStyle w:val="Heading2"/>
        <w:spacing w:after="74" w:before="142"/>
      </w:pPr>
      <w:r>
        <w:rPr>
          <w:rFonts w:ascii="Times New Roman" w:cs="Times New Roman" w:eastAsia="Times New Roman" w:hAnsi="Times New Roman"/>
          <w:b/>
          <w:bCs/>
          <w:color w:val="2E4E7E"/>
          <w:sz w:val="22"/>
          <w:szCs w:val="22"/>
        </w:rPr>
        <w:t xml:space="preserve">7.3 Alignment with national legal-sector policy</w:t>
      </w:r>
    </w:p>
    <w:p>
      <w:pPr>
        <w:spacing w:after="86" w:line="256"/>
        <w:jc w:val="both"/>
      </w:pPr>
      <w:r>
        <w:rPr>
          <w:rFonts w:ascii="Times New Roman" w:cs="Times New Roman" w:eastAsia="Times New Roman" w:hAnsi="Times New Roman"/>
          <w:sz w:val="21"/>
          <w:szCs w:val="21"/>
        </w:rPr>
        <w:t xml:space="preserve">The Government has committed to expanding mandatory pre-litigation mediation. Under the amended legal aid framework, mediation is now mandatory in most scheduled-law cases, with certified settlements carrying the status of court decrees. The programme currently operates in twenty districts, where it has reduced regular case filings by 62.83 percent, and nationwide expansion is planned [3].</w:t>
      </w:r>
    </w:p>
    <w:p>
      <w:pPr>
        <w:spacing w:after="86" w:line="256"/>
        <w:jc w:val="both"/>
      </w:pPr>
      <w:r>
        <w:rPr>
          <w:rFonts w:ascii="Times New Roman" w:cs="Times New Roman" w:eastAsia="Times New Roman" w:hAnsi="Times New Roman"/>
          <w:sz w:val="21"/>
          <w:szCs w:val="21"/>
        </w:rPr>
        <w:t xml:space="preserve">Every mediation requires both parties to understand what the law provides. Where that understanding is absent, settlements are unbalanced or do not occur. Dhara’s free public layer addresses that requirement directly. The project therefore supports a policy direction the Government has already adopted rather than proposing a new one.</w:t>
      </w:r>
    </w:p>
    <w:p>
      <w:pPr>
        <w:pStyle w:val="Heading2"/>
        <w:spacing w:after="74" w:before="142"/>
      </w:pPr>
      <w:r>
        <w:rPr>
          <w:rFonts w:ascii="Times New Roman" w:cs="Times New Roman" w:eastAsia="Times New Roman" w:hAnsi="Times New Roman"/>
          <w:b/>
          <w:bCs/>
          <w:color w:val="2E4E7E"/>
          <w:sz w:val="22"/>
          <w:szCs w:val="22"/>
        </w:rPr>
        <w:t xml:space="preserve">7.4 Data sovereignty</w:t>
      </w:r>
    </w:p>
    <w:p>
      <w:pPr>
        <w:spacing w:after="86" w:line="256"/>
        <w:jc w:val="both"/>
      </w:pPr>
      <w:r>
        <w:rPr>
          <w:rFonts w:ascii="Times New Roman" w:cs="Times New Roman" w:eastAsia="Times New Roman" w:hAnsi="Times New Roman"/>
          <w:sz w:val="21"/>
          <w:szCs w:val="21"/>
        </w:rPr>
        <w:t xml:space="preserve">At present the most usable digital index of Bangladeshi statutory and case law is maintained by a commercial entity outside Bangladesh, sold in foreign currency, within a product designed for another jurisdiction and operating only in English. A nation’s legal corpus is public infrastructure of the same character as its mapping or identity data. This project establishes a Bangladeshi-owned, openly licensed alternative and places it in the custody of the ICT Division.</w:t>
      </w:r>
    </w:p>
    <w:p>
      <w:pPr>
        <w:pStyle w:val="Heading2"/>
        <w:spacing w:after="74" w:before="142"/>
      </w:pPr>
      <w:r>
        <w:rPr>
          <w:rFonts w:ascii="Times New Roman" w:cs="Times New Roman" w:eastAsia="Times New Roman" w:hAnsi="Times New Roman"/>
          <w:b/>
          <w:bCs/>
          <w:color w:val="2E4E7E"/>
          <w:sz w:val="22"/>
          <w:szCs w:val="22"/>
        </w:rPr>
        <w:t xml:space="preserve">7.5 Measured, not asserted</w:t>
      </w:r>
    </w:p>
    <w:p>
      <w:pPr>
        <w:spacing w:after="86" w:line="256"/>
        <w:jc w:val="both"/>
      </w:pPr>
      <w:r>
        <w:rPr>
          <w:rFonts w:ascii="Times New Roman" w:cs="Times New Roman" w:eastAsia="Times New Roman" w:hAnsi="Times New Roman"/>
          <w:sz w:val="21"/>
          <w:szCs w:val="21"/>
        </w:rPr>
        <w:t xml:space="preserve">The project commits to three measurements rather than three claims: a timed user study with law students against manual portal search, the measured accuracy gap over the temporally naive baseline on date-sensitive questions, and a hallucinated-citation rate at or near zero established through deterministic verification. It makes no claim that it will reduce the national case backlog. The honest claim is narrower: the system removes one avoidable source of delay and one avoidable source of error.</w:t>
      </w:r>
    </w:p>
    <w:p>
      <w:pPr>
        <w:pStyle w:val="Heading1"/>
        <w:spacing w:after="96" w:before="200"/>
      </w:pPr>
      <w:r>
        <w:rPr>
          <w:rFonts w:ascii="Times New Roman" w:cs="Times New Roman" w:eastAsia="Times New Roman" w:hAnsi="Times New Roman"/>
          <w:b/>
          <w:bCs/>
          <w:color w:val="1F3864"/>
          <w:sz w:val="26"/>
          <w:szCs w:val="26"/>
        </w:rPr>
        <w:t xml:space="preserve">8. Alignment with Sustainable Development Goals (SDGs)</w:t>
      </w:r>
    </w:p>
    <w:p>
      <w:pPr>
        <w:spacing w:after="86" w:line="256"/>
        <w:jc w:val="both"/>
      </w:pPr>
      <w:r>
        <w:rPr>
          <w:rFonts w:ascii="Times New Roman" w:cs="Times New Roman" w:eastAsia="Times New Roman" w:hAnsi="Times New Roman"/>
          <w:sz w:val="21"/>
          <w:szCs w:val="21"/>
        </w:rPr>
        <w:t xml:space="preserve">Dhara supports five of the seventeen Goals. Alignment with SDG 16 is direct and primary.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cantSplit/>
          <w:tblHeader/>
        </w:trPr>
        <w:tc>
          <w:tcPr>
            <w:tcW w:type="dxa" w:w="7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SDG</w:t>
            </w:r>
          </w:p>
        </w:tc>
        <w:tc>
          <w:tcPr>
            <w:tcW w:type="dxa" w:w="26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Goal</w:t>
            </w:r>
          </w:p>
        </w:tc>
        <w:tc>
          <w:tcPr>
            <w:tcW w:type="dxa" w:w="57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Contribution</w:t>
            </w:r>
          </w:p>
        </w:tc>
      </w:tr>
      <w:tr>
        <w:trPr>
          <w:cantSplit/>
          <w:tblHeader w:val="false"/>
        </w:trPr>
        <w:tc>
          <w:tcPr>
            <w:tcW w:type="dxa" w:w="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16</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Peace, Justice and Strong Institutions</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Primary alignment. Makes the statutory corpus searchable, correctly dated and citable, directly expanding access to justice, and produces machine-readable legal infrastructure that courts and legal aid bodies can build on</w:t>
            </w:r>
          </w:p>
        </w:tc>
      </w:tr>
      <w:tr>
        <w:trPr>
          <w:cantSplit/>
          <w:tblHeader w:val="false"/>
        </w:trPr>
        <w:tc>
          <w:tcPr>
            <w:tcW w:type="dxa" w:w="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10</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Reduced Inequalities</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Narrows the legal capability gap that currently tracks income and geography between senior urban counsel and district practitioners, legal aid officers and self-represented litigants</w:t>
            </w:r>
          </w:p>
        </w:tc>
      </w:tr>
      <w:tr>
        <w:trPr>
          <w:cantSplit/>
          <w:tblHeader w:val="false"/>
        </w:trPr>
        <w:tc>
          <w:tcPr>
            <w:tcW w:type="dxa" w:w="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9</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Industry, Innovation and Infrastructure</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Builds national digital public infrastructure and advances Bangla-language natural language processing in a specialised domain with no existing resources</w:t>
            </w:r>
          </w:p>
        </w:tc>
      </w:tr>
      <w:tr>
        <w:trPr>
          <w:cantSplit/>
          <w:tblHeader w:val="false"/>
        </w:trPr>
        <w:tc>
          <w:tcPr>
            <w:tcW w:type="dxa" w:w="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4</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Quality Education</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The open corpus and evaluation benchmark are directly usable in legal education and in NLP research training at Bangladeshi universities</w:t>
            </w:r>
          </w:p>
        </w:tc>
      </w:tr>
      <w:tr>
        <w:trPr>
          <w:cantSplit/>
          <w:tblHeader w:val="false"/>
        </w:trPr>
        <w:tc>
          <w:tcPr>
            <w:tcW w:type="dxa" w:w="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8</w:t>
            </w:r>
          </w:p>
        </w:tc>
        <w:tc>
          <w:tcPr>
            <w:tcW w:type="dxa" w:w="2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Decent Work and Economic Growth</w:t>
            </w:r>
          </w:p>
        </w:tc>
        <w:tc>
          <w:tcPr>
            <w:tcW w:type="dxa" w:w="5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Full-Code coverage includes labour and industrial legislation, helping workers and employers establish entitlements under the law as it stood at the relevant time</w:t>
            </w:r>
          </w:p>
        </w:tc>
      </w:tr>
    </w:tbl>
    <w:p>
      <w:pPr>
        <w:pStyle w:val="Heading1"/>
        <w:spacing w:after="96" w:before="200"/>
      </w:pPr>
      <w:r>
        <w:rPr>
          <w:rFonts w:ascii="Times New Roman" w:cs="Times New Roman" w:eastAsia="Times New Roman" w:hAnsi="Times New Roman"/>
          <w:b/>
          <w:bCs/>
          <w:color w:val="1F3864"/>
          <w:sz w:val="26"/>
          <w:szCs w:val="26"/>
        </w:rPr>
        <w:t xml:space="preserve">9. Revenue Plan</w:t>
      </w:r>
    </w:p>
    <w:p>
      <w:pPr>
        <w:pStyle w:val="Heading2"/>
        <w:spacing w:after="74" w:before="142"/>
      </w:pPr>
      <w:r>
        <w:rPr>
          <w:rFonts w:ascii="Times New Roman" w:cs="Times New Roman" w:eastAsia="Times New Roman" w:hAnsi="Times New Roman"/>
          <w:b/>
          <w:bCs/>
          <w:color w:val="2E4E7E"/>
          <w:sz w:val="22"/>
          <w:szCs w:val="22"/>
        </w:rPr>
        <w:t xml:space="preserve">9.1 Handover and open licensing</w:t>
      </w:r>
    </w:p>
    <w:p>
      <w:pPr>
        <w:spacing w:after="86" w:line="256"/>
        <w:jc w:val="both"/>
      </w:pPr>
      <w:r>
        <w:rPr>
          <w:rFonts w:ascii="Times New Roman" w:cs="Times New Roman" w:eastAsia="Times New Roman" w:hAnsi="Times New Roman"/>
          <w:sz w:val="21"/>
          <w:szCs w:val="21"/>
        </w:rPr>
        <w:t xml:space="preserve">In accordance with Article 21.5, the structured corpus, public API, evaluation benchmark and documentation are handed to the ICT Division or its designated institution for public service use on completion, and additionally released under an open licence so they remain usable by Bangladeshi researchers, legal aid organisations and developers. The project is designed around this obligation rather than in tension with it: handover means government custody and permanent distribution, which is the best available outcome for infrastructure of this kind.</w:t>
      </w:r>
    </w:p>
    <w:p>
      <w:pPr>
        <w:pStyle w:val="Heading2"/>
        <w:spacing w:after="74" w:before="142"/>
      </w:pPr>
      <w:r>
        <w:rPr>
          <w:rFonts w:ascii="Times New Roman" w:cs="Times New Roman" w:eastAsia="Times New Roman" w:hAnsi="Times New Roman"/>
          <w:b/>
          <w:bCs/>
          <w:color w:val="2E4E7E"/>
          <w:sz w:val="22"/>
          <w:szCs w:val="22"/>
        </w:rPr>
        <w:t xml:space="preserve">9.2 Operating sustainability</w:t>
      </w:r>
    </w:p>
    <w:p>
      <w:pPr>
        <w:pStyle w:val="ListParagraph"/>
        <w:numPr>
          <w:ilvl w:val="0"/>
          <w:numId w:val="2"/>
        </w:numPr>
        <w:spacing w:after="56" w:line="252"/>
      </w:pPr>
      <w:r>
        <w:rPr>
          <w:rFonts w:ascii="Times New Roman" w:cs="Times New Roman" w:eastAsia="Times New Roman" w:hAnsi="Times New Roman"/>
          <w:sz w:val="21"/>
          <w:szCs w:val="21"/>
        </w:rPr>
        <w:t xml:space="preserve">Low marginal cost. The retrieval layer runs on commodity hardware and the index is of the order of 110 MB. Only generation depends on a paid service, and the self-hosted path funded here makes that dependency replaceable.</w:t>
      </w:r>
    </w:p>
    <w:p>
      <w:pPr>
        <w:pStyle w:val="ListParagraph"/>
        <w:numPr>
          <w:ilvl w:val="0"/>
          <w:numId w:val="2"/>
        </w:numPr>
        <w:spacing w:after="56" w:line="252"/>
      </w:pPr>
      <w:r>
        <w:rPr>
          <w:rFonts w:ascii="Times New Roman" w:cs="Times New Roman" w:eastAsia="Times New Roman" w:hAnsi="Times New Roman"/>
          <w:sz w:val="21"/>
          <w:szCs w:val="21"/>
        </w:rPr>
        <w:t xml:space="preserve">Hosting beyond the project. The index is small enough to run on a single modest instance, and hosting is funded to roughly two months past launch. Continuation beyond that depends on the handover arrangement with the Division or on an institutional service agreement, both of which are low-cost at this scale.</w:t>
      </w:r>
    </w:p>
    <w:p>
      <w:pPr>
        <w:pStyle w:val="ListParagraph"/>
        <w:numPr>
          <w:ilvl w:val="0"/>
          <w:numId w:val="2"/>
        </w:numPr>
        <w:spacing w:after="56" w:line="252"/>
      </w:pPr>
      <w:r>
        <w:rPr>
          <w:rFonts w:ascii="Times New Roman" w:cs="Times New Roman" w:eastAsia="Times New Roman" w:hAnsi="Times New Roman"/>
          <w:sz w:val="21"/>
          <w:szCs w:val="21"/>
        </w:rPr>
        <w:t xml:space="preserve">Academic continuity. Corpus expansion, judgment ingestion and benchmark maintenance map onto undergraduate and postgraduate theses at the applicants’ institution, sustaining development beyond any single funding cycle.</w:t>
      </w:r>
    </w:p>
    <w:p>
      <w:pPr>
        <w:pStyle w:val="ListParagraph"/>
        <w:numPr>
          <w:ilvl w:val="0"/>
          <w:numId w:val="2"/>
        </w:numPr>
        <w:spacing w:after="56" w:line="252"/>
      </w:pPr>
      <w:r>
        <w:rPr>
          <w:rFonts w:ascii="Times New Roman" w:cs="Times New Roman" w:eastAsia="Times New Roman" w:hAnsi="Times New Roman"/>
          <w:sz w:val="21"/>
          <w:szCs w:val="21"/>
        </w:rPr>
        <w:t xml:space="preserve">Institutional anchor. A single service agreement with a legal aid body or judicial training institution would cover baseline operating cost while supplying the domain feedback loop the system needs.</w:t>
      </w:r>
    </w:p>
    <w:p>
      <w:pPr>
        <w:pStyle w:val="Heading2"/>
        <w:spacing w:after="74" w:before="142"/>
      </w:pPr>
      <w:r>
        <w:rPr>
          <w:rFonts w:ascii="Times New Roman" w:cs="Times New Roman" w:eastAsia="Times New Roman" w:hAnsi="Times New Roman"/>
          <w:b/>
          <w:bCs/>
          <w:color w:val="2E4E7E"/>
          <w:sz w:val="22"/>
          <w:szCs w:val="22"/>
        </w:rPr>
        <w:t xml:space="preserve">9.3 Commercial model from v2.0 onward</w:t>
      </w:r>
    </w:p>
    <w:p>
      <w:pPr>
        <w:spacing w:after="86" w:line="256"/>
        <w:jc w:val="both"/>
      </w:pPr>
      <w:r>
        <w:rPr>
          <w:rFonts w:ascii="Times New Roman" w:cs="Times New Roman" w:eastAsia="Times New Roman" w:hAnsi="Times New Roman"/>
          <w:sz w:val="21"/>
          <w:szCs w:val="21"/>
        </w:rPr>
        <w:t xml:space="preserve">A professional product layer is intended above the public corpus from v2.0. This is declared here so that the boundary is unambiguous: nothing in the table below is funded by this grant, and nothing in it forms part of the handover. Public statutory search remains free in every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926"/>
      </w:tblGrid>
      <w:tr>
        <w:trPr>
          <w:cantSplit/>
          <w:tblHeader/>
        </w:trPr>
        <w:tc>
          <w:tcPr>
            <w:tcW w:type="dxa" w:w="27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Stream</w:t>
            </w:r>
          </w:p>
        </w:tc>
        <w:tc>
          <w:tcPr>
            <w:tcW w:type="dxa" w:w="34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Customer</w:t>
            </w:r>
          </w:p>
        </w:tc>
        <w:tc>
          <w:tcPr>
            <w:tcW w:type="dxa" w:w="29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Indicative pricing</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Public statutory search</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General public, legal aid bodies</w:t>
            </w:r>
          </w:p>
        </w:tc>
        <w:tc>
          <w:tcPr>
            <w:tcW w:type="dxa" w:w="29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Free, permanently</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Individual subscription</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Practising advocates</w:t>
            </w:r>
          </w:p>
        </w:tc>
        <w:tc>
          <w:tcPr>
            <w:tcW w:type="dxa" w:w="29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BDT 1,200 per seat per month</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Chamber subscription</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Law firms and chambers</w:t>
            </w:r>
          </w:p>
        </w:tc>
        <w:tc>
          <w:tcPr>
            <w:tcW w:type="dxa" w:w="29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BDT 4,000 per month, 4 seats</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Enterprise licence</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Banks, corporate legal departments, insurers</w:t>
            </w:r>
          </w:p>
        </w:tc>
        <w:tc>
          <w:tcPr>
            <w:tcW w:type="dxa" w:w="29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BDT 25,000 and above per month</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Institutional licence</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Law and Justice Division, NLASO, judicial academy, Bar Council, law faculties</w:t>
            </w:r>
          </w:p>
        </w:tc>
        <w:tc>
          <w:tcPr>
            <w:tcW w:type="dxa" w:w="29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Annual contract</w:t>
            </w:r>
          </w:p>
        </w:tc>
      </w:tr>
      <w:tr>
        <w:trPr>
          <w:cantSplit/>
          <w:tblHeader w:val="false"/>
        </w:trPr>
        <w:tc>
          <w:tcPr>
            <w:tcW w:type="dxa" w:w="27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Regulatory-change monitoring API</w:t>
            </w:r>
          </w:p>
        </w:tc>
        <w:tc>
          <w:tcPr>
            <w:tcW w:type="dxa" w:w="34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Banks, non-bank financial institutions, telecom operators</w:t>
            </w:r>
          </w:p>
        </w:tc>
        <w:tc>
          <w:tcPr>
            <w:tcW w:type="dxa" w:w="29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Per-call or annual contract</w:t>
            </w:r>
          </w:p>
        </w:tc>
      </w:tr>
    </w:tbl>
    <w:p>
      <w:pPr>
        <w:spacing w:after="50"/>
      </w:pPr>
    </w:p>
    <w:p>
      <w:pPr>
        <w:spacing w:after="86" w:line="256"/>
        <w:jc w:val="both"/>
      </w:pPr>
      <w:r>
        <w:rPr>
          <w:rFonts w:ascii="Times New Roman" w:cs="Times New Roman" w:eastAsia="Times New Roman" w:hAnsi="Times New Roman"/>
          <w:sz w:val="21"/>
          <w:szCs w:val="21"/>
        </w:rPr>
        <w:t xml:space="preserve">The regulatory-monitoring stream deserves particular note. The amendment-tracking engine built for statutes applies unchanged to Bangladesh Bank circulars, securities directives and telecommunications regulations, which are frequently changing instruments that regulated institutions are obliged to track. It reuses the core technology with minimal additional engineering and addresses a segment with existing compliance budgets, making it the most plausible early commercial line.</w:t>
      </w:r>
    </w:p>
    <w:p>
      <w:pPr>
        <w:pStyle w:val="Heading1"/>
        <w:spacing w:after="96" w:before="200"/>
      </w:pPr>
      <w:r>
        <w:rPr>
          <w:rFonts w:ascii="Times New Roman" w:cs="Times New Roman" w:eastAsia="Times New Roman" w:hAnsi="Times New Roman"/>
          <w:b/>
          <w:bCs/>
          <w:color w:val="1F3864"/>
          <w:sz w:val="26"/>
          <w:szCs w:val="26"/>
        </w:rPr>
        <w:t xml:space="preserve">10. Expected Outcomes and Deliverables</w:t>
      </w:r>
    </w:p>
    <w:p>
      <w:pPr>
        <w:pStyle w:val="Heading2"/>
        <w:spacing w:after="74" w:before="142"/>
      </w:pPr>
      <w:r>
        <w:rPr>
          <w:rFonts w:ascii="Times New Roman" w:cs="Times New Roman" w:eastAsia="Times New Roman" w:hAnsi="Times New Roman"/>
          <w:b/>
          <w:bCs/>
          <w:color w:val="2E4E7E"/>
          <w:sz w:val="22"/>
          <w:szCs w:val="22"/>
        </w:rPr>
        <w:t xml:space="preserve">10.1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526"/>
      </w:tblGrid>
      <w:tr>
        <w:trPr>
          <w:cantSplit/>
          <w:tblHeader/>
        </w:trPr>
        <w:tc>
          <w:tcPr>
            <w:tcW w:type="dxa" w:w="6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w:t>
            </w:r>
          </w:p>
        </w:tc>
        <w:tc>
          <w:tcPr>
            <w:tcW w:type="dxa" w:w="29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Deliverable</w:t>
            </w:r>
          </w:p>
        </w:tc>
        <w:tc>
          <w:tcPr>
            <w:tcW w:type="dxa" w:w="55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Description</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Structured national corpus</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Full Bangladesh Code at provision level, bilingual, with validity intervals and confidence-tiered lineage</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2</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Temporal retrieval engine</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Hybrid lexical and dense retrieval with date filtering applied before ranking</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3</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Grounded answering service</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Citation-attached generation with deterministic verification and calibrated abstention</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4</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Web application</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Research interface and provision browser as specified in Section 5.4</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5</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Free Bangla public interface</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Open public access to dated statutory information, permanently free</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6</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Public read API</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Documented, rate-limited and openly accessible</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7</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Evaluation benchmark</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150 annotated questions across at least eight legal domains, about 30 date-sensitive, released openly</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8</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Results report and repository</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Metrics, baseline comparison, error analysis, lineage audit and a reproducible codebase</w:t>
            </w:r>
          </w:p>
        </w:tc>
      </w:tr>
      <w:tr>
        <w:trPr>
          <w:cantSplit/>
          <w:tblHeader w:val="false"/>
        </w:trPr>
        <w:tc>
          <w:tcPr>
            <w:tcW w:type="dxa" w:w="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9</w:t>
            </w:r>
          </w:p>
        </w:tc>
        <w:tc>
          <w:tcPr>
            <w:tcW w:type="dxa" w:w="29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Handover package</w:t>
            </w:r>
          </w:p>
        </w:tc>
        <w:tc>
          <w:tcPr>
            <w:tcW w:type="dxa" w:w="55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Corpus, API, benchmark, documentation and deployment instructions delivered to the ICT Division</w:t>
            </w:r>
          </w:p>
        </w:tc>
      </w:tr>
    </w:tbl>
    <w:p>
      <w:pPr>
        <w:pStyle w:val="Heading2"/>
        <w:spacing w:after="74" w:before="142"/>
      </w:pPr>
      <w:r>
        <w:rPr>
          <w:rFonts w:ascii="Times New Roman" w:cs="Times New Roman" w:eastAsia="Times New Roman" w:hAnsi="Times New Roman"/>
          <w:b/>
          <w:bCs/>
          <w:color w:val="2E4E7E"/>
          <w:sz w:val="22"/>
          <w:szCs w:val="22"/>
        </w:rPr>
        <w:t xml:space="preserve">10.2 Evaluation methodology</w:t>
      </w:r>
    </w:p>
    <w:p>
      <w:pPr>
        <w:spacing w:after="86" w:line="256"/>
        <w:jc w:val="both"/>
      </w:pPr>
      <w:r>
        <w:rPr>
          <w:rFonts w:ascii="Times New Roman" w:cs="Times New Roman" w:eastAsia="Times New Roman" w:hAnsi="Times New Roman"/>
          <w:sz w:val="21"/>
          <w:szCs w:val="21"/>
        </w:rPr>
        <w:t xml:space="preserve">The system is evaluated against a 150-question set, each item annotated with its gold provision, spanning at least eight legal domains so that performance is not an artefact of a single area of law. About thirty questions are date-sensitive: they resolve to different provisions depending on the as-of date and are answerable correctly only by a temporally aware system. Twenty are unanswerable, so that abstention is scored as correct only where no governing provision exists and cannot be gamed.</w:t>
      </w:r>
    </w:p>
    <w:p>
      <w:pPr>
        <w:spacing w:after="86" w:line="256"/>
        <w:jc w:val="both"/>
      </w:pPr>
      <w:r>
        <w:rPr>
          <w:rFonts w:ascii="Times New Roman" w:cs="Times New Roman" w:eastAsia="Times New Roman" w:hAnsi="Times New Roman"/>
          <w:sz w:val="21"/>
          <w:szCs w:val="21"/>
        </w:rPr>
        <w:t xml:space="preserve">A temporally naive baseline, being the identical pipeline with date filtering disabled, is run on the same set. The accuracy gap on the date-sensitive subset is the experimental result the pilot is designed to produce. Amendment lineage is separately audited against a manually verified sample of 200 provisions, with coverage and precision reported together.</w:t>
      </w:r>
    </w:p>
    <w:p>
      <w:pPr>
        <w:pStyle w:val="Heading2"/>
        <w:spacing w:after="74" w:before="142"/>
      </w:pPr>
      <w:r>
        <w:rPr>
          <w:rFonts w:ascii="Times New Roman" w:cs="Times New Roman" w:eastAsia="Times New Roman" w:hAnsi="Times New Roman"/>
          <w:b/>
          <w:bCs/>
          <w:color w:val="2E4E7E"/>
          <w:sz w:val="22"/>
          <w:szCs w:val="22"/>
        </w:rPr>
        <w:t xml:space="preserve">10.3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cantSplit/>
          <w:tblHeader/>
        </w:trPr>
        <w:tc>
          <w:tcPr>
            <w:tcW w:type="dxa" w:w="46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Indicator</w:t>
            </w:r>
          </w:p>
        </w:tc>
        <w:tc>
          <w:tcPr>
            <w:tcW w:type="dxa" w:w="22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Target</w:t>
            </w:r>
          </w:p>
        </w:tc>
        <w:tc>
          <w:tcPr>
            <w:tcW w:type="dxa" w:w="22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Verification</w:t>
            </w:r>
          </w:p>
        </w:tc>
      </w:tr>
      <w:tr>
        <w:trPr>
          <w:cantSplit/>
          <w:tblHeader w:val="false"/>
        </w:trPr>
        <w:tc>
          <w:tcPr>
            <w:tcW w:type="dxa" w:w="4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Temporal correctness on date-sensitive subset</w:t>
            </w:r>
          </w:p>
        </w:tc>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At least 0.85</w:t>
            </w:r>
          </w:p>
        </w:tc>
        <w:tc>
          <w:tcPr>
            <w:tcW w:type="dxa" w:w="22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Evaluation set against gold provisions</w:t>
            </w:r>
          </w:p>
        </w:tc>
      </w:tr>
      <w:tr>
        <w:trPr>
          <w:cantSplit/>
          <w:tblHeader w:val="false"/>
        </w:trPr>
        <w:tc>
          <w:tcPr>
            <w:tcW w:type="dxa" w:w="4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Retrieval Recall@5 over the full Code</w:t>
            </w:r>
          </w:p>
        </w:tc>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At least 0.75</w:t>
            </w:r>
          </w:p>
        </w:tc>
        <w:tc>
          <w:tcPr>
            <w:tcW w:type="dxa" w:w="22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Evaluation set</w:t>
            </w:r>
          </w:p>
        </w:tc>
      </w:tr>
      <w:tr>
        <w:trPr>
          <w:cantSplit/>
          <w:tblHeader w:val="false"/>
        </w:trPr>
        <w:tc>
          <w:tcPr>
            <w:tcW w:type="dxa" w:w="4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Citation precision</w:t>
            </w:r>
          </w:p>
        </w:tc>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At least 0.85</w:t>
            </w:r>
          </w:p>
        </w:tc>
        <w:tc>
          <w:tcPr>
            <w:tcW w:type="dxa" w:w="22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Advocate review of sampled answers</w:t>
            </w:r>
          </w:p>
        </w:tc>
      </w:tr>
      <w:tr>
        <w:trPr>
          <w:cantSplit/>
          <w:tblHeader w:val="false"/>
        </w:trPr>
        <w:tc>
          <w:tcPr>
            <w:tcW w:type="dxa" w:w="4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Hallucinated-citation rate</w:t>
            </w:r>
          </w:p>
        </w:tc>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At most 0.05</w:t>
            </w:r>
          </w:p>
        </w:tc>
        <w:tc>
          <w:tcPr>
            <w:tcW w:type="dxa" w:w="22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Deterministic verification log</w:t>
            </w:r>
          </w:p>
        </w:tc>
      </w:tr>
      <w:tr>
        <w:trPr>
          <w:cantSplit/>
          <w:tblHeader w:val="false"/>
        </w:trPr>
        <w:tc>
          <w:tcPr>
            <w:tcW w:type="dxa" w:w="4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Amendment coverage (high-confidence lineage)</w:t>
            </w:r>
          </w:p>
        </w:tc>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At least 0.60</w:t>
            </w:r>
          </w:p>
        </w:tc>
        <w:tc>
          <w:tcPr>
            <w:tcW w:type="dxa" w:w="22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Automated count</w:t>
            </w:r>
          </w:p>
        </w:tc>
      </w:tr>
      <w:tr>
        <w:trPr>
          <w:cantSplit/>
          <w:tblHeader w:val="false"/>
        </w:trPr>
        <w:tc>
          <w:tcPr>
            <w:tcW w:type="dxa" w:w="4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Lineage precision on audited sample</w:t>
            </w:r>
          </w:p>
        </w:tc>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At least 0.90</w:t>
            </w:r>
          </w:p>
        </w:tc>
        <w:tc>
          <w:tcPr>
            <w:tcW w:type="dxa" w:w="22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Manual audit of 200 provisions</w:t>
            </w:r>
          </w:p>
        </w:tc>
      </w:tr>
      <w:tr>
        <w:trPr>
          <w:cantSplit/>
          <w:tblHeader w:val="false"/>
        </w:trPr>
        <w:tc>
          <w:tcPr>
            <w:tcW w:type="dxa" w:w="46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Median end-to-end response time</w:t>
            </w:r>
          </w:p>
        </w:tc>
        <w:tc>
          <w:tcPr>
            <w:tcW w:type="dxa" w:w="22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At most 5 seconds</w:t>
            </w:r>
          </w:p>
        </w:tc>
        <w:tc>
          <w:tcPr>
            <w:tcW w:type="dxa" w:w="22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Instrumented logs</w:t>
            </w:r>
          </w:p>
        </w:tc>
      </w:tr>
    </w:tbl>
    <w:p>
      <w:pPr>
        <w:spacing w:after="50"/>
      </w:pPr>
    </w:p>
    <w:p>
      <w:pPr>
        <w:spacing w:after="86" w:line="256"/>
        <w:jc w:val="both"/>
      </w:pPr>
      <w:r>
        <w:rPr>
          <w:rFonts w:ascii="Times New Roman" w:cs="Times New Roman" w:eastAsia="Times New Roman" w:hAnsi="Times New Roman"/>
          <w:sz w:val="21"/>
          <w:szCs w:val="21"/>
        </w:rPr>
        <w:t xml:space="preserve">These are targets set in advance of implementation. They are not results already obtained. The result of primary interest is the gap between Dhara and the temporally naive baseline on date-sensitive questions. A large gap demonstrates that amendment awareness is not a cosmetic feature but a correctness requirement for legal retrieval, which is the argument this project exists to make.</w:t>
      </w:r>
    </w:p>
    <w:p>
      <w:pPr>
        <w:pStyle w:val="Heading1"/>
        <w:spacing w:after="96" w:before="200"/>
      </w:pPr>
      <w:r>
        <w:rPr>
          <w:rFonts w:ascii="Times New Roman" w:cs="Times New Roman" w:eastAsia="Times New Roman" w:hAnsi="Times New Roman"/>
          <w:b/>
          <w:bCs/>
          <w:color w:val="1F3864"/>
          <w:sz w:val="26"/>
          <w:szCs w:val="26"/>
        </w:rPr>
        <w:t xml:space="preserve">References</w:t>
      </w:r>
    </w:p>
    <w:p>
      <w:pPr>
        <w:spacing w:after="62" w:line="246"/>
        <w:ind w:left="504" w:hanging="504"/>
        <w:jc w:val="both"/>
      </w:pPr>
      <w:r>
        <w:rPr>
          <w:rFonts w:ascii="Times New Roman" w:cs="Times New Roman" w:eastAsia="Times New Roman" w:hAnsi="Times New Roman"/>
          <w:sz w:val="18"/>
          <w:szCs w:val="18"/>
        </w:rPr>
        <w:t xml:space="preserve">[1]  Ministry of Law, Justice and Parliamentary Affairs. Statement by the Minister for Law on pending cases, Jatiya Sangsad; figures as of 31 March 2026. Reported in The Daily Star and Dhaka Tribune, July 2026.</w:t>
      </w:r>
    </w:p>
    <w:p>
      <w:pPr>
        <w:spacing w:after="62" w:line="246"/>
        <w:ind w:left="504" w:hanging="504"/>
        <w:jc w:val="both"/>
      </w:pPr>
      <w:r>
        <w:rPr>
          <w:rFonts w:ascii="Times New Roman" w:cs="Times New Roman" w:eastAsia="Times New Roman" w:hAnsi="Times New Roman"/>
          <w:sz w:val="18"/>
          <w:szCs w:val="18"/>
        </w:rPr>
        <w:t xml:space="preserve">[2]  Netra News. Analysis of subordinate judiciary caseload and bench strength, June 2026.</w:t>
      </w:r>
    </w:p>
    <w:p>
      <w:pPr>
        <w:spacing w:after="62" w:line="246"/>
        <w:ind w:left="504" w:hanging="504"/>
        <w:jc w:val="both"/>
      </w:pPr>
      <w:r>
        <w:rPr>
          <w:rFonts w:ascii="Times New Roman" w:cs="Times New Roman" w:eastAsia="Times New Roman" w:hAnsi="Times New Roman"/>
          <w:sz w:val="18"/>
          <w:szCs w:val="18"/>
        </w:rPr>
        <w:t xml:space="preserve">[3]  Ministry of Law, Justice and Parliamentary Affairs. Statement on mandatory pre-litigation mediation under the amended legal aid framework, Jatiya Sangsad, July 2026. Reported in Bangladesh Post.</w:t>
      </w:r>
    </w:p>
    <w:p>
      <w:pPr>
        <w:spacing w:after="62" w:line="246"/>
        <w:ind w:left="504" w:hanging="504"/>
        <w:jc w:val="both"/>
      </w:pPr>
      <w:r>
        <w:rPr>
          <w:rFonts w:ascii="Times New Roman" w:cs="Times New Roman" w:eastAsia="Times New Roman" w:hAnsi="Times New Roman"/>
          <w:sz w:val="18"/>
          <w:szCs w:val="18"/>
        </w:rPr>
        <w:t xml:space="preserve">[4]  Legislative and Parliamentary Affairs Division. Bangladesh Code, bdlaws.minlaw.gov.bd.</w:t>
      </w:r>
    </w:p>
    <w:p>
      <w:pPr>
        <w:spacing w:after="62" w:line="246"/>
        <w:ind w:left="504" w:hanging="504"/>
        <w:jc w:val="both"/>
      </w:pPr>
      <w:r>
        <w:rPr>
          <w:rFonts w:ascii="Times New Roman" w:cs="Times New Roman" w:eastAsia="Times New Roman" w:hAnsi="Times New Roman"/>
          <w:sz w:val="18"/>
          <w:szCs w:val="18"/>
        </w:rPr>
        <w:t xml:space="preserve">[5]  Sakhawat, A. (2026). BLAD: A Historically Contextualized, Multilingual Dataset of Bangladeshi Legal Acts (1799 to 2025). arXiv:2607.17111. Released under CC BY-SA 4.0.</w:t>
      </w:r>
    </w:p>
    <w:p>
      <w:pPr>
        <w:spacing w:after="62" w:line="246"/>
        <w:ind w:left="504" w:hanging="504"/>
        <w:jc w:val="both"/>
      </w:pPr>
      <w:r>
        <w:rPr>
          <w:rFonts w:ascii="Times New Roman" w:cs="Times New Roman" w:eastAsia="Times New Roman" w:hAnsi="Times New Roman"/>
          <w:sz w:val="18"/>
          <w:szCs w:val="18"/>
        </w:rPr>
        <w:t xml:space="preserve">[6]  Wasi, A. T., Faisal, W., Islam, M. R. and Bappy, M. M. (2024). Exploring Possibilities of AI-Powered Legal Assistance in Bangladesh through Large Language Modeling. arXiv:2410.17210.</w:t>
      </w:r>
    </w:p>
    <w:p>
      <w:pPr>
        <w:spacing w:after="62" w:line="246"/>
        <w:ind w:left="504" w:hanging="504"/>
        <w:jc w:val="both"/>
      </w:pPr>
      <w:r>
        <w:rPr>
          <w:rFonts w:ascii="Times New Roman" w:cs="Times New Roman" w:eastAsia="Times New Roman" w:hAnsi="Times New Roman"/>
          <w:sz w:val="18"/>
          <w:szCs w:val="18"/>
        </w:rPr>
        <w:t xml:space="preserve">[7]  Lewis, P. et al. (2020). Retrieval-Augmented Generation for Knowledge-Intensive NLP Tasks. NeurIPS.</w:t>
      </w:r>
    </w:p>
    <w:p>
      <w:pPr>
        <w:spacing w:after="62" w:line="246"/>
        <w:ind w:left="504" w:hanging="504"/>
        <w:jc w:val="both"/>
      </w:pPr>
      <w:r>
        <w:rPr>
          <w:rFonts w:ascii="Times New Roman" w:cs="Times New Roman" w:eastAsia="Times New Roman" w:hAnsi="Times New Roman"/>
          <w:sz w:val="18"/>
          <w:szCs w:val="18"/>
        </w:rPr>
        <w:t xml:space="preserve">[8]  Dahl, M., Magesh, V., Suzgun, M. and Ho, D. E. (2024). Large Legal Fictions: Profiling Legal Hallucinations in Large Language Models. Journal of Legal Analysis.</w:t>
      </w:r>
    </w:p>
    <w:p>
      <w:pPr>
        <w:spacing w:after="62" w:line="246"/>
        <w:ind w:left="504" w:hanging="504"/>
        <w:jc w:val="both"/>
      </w:pPr>
      <w:r>
        <w:rPr>
          <w:rFonts w:ascii="Times New Roman" w:cs="Times New Roman" w:eastAsia="Times New Roman" w:hAnsi="Times New Roman"/>
          <w:sz w:val="18"/>
          <w:szCs w:val="18"/>
        </w:rPr>
        <w:t xml:space="preserve">[9]  Cormack, G. V., Clarke, C. L. A. and Buettcher, S. (2009). Reciprocal Rank Fusion Outperforms Condorcet and Individual Rank Learning Methods. SIGIR.</w:t>
      </w:r>
    </w:p>
    <w:p>
      <w:pPr>
        <w:spacing w:after="62" w:line="246"/>
        <w:ind w:left="504" w:hanging="504"/>
        <w:jc w:val="both"/>
      </w:pPr>
      <w:r>
        <w:rPr>
          <w:rFonts w:ascii="Times New Roman" w:cs="Times New Roman" w:eastAsia="Times New Roman" w:hAnsi="Times New Roman"/>
          <w:sz w:val="18"/>
          <w:szCs w:val="18"/>
        </w:rPr>
        <w:t xml:space="preserve">[10]  Bhattacharjee, A. et al. (2022). BanglaBERT: Language Model Pretraining and Benchmarks for Low-Resource Language Understanding in Bangla. Findings of NAACL.</w:t>
      </w:r>
    </w:p>
    <w:p>
      <w:pPr>
        <w:spacing w:after="62" w:line="246"/>
        <w:ind w:left="504" w:hanging="504"/>
        <w:jc w:val="both"/>
      </w:pPr>
      <w:r>
        <w:rPr>
          <w:rFonts w:ascii="Times New Roman" w:cs="Times New Roman" w:eastAsia="Times New Roman" w:hAnsi="Times New Roman"/>
          <w:sz w:val="18"/>
          <w:szCs w:val="18"/>
        </w:rPr>
        <w:t xml:space="preserve">[11]  Feng, F. et al. (2022). Language-agnostic BERT Sentence Embedding (LaBSE). ACL.</w:t>
      </w:r>
    </w:p>
    <w:p>
      <w:pPr>
        <w:spacing w:after="62" w:line="246"/>
        <w:ind w:left="504" w:hanging="504"/>
        <w:jc w:val="both"/>
      </w:pPr>
      <w:r>
        <w:rPr>
          <w:rFonts w:ascii="Times New Roman" w:cs="Times New Roman" w:eastAsia="Times New Roman" w:hAnsi="Times New Roman"/>
          <w:sz w:val="18"/>
          <w:szCs w:val="18"/>
        </w:rPr>
        <w:t xml:space="preserve">[12]  Information and Communication Technology Division. Innovation Fund policy and guidelines, FY 2026-27, ims.ictd.gov.bd.</w:t>
      </w:r>
    </w:p>
    <w:p>
      <w:pPr>
        <w:pageBreakBefore/>
        <w:spacing w:after="0"/>
      </w:pPr>
    </w:p>
    <w:p>
      <w:pPr>
        <w:pStyle w:val="Heading1"/>
        <w:spacing w:after="96" w:before="200"/>
      </w:pPr>
      <w:r>
        <w:rPr>
          <w:rFonts w:ascii="Times New Roman" w:cs="Times New Roman" w:eastAsia="Times New Roman" w:hAnsi="Times New Roman"/>
          <w:b/>
          <w:bCs/>
          <w:color w:val="1F3864"/>
          <w:sz w:val="26"/>
          <w:szCs w:val="26"/>
        </w:rPr>
        <w:t xml:space="preserve">Annex A: Head-wise Budget Sheet</w:t>
      </w:r>
    </w:p>
    <w:p>
      <w:pPr>
        <w:spacing w:after="86" w:line="256"/>
        <w:jc w:val="both"/>
      </w:pPr>
      <w:r>
        <w:rPr>
          <w:rFonts w:ascii="Times New Roman" w:cs="Times New Roman" w:eastAsia="Times New Roman" w:hAnsi="Times New Roman"/>
          <w:sz w:val="21"/>
          <w:szCs w:val="21"/>
        </w:rPr>
        <w:t xml:space="preserve">For signature and seal on submission.</w:t>
      </w:r>
    </w:p>
    <w:p>
      <w:pPr>
        <w:spacing w:after="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300"/>
        <w:gridCol w:w="1500"/>
        <w:gridCol w:w="1726"/>
      </w:tblGrid>
      <w:tr>
        <w:trPr>
          <w:cantSplit/>
          <w:tblHeader/>
        </w:trPr>
        <w:tc>
          <w:tcPr>
            <w:tcW w:type="dxa" w:w="5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Sl.</w:t>
            </w:r>
          </w:p>
        </w:tc>
        <w:tc>
          <w:tcPr>
            <w:tcW w:type="dxa" w:w="30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Head of expenditure</w:t>
            </w:r>
          </w:p>
        </w:tc>
        <w:tc>
          <w:tcPr>
            <w:tcW w:type="dxa" w:w="23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Basis</w:t>
            </w:r>
          </w:p>
        </w:tc>
        <w:tc>
          <w:tcPr>
            <w:tcW w:type="dxa" w:w="1500"/>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Unit</w:t>
            </w:r>
          </w:p>
        </w:tc>
        <w:tc>
          <w:tcPr>
            <w:tcW w:type="dxa" w:w="1726"/>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Amount (BDT)</w:t>
            </w:r>
          </w:p>
        </w:tc>
      </w:tr>
      <w:tr>
        <w:trPr>
          <w:cantSplit/>
          <w:tblHeader w:val="false"/>
        </w:trPr>
        <w:tc>
          <w:tcPr>
            <w:tcW w:type="dxa" w:w="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w:t>
            </w:r>
          </w:p>
        </w:tc>
        <w:tc>
          <w:tcPr>
            <w:tcW w:type="dxa" w:w="3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Development stipend</w:t>
            </w:r>
          </w:p>
        </w:tc>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768 hours x BDT 500 (2 engineers x 6 months x 64 hours)</w:t>
            </w:r>
          </w:p>
        </w:tc>
        <w:tc>
          <w:tcPr>
            <w:tcW w:type="dxa" w:w="1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Hours</w:t>
            </w:r>
          </w:p>
        </w:tc>
        <w:tc>
          <w:tcPr>
            <w:tcW w:type="dxa" w:w="1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3,84,000</w:t>
            </w:r>
          </w:p>
        </w:tc>
      </w:tr>
      <w:tr>
        <w:trPr>
          <w:cantSplit/>
          <w:tblHeader w:val="false"/>
        </w:trPr>
        <w:tc>
          <w:tcPr>
            <w:tcW w:type="dxa" w:w="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2</w:t>
            </w:r>
          </w:p>
        </w:tc>
        <w:tc>
          <w:tcPr>
            <w:tcW w:type="dxa" w:w="3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Advocate verification panel</w:t>
            </w:r>
          </w:p>
        </w:tc>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40 hours x BDT 1,200 (2 advocates x 20 hours)</w:t>
            </w:r>
          </w:p>
        </w:tc>
        <w:tc>
          <w:tcPr>
            <w:tcW w:type="dxa" w:w="1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Hours</w:t>
            </w:r>
          </w:p>
        </w:tc>
        <w:tc>
          <w:tcPr>
            <w:tcW w:type="dxa" w:w="1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48,000</w:t>
            </w:r>
          </w:p>
        </w:tc>
      </w:tr>
      <w:tr>
        <w:trPr>
          <w:cantSplit/>
          <w:tblHeader w:val="false"/>
        </w:trPr>
        <w:tc>
          <w:tcPr>
            <w:tcW w:type="dxa" w:w="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3</w:t>
            </w:r>
          </w:p>
        </w:tc>
        <w:tc>
          <w:tcPr>
            <w:tcW w:type="dxa" w:w="3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Field testing, 2 districts</w:t>
            </w:r>
          </w:p>
        </w:tc>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Travel, sessions, materials</w:t>
            </w:r>
          </w:p>
        </w:tc>
        <w:tc>
          <w:tcPr>
            <w:tcW w:type="dxa" w:w="1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Districts</w:t>
            </w:r>
          </w:p>
        </w:tc>
        <w:tc>
          <w:tcPr>
            <w:tcW w:type="dxa" w:w="1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18,000</w:t>
            </w:r>
          </w:p>
        </w:tc>
      </w:tr>
      <w:tr>
        <w:trPr>
          <w:cantSplit/>
          <w:tblHeader w:val="false"/>
        </w:trPr>
        <w:tc>
          <w:tcPr>
            <w:tcW w:type="dxa" w:w="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4</w:t>
            </w:r>
          </w:p>
        </w:tc>
        <w:tc>
          <w:tcPr>
            <w:tcW w:type="dxa" w:w="3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LLM API credits</w:t>
            </w:r>
          </w:p>
        </w:tc>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Development, evaluation and pilot operation</w:t>
            </w:r>
          </w:p>
        </w:tc>
        <w:tc>
          <w:tcPr>
            <w:tcW w:type="dxa" w:w="1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Pool</w:t>
            </w:r>
          </w:p>
        </w:tc>
        <w:tc>
          <w:tcPr>
            <w:tcW w:type="dxa" w:w="1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15,000</w:t>
            </w:r>
          </w:p>
        </w:tc>
      </w:tr>
      <w:tr>
        <w:trPr>
          <w:cantSplit/>
          <w:tblHeader w:val="false"/>
        </w:trPr>
        <w:tc>
          <w:tcPr>
            <w:tcW w:type="dxa" w:w="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5</w:t>
            </w:r>
          </w:p>
        </w:tc>
        <w:tc>
          <w:tcPr>
            <w:tcW w:type="dxa" w:w="3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Cloud hosting, vector DB, public API</w:t>
            </w:r>
          </w:p>
        </w:tc>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Single instance, about 8 months</w:t>
            </w:r>
          </w:p>
        </w:tc>
        <w:tc>
          <w:tcPr>
            <w:tcW w:type="dxa" w:w="1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Months</w:t>
            </w:r>
          </w:p>
        </w:tc>
        <w:tc>
          <w:tcPr>
            <w:tcW w:type="dxa" w:w="1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10,000</w:t>
            </w:r>
          </w:p>
        </w:tc>
      </w:tr>
      <w:tr>
        <w:trPr>
          <w:cantSplit/>
          <w:tblHeader w:val="false"/>
        </w:trPr>
        <w:tc>
          <w:tcPr>
            <w:tcW w:type="dxa" w:w="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6</w:t>
            </w:r>
          </w:p>
        </w:tc>
        <w:tc>
          <w:tcPr>
            <w:tcW w:type="dxa" w:w="30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GPU compute</w:t>
            </w:r>
          </w:p>
        </w:tc>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Embedding, reranking, self-hosted fallback</w:t>
            </w:r>
          </w:p>
        </w:tc>
        <w:tc>
          <w:tcPr>
            <w:tcW w:type="dxa" w:w="1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Hours</w:t>
            </w:r>
          </w:p>
        </w:tc>
        <w:tc>
          <w:tcPr>
            <w:tcW w:type="dxa" w:w="1726"/>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10,000</w:t>
            </w:r>
          </w:p>
        </w:tc>
      </w:tr>
      <w:tr>
        <w:trPr>
          <w:cantSplit/>
          <w:tblHeader w:val="false"/>
        </w:trPr>
        <w:tc>
          <w:tcPr>
            <w:tcW w:type="dxa" w:w="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r>
          </w:p>
        </w:tc>
        <w:tc>
          <w:tcPr>
            <w:tcW w:type="dxa" w:w="3000"/>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Grand Total</w:t>
            </w:r>
          </w:p>
        </w:tc>
        <w:tc>
          <w:tcPr>
            <w:tcW w:type="dxa" w:w="23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r>
          </w:p>
        </w:tc>
        <w:tc>
          <w:tcPr>
            <w:tcW w:type="dxa" w:w="1500"/>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r>
          </w:p>
        </w:tc>
        <w:tc>
          <w:tcPr>
            <w:tcW w:type="dxa" w:w="1726"/>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4,85,000</w:t>
            </w:r>
          </w:p>
        </w:tc>
      </w:tr>
    </w:tbl>
    <w:p>
      <w:pPr>
        <w:spacing w:after="130"/>
      </w:pPr>
    </w:p>
    <w:p>
      <w:pPr>
        <w:spacing w:after="86" w:line="256"/>
        <w:jc w:val="both"/>
      </w:pPr>
      <w:r>
        <w:rPr>
          <w:rFonts w:ascii="Times New Roman" w:cs="Times New Roman" w:eastAsia="Times New Roman" w:hAnsi="Times New Roman"/>
          <w:b/>
          <w:bCs/>
          <w:sz w:val="21"/>
          <w:szCs w:val="21"/>
        </w:rPr>
        <w:t xml:space="preserve">In words: Four lakh eighty-five thousand taka only.</w:t>
      </w:r>
    </w:p>
    <w:p>
      <w:pPr>
        <w:spacing w:after="140"/>
      </w:pPr>
    </w:p>
    <w:p>
      <w:pPr>
        <w:spacing w:after="86" w:line="256"/>
        <w:jc w:val="both"/>
      </w:pPr>
      <w:r>
        <w:rPr>
          <w:rFonts w:ascii="Times New Roman" w:cs="Times New Roman" w:eastAsia="Times New Roman" w:hAnsi="Times New Roman"/>
          <w:i/>
          <w:iCs/>
          <w:sz w:val="19"/>
          <w:szCs w:val="19"/>
        </w:rPr>
        <w:t xml:space="preserve">Certified that the above estimate is true and correct to the best of our knowledge.</w:t>
      </w:r>
    </w:p>
    <w:p>
      <w:pPr>
        <w:spacing w:after="4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Signature of Applicant 1</w:t>
            </w:r>
          </w:p>
        </w:tc>
        <w:tc>
          <w:tcPr>
            <w:tcW w:type="dxa" w:w="4513"/>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Signature of Applicant 2</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Sazidur Rahman Mahin  (Roll 1414)</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Shah Alam Abir  (Roll 1439)</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Date: ............................</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Date: ............................</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Countersigned: Head of Department / Institution</w:t>
            </w:r>
          </w:p>
        </w:tc>
        <w:tc>
          <w:tcPr>
            <w:tcW w:type="dxa" w:w="4513"/>
            <w:shd w:fill="DCE3F0" w:val="clear"/>
            <w:tcMar>
              <w:top w:type="dxa" w:w="44"/>
              <w:left w:type="dxa" w:w="86"/>
              <w:bottom w:type="dxa" w:w="44"/>
              <w:right w:type="dxa" w:w="86"/>
            </w:tcMar>
          </w:tcPr>
          <w:p>
            <w:pPr>
              <w:spacing w:after="0" w:line="244"/>
            </w:pPr>
            <w:r>
              <w:rPr>
                <w:rFonts w:ascii="Times New Roman" w:cs="Times New Roman" w:eastAsia="Times New Roman" w:hAnsi="Times New Roman"/>
                <w:b/>
                <w:bCs/>
                <w:sz w:val="18"/>
                <w:szCs w:val="18"/>
              </w:rPr>
              <w:t xml:space="preserve">Seal</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Name and designation: ............................</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r>
      <w:tr>
        <w:trPr>
          <w:cantSplit/>
          <w:tblHeader w:val="false"/>
        </w:trPr>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Date: ............................</w:t>
            </w:r>
          </w:p>
        </w:tc>
        <w:tc>
          <w:tcPr>
            <w:tcW w:type="dxa" w:w="4513"/>
            <w:tcMar>
              <w:top w:type="dxa" w:w="44"/>
              <w:left w:type="dxa" w:w="86"/>
              <w:bottom w:type="dxa" w:w="44"/>
              <w:right w:type="dxa" w:w="86"/>
            </w:tcMar>
          </w:tcPr>
          <w:p>
            <w:pPr>
              <w:spacing w:after="0" w:line="244"/>
            </w:pPr>
            <w:r>
              <w:rPr>
                <w:rFonts w:ascii="Times New Roman" w:cs="Times New Roman" w:eastAsia="Times New Roman" w:hAnsi="Times New Roman"/>
                <w:sz w:val="18"/>
                <w:szCs w:val="18"/>
              </w:rPr>
              <w:t xml:space="preserve"> </w:t>
            </w:r>
          </w:p>
        </w:tc>
      </w:tr>
    </w:tbl>
    <w:sectPr>
      <w:footerReference w:type="default" r:id="rId7"/>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6674"/>
        <w:sz w:val="16"/>
        <w:szCs w:val="16"/>
      </w:rPr>
      <w:t xml:space="preserve">Dhara, Project Proposal  |  ICT Division Innovation Fund FY 2026-27  |  Page </w:t>
    </w:r>
    <w:r>
      <w:rPr>
        <w:rFonts w:ascii="Times New Roman" w:cs="Times New Roman" w:eastAsia="Times New Roman" w:hAnsi="Times New Roman"/>
        <w:color w:val="5A66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30"/>
      </w:pPr>
    </w:lvl>
  </w:abstractNum>
  <w:abstractNum w:abstractNumId="3" w15:restartNumberingAfterBreak="0">
    <w:multiLevelType w:val="hybridMultilevel"/>
    <w:lvl w:ilvl="0" w15:tentative="1">
      <w:start w:val="1"/>
      <w:numFmt w:val="decimal"/>
      <w:lvlText w:val="%1."/>
      <w:lvlJc w:val="left"/>
      <w:pPr>
        <w:ind w:left="44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2026-10-20T04:09:50.465Z</dcterms:created>
  <dcterms:modified xsi:type="dcterms:W3CDTF">2026-10-20T04:09:50.465Z</dcterms:modified>
</cp:coreProperties>
</file>

<file path=docProps/custom.xml><?xml version="1.0" encoding="utf-8"?>
<Properties xmlns="http://schemas.openxmlformats.org/officeDocument/2006/custom-properties" xmlns:vt="http://schemas.openxmlformats.org/officeDocument/2006/docPropsVTypes"/>
</file>