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A26973">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CF6C91">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sidR="00A26973">
          <w:rPr>
            <w:noProof/>
            <w:webHidden/>
          </w:rPr>
          <w:fldChar w:fldCharType="begin"/>
        </w:r>
        <w:r w:rsidR="00F26412">
          <w:rPr>
            <w:noProof/>
            <w:webHidden/>
          </w:rPr>
          <w:instrText xml:space="preserve"> PAGEREF _Toc522919269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CF6C91">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sidR="00A26973">
          <w:rPr>
            <w:noProof/>
            <w:webHidden/>
          </w:rPr>
          <w:fldChar w:fldCharType="begin"/>
        </w:r>
        <w:r w:rsidR="00F26412">
          <w:rPr>
            <w:noProof/>
            <w:webHidden/>
          </w:rPr>
          <w:instrText xml:space="preserve"> PAGEREF _Toc522919270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CF6C91">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sidR="00A26973">
          <w:rPr>
            <w:noProof/>
            <w:webHidden/>
          </w:rPr>
          <w:fldChar w:fldCharType="begin"/>
        </w:r>
        <w:r w:rsidR="00F26412">
          <w:rPr>
            <w:noProof/>
            <w:webHidden/>
          </w:rPr>
          <w:instrText xml:space="preserve"> PAGEREF _Toc522919271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CF6C91">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sidR="00A26973">
          <w:rPr>
            <w:noProof/>
            <w:webHidden/>
          </w:rPr>
          <w:fldChar w:fldCharType="begin"/>
        </w:r>
        <w:r w:rsidR="00F26412">
          <w:rPr>
            <w:noProof/>
            <w:webHidden/>
          </w:rPr>
          <w:instrText xml:space="preserve"> PAGEREF _Toc522919272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CF6C91">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sidR="00A26973">
          <w:rPr>
            <w:noProof/>
            <w:webHidden/>
          </w:rPr>
          <w:fldChar w:fldCharType="begin"/>
        </w:r>
        <w:r w:rsidR="00F26412">
          <w:rPr>
            <w:noProof/>
            <w:webHidden/>
          </w:rPr>
          <w:instrText xml:space="preserve"> PAGEREF _Toc522919273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CF1D50" w:rsidRPr="00CF1D50" w:rsidRDefault="00A26973"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8B2B98" w:rsidRDefault="00FE535F" w:rsidP="00FE535F">
      <w:pPr>
        <w:rPr>
          <w:lang w:bidi="bn-BD"/>
        </w:rPr>
      </w:pPr>
      <w:r>
        <w:rPr>
          <w:lang w:bidi="bn-BD"/>
        </w:rPr>
        <w:t xml:space="preserve">Pineapple is a delicious tropical fruit with a fine flavor and high nutritive </w:t>
      </w:r>
      <w:r w:rsidR="005E2C70">
        <w:rPr>
          <w:lang w:bidi="bn-BD"/>
        </w:rPr>
        <w:t>value. This</w:t>
      </w:r>
      <w:r>
        <w:rPr>
          <w:lang w:bidi="bn-BD"/>
        </w:rPr>
        <w:t xml:space="preserve">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It is one of the most important commercial fruit c</w:t>
      </w:r>
      <w:r w:rsidR="008F3132">
        <w:rPr>
          <w:lang w:bidi="bn-BD"/>
        </w:rPr>
        <w:t xml:space="preserve">rops in the world. According to </w:t>
      </w:r>
      <w:r w:rsidR="00DC5B4B">
        <w:rPr>
          <w:rStyle w:val="FootnoteReference"/>
          <w:b/>
          <w:lang w:bidi="bn-BD"/>
        </w:rPr>
        <w:fldChar w:fldCharType="begin" w:fldLock="1"/>
      </w:r>
      <w:r w:rsidR="00D73F72">
        <w:rPr>
          <w:lang w:bidi="bn-BD"/>
        </w:rPr>
        <w:instrText>ADDIN CSL_CITATION {"citationItems":[{"id":"ITEM-1","itemData":{"DOI":"10.11648/j.aff.20170605.15","ISSN":"2328-563X","author":[{"dropping-particle":"","family":"Hossain","given":"Farid","non-dropping-particle":"","parse-names":false,"suffix":""},{"dropping-particle":"","family":"Islam","given":"Anwarul","non-dropping-particle":"","parse-names":false,"suffix":""}],"id":"ITEM-1","issue":"5","issued":{"date-parts":[["2017"]]},"page":"173-177","title":"Pineapple Production Status in Bangladesh","type":"article-journal","volume":"6"},"locator":"1","uris":["http://www.mendeley.com/documents/?uuid=eeed5149-eb8b-43dd-a3a6-2d87d3bf0c93"]}],"mendeley":{"formattedCitation":"(Hossain &amp; Islam, 2017, p. 1)","manualFormatting":"Hossain and Islam (2017)","plainTextFormattedCitation":"(Hossain &amp; Islam, 2017, p. 1)","previouslyFormattedCitation":"(Hossain and Islam, 2017, p. 1)"},"properties":{"noteIndex":0},"schema":"https://github.com/citation-style-language/schema/raw/master/csl-citation.json"}</w:instrText>
      </w:r>
      <w:r w:rsidR="00DC5B4B">
        <w:rPr>
          <w:rStyle w:val="FootnoteReference"/>
          <w:b/>
          <w:lang w:bidi="bn-BD"/>
        </w:rPr>
        <w:fldChar w:fldCharType="separate"/>
      </w:r>
      <w:r w:rsidR="00DC5B4B">
        <w:rPr>
          <w:b/>
          <w:noProof/>
          <w:lang w:bidi="bn-BD"/>
        </w:rPr>
        <w:t>Hossain and Islam (2017)</w:t>
      </w:r>
      <w:r w:rsidR="00DC5B4B">
        <w:rPr>
          <w:rStyle w:val="FootnoteReference"/>
          <w:b/>
          <w:lang w:bidi="bn-BD"/>
        </w:rPr>
        <w:fldChar w:fldCharType="end"/>
      </w:r>
      <w:r w:rsidR="00E4274F">
        <w:rPr>
          <w:b/>
          <w:lang w:bidi="bn-BD"/>
        </w:rPr>
        <w:t>,</w:t>
      </w:r>
      <w:r w:rsidR="00E4274F">
        <w:rPr>
          <w:lang w:bidi="bn-BD"/>
        </w:rPr>
        <w:t xml:space="preserve"> “</w:t>
      </w:r>
      <w:r>
        <w:rPr>
          <w:lang w:bidi="bn-BD"/>
        </w:rPr>
        <w:t>Thailand is the largest producer of pineapple, accounting for 13% of global output, followed by Brazil and Costa Rica</w:t>
      </w:r>
      <w:r w:rsidR="00E4274F">
        <w:rPr>
          <w:lang w:bidi="bn-BD"/>
        </w:rPr>
        <w:t>”</w:t>
      </w:r>
      <w:r w:rsidR="008B2B98">
        <w:rPr>
          <w:lang w:bidi="bn-BD"/>
        </w:rPr>
        <w:t xml:space="preserve"> (p. 1)</w:t>
      </w:r>
      <w:r>
        <w:rPr>
          <w:lang w:bidi="bn-BD"/>
        </w:rPr>
        <w:t>.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 xml:space="preserve">Pineapple juice is commonly preserved by </w:t>
      </w:r>
      <w:r w:rsidR="0044323B">
        <w:rPr>
          <w:lang w:bidi="bn-BD"/>
        </w:rPr>
        <w:t xml:space="preserve">pasteurization, a </w:t>
      </w:r>
      <w:r>
        <w:rPr>
          <w:lang w:bidi="bn-BD"/>
        </w:rPr>
        <w:t>thermal treatment</w:t>
      </w:r>
      <w:r w:rsidR="0044323B">
        <w:rPr>
          <w:lang w:bidi="bn-BD"/>
        </w:rPr>
        <w:t>,</w:t>
      </w:r>
      <w:r>
        <w:rPr>
          <w:lang w:bidi="bn-BD"/>
        </w:rPr>
        <w:t xml:space="preserve"> for inactivating microorganisms and enzymes which reduces nutritional and flavor quality and produces u</w:t>
      </w:r>
      <w:r w:rsidR="0044323B">
        <w:rPr>
          <w:lang w:bidi="bn-BD"/>
        </w:rPr>
        <w:t xml:space="preserve">ndesirable off-flavor compounds </w:t>
      </w:r>
      <w:r w:rsidR="00DC5B4B">
        <w:rPr>
          <w:rStyle w:val="FootnoteReference"/>
          <w:lang w:bidi="bn-BD"/>
        </w:rPr>
        <w:fldChar w:fldCharType="begin" w:fldLock="1"/>
      </w:r>
      <w:r w:rsidR="00D73F72">
        <w:rPr>
          <w:lang w:bidi="bn-BD"/>
        </w:rPr>
        <w:instrText>ADDIN CSL_CITATION {"citationItems":[{"id":"ITEM-1","itemData":{"DOI":"10.1080/87559129.2014.883632","ISBN":"0260-8774","ISSN":"15256103","PMID":"20043183793","abstract":"Pineapple processing plays an important role in juice preservation. Because the quality of the pineapple juice is affected by the processing technology applied, the effects of pasteurization and other preservation methods on the overall juice quality were discussed. During juice processing, microorganisms are destroyed and chemical changes occur. To optimize processing conditions, knowledge of the kinetics of these reactions is needed, but as of yet, data on the degradation of the amino acids and vitamin C and the change in sugar contents during pineapple juice pasteurization are scanty. Furthermore, the kinetics of hydroxymethylfurfural production should be investigated by a precise technique such as high-performance liquid chromatography.","author":[{"dropping-particle":"","family":"Hounhouigan","given":"Menouwesso H.","non-dropping-particle":"","parse-names":false,"suffix":""},{"dropping-particle":"","family":"Linnemann","given":"Anita R.","non-dropping-particle":"","parse-names":false,"suffix":""},{"dropping-particle":"","family":"Soumanou","given":"Mohamed M.","non-dropping-particle":"","parse-names":false,"suffix":""},{"dropping-particle":"","family":"Boekel","given":"Martinus A.J.S.","non-dropping-particle":"Van","parse-names":false,"suffix":""}],"container-title":"Food Reviews International","id":"ITEM-1","issue":"2","issued":{"date-parts":[["2014"]]},"page":"112-133","title":"Effect of Processing on the Quality of Pineapple Juice","type":"article-journal","volume":"30"},"uris":["http://www.mendeley.com/documents/?uuid=1745d899-3172-4532-8908-0395f2244b16"]}],"mendeley":{"formattedCitation":"(Hounhouigan, Linnemann, Soumanou, &amp; Van Boekel, 2014)","plainTextFormattedCitation":"(Hounhouigan, Linnemann, Soumanou, &amp; Van Boekel, 2014)","previouslyFormattedCitation":"(Hounhouigan &lt;i&gt;et al.&lt;/i&gt;, 2014)"},"properties":{"noteIndex":0},"schema":"https://github.com/citation-style-language/schema/raw/master/csl-citation.json"}</w:instrText>
      </w:r>
      <w:r w:rsidR="00DC5B4B">
        <w:rPr>
          <w:rStyle w:val="FootnoteReference"/>
          <w:lang w:bidi="bn-BD"/>
        </w:rPr>
        <w:fldChar w:fldCharType="separate"/>
      </w:r>
      <w:r w:rsidR="00D73F72" w:rsidRPr="00D73F72">
        <w:rPr>
          <w:bCs/>
          <w:noProof/>
          <w:lang w:bidi="bn-BD"/>
        </w:rPr>
        <w:t>(Hounhouigan, Linnemann, Soumanou, &amp; Van Boekel, 2014)</w:t>
      </w:r>
      <w:r w:rsidR="00DC5B4B">
        <w:rPr>
          <w:rStyle w:val="FootnoteReference"/>
          <w:lang w:bidi="bn-BD"/>
        </w:rPr>
        <w:fldChar w:fldCharType="end"/>
      </w:r>
      <w:r>
        <w:rPr>
          <w:lang w:bidi="bn-BD"/>
        </w:rPr>
        <w:t>. Besides different preservatives are also used for the preservation of pineapple juice which cause</w:t>
      </w:r>
      <w:r w:rsidR="00DC5B4B">
        <w:rPr>
          <w:lang w:bidi="bn-BD"/>
        </w:rPr>
        <w:t xml:space="preserve"> off-flavor and health problem </w:t>
      </w:r>
      <w:r w:rsidR="00DC5B4B">
        <w:rPr>
          <w:rStyle w:val="FootnoteReference"/>
          <w:lang w:bidi="bn-BD"/>
        </w:rPr>
        <w:fldChar w:fldCharType="begin" w:fldLock="1"/>
      </w:r>
      <w:r w:rsidR="00D73F72">
        <w:rPr>
          <w:lang w:bidi="bn-BD"/>
        </w:rPr>
        <w:instrText>ADDIN CSL_CITATION {"citationItems":[{"id":"ITEM-1","itemData":{"abstract":"MATERIALS AND METHODS The influence of potassium sorbate, sodium benzoate, sulfur dioxide (S0 2) and temperature on biomass and patulin produc-tion by Byssochlamys nivea in grape juice was investigated. Growth of B. nivea was monitored over a 25-d incubation period at 21, 30 and 37°C. Approximately 2,500 mg (dry weight) of biomass per 100 ml of juice was obtained in controls at 30 and 37°C; significantly lower amounts were observed at 21°C. Based on concentration, S0 2 had the most significant ef-fect on reducing biomass production followed by potassium sor-bate and sodium benzoate, respectively. Patulin was produced in the highest concentrations (10 mg/100 ml) at 21°C after 20 d of incubation. Production was less at 30 and 37°C, with a fairly rapid decrease after reaching a maximum concentration. As in the biomass study, S0 2 had the most significant influence on inhibiting patulin production followed by potassium sorbate and sodium benzoate. The genus Byssochlamys is comprised of two species, B. nivea and B. fulva (9). Both species have been iden-tified as spoilage organisms in processed fruit products due to outgrowth of heat resistant ascospores after ther-mal processing (5,12,14).","author":[{"dropping-particle":"","family":"Roland","given":"J O","non-dropping-particle":"","parse-names":false,"suffix":""},{"dropping-particle":"","family":"Beuchat","given":"L R","non-dropping-particle":"","parse-names":false,"suffix":""},{"dropping-particle":"","family":"Worthington","given":"R E","non-dropping-particle":"","parse-names":false,"suffix":""},{"dropping-particle":"","family":"Hitchcock","given":"H L","non-dropping-particle":"","parse-names":false,"suffix":""}],"container-title":"Journal of Food Protection","id":"ITEM-1","issue":"3","issued":{"date-parts":[["1984"]]},"page":"237-241","title":"Effects of Sorbate, Benzoate, Sulfur Dioxide and Temperature on Growth and Patulin Production by Byssochlamys nivea in Grape Juice","type":"article-journal","volume":"47"},"uris":["http://www.mendeley.com/documents/?uuid=d5655ac4-14cd-4818-9a85-32397d6c5db8"]}],"mendeley":{"formattedCitation":"(Roland, Beuchat, Worthington, &amp; Hitchcock, 1984)","plainTextFormattedCitation":"(Roland, Beuchat, Worthington, &amp; Hitchcock, 1984)","previouslyFormattedCitation":"(Roland &lt;i&gt;et al.&lt;/i&gt;, 1984)"},"properties":{"noteIndex":0},"schema":"https://github.com/citation-style-language/schema/raw/master/csl-citation.json"}</w:instrText>
      </w:r>
      <w:r w:rsidR="00DC5B4B">
        <w:rPr>
          <w:rStyle w:val="FootnoteReference"/>
          <w:lang w:bidi="bn-BD"/>
        </w:rPr>
        <w:fldChar w:fldCharType="separate"/>
      </w:r>
      <w:r w:rsidR="00D73F72" w:rsidRPr="00D73F72">
        <w:rPr>
          <w:bCs/>
          <w:noProof/>
          <w:lang w:bidi="bn-BD"/>
        </w:rPr>
        <w:t>(Roland, Beuchat, Worthington, &amp; Hitchcock, 1984)</w:t>
      </w:r>
      <w:r w:rsidR="00DC5B4B">
        <w:rPr>
          <w:rStyle w:val="FootnoteReference"/>
          <w:lang w:bidi="bn-BD"/>
        </w:rPr>
        <w:fldChar w:fldCharType="end"/>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w:t>
      </w:r>
      <w:r w:rsidR="00DC5B4B">
        <w:rPr>
          <w:lang w:bidi="bn-BD"/>
        </w:rPr>
        <w:t xml:space="preserve">he fresh like qualities of food </w:t>
      </w:r>
      <w:r w:rsidR="00DC5B4B">
        <w:rPr>
          <w:lang w:bidi="bn-BD"/>
        </w:rPr>
        <w:fldChar w:fldCharType="begin" w:fldLock="1"/>
      </w:r>
      <w:r w:rsidR="00D73F72">
        <w:rPr>
          <w:lang w:bidi="bn-BD"/>
        </w:rPr>
        <w:instrText>ADDIN CSL_CITATION {"citationItems":[{"id":"ITEM-1","itemData":{"DOI":"10.1007/s11947-013-1185-6","ISBN":"1935-5130","ISSN":"19355149","abstract":"This paper investigated the feasibility for pasteurizing raw (100 %) pomegranate juice in a commercial scale pulsed electric field (PEF) processing system. The juice was processed at 35 and 38 kV/cm for 281 μs at 55 °C with a flow rate of 100 L/h. Effect of PEF processing on microbial stability, color, °Brix, pH, sediment, antioxidant activity, total phenolic content, anthocyanin, and sensory properties after the treatments and during storage at 4 °C for 12 weeks were studied and compared to those of thermally processed juice. PEF treatments significantly (p &lt; 0.05) inhibited the growth of total aerobic bacteria, which remained at &lt;2.5 log colony-forming units (CFU)/ml during the 12-week storage. No yeast and mold were detected (&lt;0.69 log CFU/ml) in the PEF-treated juices during storage up to weeks 10 and 12, which is similar to the thermally processed juice. There were no significant differences in pH and °Brix values between the PEF processed juice and unprocessed juice. PEF processing did not alter the contents of total phenolics and anthocyanin as compared to unprocessed juice. PEF processing had significantly (p &lt; 0.05) less impact on the color of pomegranate juice than thermal processing. PEF-treated juice had the same consumer satisfaction scores as the unprocessed juice, which were significantly (p &lt; 0.05) higher than thermally processed juice samples. There was no significant difference between the two PEF treatments in all results. This study demonstrated that PEF technology extended microbial shelf-life and preserved the major quality and nutritional characteristics of pomegranate juice, and hence, is technically feasible for commercialization in the juice industry. © 2013 Springer Science+Business Media New York (outside the USA).","author":[{"dropping-particle":"","family":"Guo","given":"Mingming","non-dropping-particle":"","parse-names":false,"suffix":""},{"dropping-particle":"","family":"Jin","given":"Tony Z.","non-dropping-particle":"","parse-names":false,"suffix":""},{"dropping-particle":"","family":"Geveke","given":"David J.","non-dropping-particle":"","parse-names":false,"suffix":""},{"dropping-particle":"","family":"Fan","given":"Xuetong","non-dropping-particle":"","parse-names":false,"suffix":""},{"dropping-particle":"","family":"Sites","given":"Joseph E.","non-dropping-particle":"","parse-names":false,"suffix":""},{"dropping-particle":"","family":"Wang","given":"Luxin","non-dropping-particle":"","parse-names":false,"suffix":""}],"container-title":"Food and Bioprocess Technology","id":"ITEM-1","issue":"7","issued":{"date-parts":[["2014"]]},"page":"2112-2120","title":"Evaluation of Microbial Stability, Bioactive Compounds, Physicochemical Properties, and Consumer Acceptance of Pomegranate Juice Processed in a Commercial Scale Pulsed Electric Field System","type":"article-journal","volume":"7"},"uris":["http://www.mendeley.com/documents/?uuid=c3d1e4c9-1520-427c-b801-2ced6c8b302b"]}],"mendeley":{"formattedCitation":"(Guo et al., 2014)","plainTextFormattedCitation":"(Guo et al., 2014)","previouslyFormattedCitation":"(Guo &lt;i&gt;et al.&lt;/i&gt;, 2014)"},"properties":{"noteIndex":0},"schema":"https://github.com/citation-style-language/schema/raw/master/csl-citation.json"}</w:instrText>
      </w:r>
      <w:r w:rsidR="00DC5B4B">
        <w:rPr>
          <w:lang w:bidi="bn-BD"/>
        </w:rPr>
        <w:fldChar w:fldCharType="separate"/>
      </w:r>
      <w:r w:rsidR="003D086A" w:rsidRPr="00D73F72">
        <w:rPr>
          <w:noProof/>
          <w:lang w:bidi="bn-BD"/>
        </w:rPr>
        <w:t>(Guo et al., 2014)</w:t>
      </w:r>
      <w:r w:rsidR="00DC5B4B">
        <w:rPr>
          <w:lang w:bidi="bn-BD"/>
        </w:rPr>
        <w:fldChar w:fldCharType="end"/>
      </w:r>
      <w:r w:rsidR="00DC5B4B">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w:t>
      </w:r>
      <w:r w:rsidR="00DC5B4B">
        <w:rPr>
          <w:lang w:bidi="bn-BD"/>
        </w:rPr>
        <w:t xml:space="preserve">nd physical properties of food </w:t>
      </w:r>
      <w:r w:rsidR="00DC5B4B">
        <w:rPr>
          <w:lang w:bidi="bn-BD"/>
        </w:rPr>
        <w:fldChar w:fldCharType="begin" w:fldLock="1"/>
      </w:r>
      <w:r w:rsidR="00D73F72">
        <w:rPr>
          <w:lang w:bidi="bn-BD"/>
        </w:rPr>
        <w:instrText>ADDIN CSL_CITATION {"citationItems":[{"id":"ITEM-1","itemData":{"DOI":"10.5772/48678","ISBN":"9789533070865","ISSN":"07338716 (ISSN)","PMID":"100220790","abstract":"This paper considers transmit optimization in multi-input multi-output (MIMO) wiretap channels, wherein we aim at maximizing the secrecy capacity or rate of an MIMO channel overheard by one or multiple eavesdroppers. Such optimization problems are nonconvex, and appear to be difficult especially in the multi-eavesdropper scenario. In this paper, we propose an alternating optimization (AO) approach to tackle these secrecy optimization problems. We first consider the secrecy capacity maximization (SCM) problem in the single eavesdropper scenario. An AO algorithm is derived through a judicious SCM reformulation. The algorithm conducts some kind of reweighting and water-filling in an alternating fashion, and thus is computationally efficient to implement. We also prove that the AO algorithm is guaranteed to converge to a Karush-Kuhn-Tucker (KKT) point of the SCM problem. Then, we turn our attention to the multiple eavesdropper scenario, where the artificial noise (AN)-aided secrecy rate maximization (SRM) problem is considered. Although the AN-aided SRM problem has a more complex problem structure than the previous SCM, we show that AO can be extended to deal with the former, wherein the problem is handled by solving convex problems in an alternating fashion. Again, the resulting AO method is proven to have KKT point convergence guarantee. For fast implementation, a custom-designed AO algorithm based on smoothing and projected gradient is also derived. The secrecy rate performance and computational efficiency of the proposed algorithms are demonstrated by simulations. © 1983-2012 IEEE.","author":[{"dropping-particle":"","family":"E.A.","given":"Maged","non-dropping-particle":"","parse-names":false,"suffix":""},{"dropping-particle":"","family":"Amer Eiss","given":"Ayman H.","non-dropping-particle":"","parse-names":false,"suffix":""}],"container-title":"Structure and Function of Food Engineering","id":"ITEM-1","issued":{"date-parts":[["2012"]]},"title":"Pulsed Electric Fields for Food Processing Technology","type":"article-journal"},"uris":["http://www.mendeley.com/documents/?uuid=bb52efc9-e903-4e42-8857-997d322efc93"]}],"mendeley":{"formattedCitation":"(E.A. &amp; Amer Eiss, 2012)","plainTextFormattedCitation":"(E.A. &amp; Amer Eiss, 2012)","previouslyFormattedCitation":"(E.A. and Amer Eiss, 2012)"},"properties":{"noteIndex":0},"schema":"https://github.com/citation-style-language/schema/raw/master/csl-citation.json"}</w:instrText>
      </w:r>
      <w:r w:rsidR="00DC5B4B">
        <w:rPr>
          <w:lang w:bidi="bn-BD"/>
        </w:rPr>
        <w:fldChar w:fldCharType="separate"/>
      </w:r>
      <w:r w:rsidR="00D73F72" w:rsidRPr="00D73F72">
        <w:rPr>
          <w:noProof/>
          <w:lang w:bidi="bn-BD"/>
        </w:rPr>
        <w:t>(E.A. &amp; Amer Eiss, 2012)</w:t>
      </w:r>
      <w:r w:rsidR="00DC5B4B">
        <w:rPr>
          <w:lang w:bidi="bn-BD"/>
        </w:rPr>
        <w:fldChar w:fldCharType="end"/>
      </w:r>
      <w:r w:rsidR="00DC5B4B">
        <w:rPr>
          <w:lang w:bidi="bn-BD"/>
        </w:rPr>
        <w:t xml:space="preserve">. </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4875"/>
                    </a:xfrm>
                    <a:prstGeom prst="rect">
                      <a:avLst/>
                    </a:prstGeom>
                    <a:noFill/>
                    <a:ln>
                      <a:noFill/>
                    </a:ln>
                  </pic:spPr>
                </pic:pic>
              </a:graphicData>
            </a:graphic>
          </wp:inline>
        </w:drawing>
      </w:r>
    </w:p>
    <w:p w:rsidR="00113905" w:rsidRPr="00DC5B4B" w:rsidRDefault="00DC5B4B" w:rsidP="00113905">
      <w:pPr>
        <w:rPr>
          <w:b/>
        </w:rPr>
      </w:pPr>
      <w:r w:rsidRPr="00DC5B4B">
        <w:rPr>
          <w:b/>
        </w:rPr>
        <w:t>Pulse electric field phenomenon</w:t>
      </w:r>
    </w:p>
    <w:p w:rsidR="00EC5774" w:rsidRPr="00EC5774" w:rsidRDefault="00EC5774" w:rsidP="00EC5774">
      <w:pPr>
        <w:rPr>
          <w:sz w:val="24"/>
          <w:szCs w:val="24"/>
        </w:rPr>
      </w:pPr>
      <w:r w:rsidRPr="00EC5774">
        <w:rPr>
          <w:sz w:val="24"/>
          <w:szCs w:val="24"/>
        </w:rPr>
        <w:t>When an electric field is applied in a biological membrane, the conductivity and permeability of the membrane rapidly increases, the process is known as electroporation. Electroporation technology enhances the transesterification process, producing pores in the microbial cells by exposing the substrate to electrical fields.  Thus applying high electric field on a transmembrane its potential increases because of the additional free charges that accumulate at both membrane surfaces. These charges are opposite and attract each other, resulting in membrane compression. On the other hand, viscoelastic forces oppose the electro-compression of the membrane. However when the transmembrane potential reaches approximately 1V, the electrocompressive forces exceed the viscoelastic properties of the membrane and membrane breakdown occur. The number and size of the pores depend on the electric field strength and treatment time. The electric field intensity at which the pore occurs is called the threshold or critical electric field.</w:t>
      </w:r>
    </w:p>
    <w:p w:rsidR="00113905" w:rsidRPr="00EC5774" w:rsidRDefault="00EC5774" w:rsidP="00EC5774">
      <w:pPr>
        <w:rPr>
          <w:b/>
          <w:sz w:val="24"/>
          <w:szCs w:val="24"/>
        </w:rPr>
      </w:pPr>
      <w:r w:rsidRPr="00EC5774">
        <w:rPr>
          <w:sz w:val="24"/>
          <w:szCs w:val="24"/>
        </w:rPr>
        <w:t>The applied electric field must be higher than the critical electric field for the formation of pore.</w:t>
      </w:r>
      <w:r w:rsidR="00113905">
        <w:rPr>
          <w:sz w:val="24"/>
          <w:szCs w:val="24"/>
        </w:rPr>
        <w:t xml:space="preserve">There are four typical range of electroporation can be occurred depending on the </w:t>
      </w:r>
      <w:r w:rsidR="00113905">
        <w:rPr>
          <w:sz w:val="24"/>
          <w:szCs w:val="24"/>
        </w:rPr>
        <w:lastRenderedPageBreak/>
        <w:t xml:space="preserve">applied factor and each range has typical pore properties. Before attaining a certain electric field there will no detectable electroporation means no pore will formed </w:t>
      </w:r>
      <w:r w:rsidR="00113905" w:rsidRPr="009E776C">
        <w:rPr>
          <w:sz w:val="24"/>
          <w:szCs w:val="24"/>
        </w:rPr>
        <w:t>even if formed, are too small and short-lived for measurable transport</w:t>
      </w:r>
      <w:r w:rsidR="00113905">
        <w:rPr>
          <w:sz w:val="24"/>
          <w:szCs w:val="24"/>
        </w:rPr>
        <w:t xml:space="preserve">. </w:t>
      </w:r>
      <w:r w:rsidR="00113905" w:rsidRPr="00EC5774">
        <w:rPr>
          <w:b/>
          <w:sz w:val="24"/>
          <w:szCs w:val="24"/>
        </w:rPr>
        <w:t xml:space="preserve">The next range is reversible electroporation where a temporary pathway is provided by the pore which after the electric pulse will gradually reseal. After applying larger electric field or more exposure time the irreversible electroporation range is occurred. Here most pores either do not reseal, or reseal too slowly to preserve cell viability. Cells thus gradually disintegrate and release their con-tents. Irreversible electroporation are two types, first is </w:t>
      </w:r>
      <w:r w:rsidRPr="00EC5774">
        <w:rPr>
          <w:b/>
          <w:sz w:val="24"/>
          <w:szCs w:val="24"/>
        </w:rPr>
        <w:t>thermally</w:t>
      </w:r>
      <w:r w:rsidR="00113905" w:rsidRPr="00EC5774">
        <w:rPr>
          <w:b/>
          <w:sz w:val="24"/>
          <w:szCs w:val="24"/>
        </w:rPr>
        <w:t xml:space="preserve"> not damaged and the second is thermally damaged. For thermally damaged electroporation it needs largest electric field or longest exposure time. The electric current causes the sufficient temperature rises to </w:t>
      </w:r>
      <w:r w:rsidRPr="00EC5774">
        <w:rPr>
          <w:b/>
          <w:sz w:val="24"/>
          <w:szCs w:val="24"/>
        </w:rPr>
        <w:t>damage the</w:t>
      </w:r>
      <w:r w:rsidR="00113905" w:rsidRPr="00EC5774">
        <w:rPr>
          <w:b/>
          <w:sz w:val="24"/>
          <w:szCs w:val="24"/>
        </w:rPr>
        <w:t xml:space="preserve"> cell </w:t>
      </w:r>
      <w:r w:rsidRPr="00EC5774">
        <w:rPr>
          <w:b/>
          <w:sz w:val="24"/>
          <w:szCs w:val="24"/>
        </w:rPr>
        <w:t>contents (</w:t>
      </w:r>
      <w:r w:rsidR="00113905" w:rsidRPr="00EC5774">
        <w:rPr>
          <w:b/>
          <w:sz w:val="24"/>
          <w:szCs w:val="24"/>
        </w:rPr>
        <w:t xml:space="preserve">protein denaturation above </w:t>
      </w:r>
      <w:r w:rsidRPr="00EC5774">
        <w:rPr>
          <w:b/>
          <w:sz w:val="24"/>
          <w:szCs w:val="24"/>
        </w:rPr>
        <w:t>50 º</w:t>
      </w:r>
      <w:r w:rsidR="00113905" w:rsidRPr="00EC5774">
        <w:rPr>
          <w:b/>
          <w:sz w:val="24"/>
          <w:szCs w:val="24"/>
        </w:rPr>
        <w:t xml:space="preserve">C, DNA melting above </w:t>
      </w:r>
      <w:r w:rsidRPr="00EC5774">
        <w:rPr>
          <w:b/>
          <w:sz w:val="24"/>
          <w:szCs w:val="24"/>
        </w:rPr>
        <w:t>70 º</w:t>
      </w:r>
      <w:r w:rsidR="00113905" w:rsidRPr="00EC5774">
        <w:rPr>
          <w:b/>
          <w:sz w:val="24"/>
          <w:szCs w:val="24"/>
        </w:rPr>
        <w:t xml:space="preserve">C). </w:t>
      </w:r>
      <w:r>
        <w:rPr>
          <w:b/>
          <w:sz w:val="24"/>
          <w:szCs w:val="24"/>
        </w:rPr>
        <w:t xml:space="preserve"> // </w:t>
      </w:r>
      <w:r w:rsidRPr="00EC5774">
        <w:rPr>
          <w:b/>
          <w:i/>
          <w:sz w:val="24"/>
          <w:szCs w:val="24"/>
          <w:u w:val="single"/>
        </w:rPr>
        <w:t>redundant</w:t>
      </w:r>
    </w:p>
    <w:p w:rsidR="00113905" w:rsidRPr="00847F8D"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even if formed, are too small and short-lived for measurable transport</w:t>
      </w:r>
      <w:r>
        <w:rPr>
          <w:sz w:val="24"/>
          <w:szCs w:val="24"/>
        </w:rPr>
        <w:t xml:space="preserve">. The next range is reversible electroporation where a temporary pathway is provided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xml:space="preserve">. Irreversible electroporation are two types, first is </w:t>
      </w:r>
      <w:r w:rsidR="00EC5774">
        <w:rPr>
          <w:sz w:val="24"/>
          <w:szCs w:val="24"/>
        </w:rPr>
        <w:t>thermally</w:t>
      </w:r>
      <w:r>
        <w:rPr>
          <w:sz w:val="24"/>
          <w:szCs w:val="24"/>
        </w:rPr>
        <w:t xml:space="preserve">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sidR="00EC5774">
        <w:rPr>
          <w:sz w:val="24"/>
          <w:szCs w:val="24"/>
        </w:rPr>
        <w:t>damage the</w:t>
      </w:r>
      <w:r>
        <w:rPr>
          <w:sz w:val="24"/>
          <w:szCs w:val="24"/>
        </w:rPr>
        <w:t xml:space="preserve"> cell </w:t>
      </w:r>
      <w:r w:rsidR="00EC5774">
        <w:rPr>
          <w:sz w:val="24"/>
          <w:szCs w:val="24"/>
        </w:rPr>
        <w:t>contents</w:t>
      </w:r>
      <w:r w:rsidR="00EC5774" w:rsidRPr="00D71477">
        <w:rPr>
          <w:sz w:val="24"/>
          <w:szCs w:val="24"/>
        </w:rPr>
        <w:t xml:space="preserve"> (</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113905" w:rsidRDefault="00113905" w:rsidP="00113905">
      <w:pPr>
        <w:rPr>
          <w:sz w:val="24"/>
          <w:szCs w:val="24"/>
        </w:rPr>
      </w:pPr>
      <w:r w:rsidRPr="008B08F8">
        <w:rPr>
          <w:sz w:val="24"/>
          <w:szCs w:val="24"/>
        </w:rPr>
        <w:t>The range boundaries depend on the cell type and are affected by the properties of the medium in which the cells are exposed – its electrical conductivity, osmolarity, and the solutes it contains. As the exposure duration (i.e., electric pulse length) increases, the transitions between adjacent regions occur at lower fields.</w:t>
      </w:r>
      <w:r>
        <w:rPr>
          <w:sz w:val="24"/>
          <w:szCs w:val="24"/>
        </w:rPr>
        <w:t xml:space="preserve"> </w:t>
      </w:r>
      <w:r>
        <w:rPr>
          <w:rStyle w:val="Emphasis"/>
          <w:sz w:val="24"/>
          <w:szCs w:val="24"/>
        </w:rPr>
        <w:t xml:space="preserve">From the figure-2 it can be </w:t>
      </w:r>
      <w:r>
        <w:rPr>
          <w:rStyle w:val="Emphasis"/>
          <w:sz w:val="24"/>
          <w:szCs w:val="24"/>
        </w:rPr>
        <w:lastRenderedPageBreak/>
        <w:t xml:space="preserve">seen that </w:t>
      </w:r>
      <w:r w:rsidR="00EC5774" w:rsidRPr="001225F9">
        <w:rPr>
          <w:sz w:val="24"/>
          <w:szCs w:val="24"/>
        </w:rPr>
        <w:t>the</w:t>
      </w:r>
      <w:r w:rsidRPr="001225F9">
        <w:rPr>
          <w:sz w:val="24"/>
          <w:szCs w:val="24"/>
        </w:rPr>
        <w:t xml:space="preserve"> range of detectable poration, however, has an asymptotic lower bound – below a certain field strength, no transmembrane transport is detected no matter how long the applied pulses</w:t>
      </w:r>
      <w:r>
        <w:rPr>
          <w:sz w:val="24"/>
          <w:szCs w:val="24"/>
        </w:rPr>
        <w:t>.</w:t>
      </w:r>
    </w:p>
    <w:p w:rsidR="00113905" w:rsidRDefault="00113905" w:rsidP="00113905">
      <w:pPr>
        <w:rPr>
          <w:sz w:val="24"/>
          <w:szCs w:val="24"/>
        </w:rPr>
      </w:pPr>
    </w:p>
    <w:p w:rsidR="00113905" w:rsidRDefault="00113905" w:rsidP="00113905">
      <w:pPr>
        <w:jc w:val="center"/>
        <w:rPr>
          <w:rStyle w:val="Emphasis"/>
          <w:i w:val="0"/>
          <w:iCs w:val="0"/>
          <w:sz w:val="24"/>
          <w:szCs w:val="24"/>
        </w:rPr>
      </w:pPr>
      <w:r>
        <w:rPr>
          <w:noProof/>
          <w:sz w:val="24"/>
          <w:szCs w:val="24"/>
        </w:rPr>
        <w:drawing>
          <wp:inline distT="0" distB="0" distL="0" distR="0">
            <wp:extent cx="2922933" cy="2939228"/>
            <wp:effectExtent l="19050" t="0" r="0" b="0"/>
            <wp:docPr id="8" name="Picture 0" descr="1 e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elec.JPG"/>
                    <pic:cNvPicPr/>
                  </pic:nvPicPr>
                  <pic:blipFill>
                    <a:blip r:embed="rId11"/>
                    <a:stretch>
                      <a:fillRect/>
                    </a:stretch>
                  </pic:blipFill>
                  <pic:spPr>
                    <a:xfrm>
                      <a:off x="0" y="0"/>
                      <a:ext cx="2926907" cy="2943225"/>
                    </a:xfrm>
                    <a:prstGeom prst="rect">
                      <a:avLst/>
                    </a:prstGeom>
                  </pic:spPr>
                </pic:pic>
              </a:graphicData>
            </a:graphic>
          </wp:inline>
        </w:drawing>
      </w:r>
      <w:r>
        <w:rPr>
          <w:noProof/>
          <w:sz w:val="24"/>
          <w:szCs w:val="24"/>
        </w:rPr>
        <w:drawing>
          <wp:inline distT="0" distB="0" distL="0" distR="0">
            <wp:extent cx="2403201" cy="2936980"/>
            <wp:effectExtent l="19050" t="0" r="0" b="0"/>
            <wp:docPr id="4" name="Picture 1" descr="b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thes.JPG"/>
                    <pic:cNvPicPr/>
                  </pic:nvPicPr>
                  <pic:blipFill>
                    <a:blip r:embed="rId12"/>
                    <a:stretch>
                      <a:fillRect/>
                    </a:stretch>
                  </pic:blipFill>
                  <pic:spPr>
                    <a:xfrm>
                      <a:off x="0" y="0"/>
                      <a:ext cx="2408311" cy="2943225"/>
                    </a:xfrm>
                    <a:prstGeom prst="rect">
                      <a:avLst/>
                    </a:prstGeom>
                  </pic:spPr>
                </pic:pic>
              </a:graphicData>
            </a:graphic>
          </wp:inline>
        </w:drawing>
      </w:r>
      <w:r>
        <w:rPr>
          <w:noProof/>
          <w:sz w:val="24"/>
          <w:szCs w:val="24"/>
        </w:rPr>
        <w:drawing>
          <wp:inline distT="0" distB="0" distL="0" distR="0">
            <wp:extent cx="3505200" cy="1085850"/>
            <wp:effectExtent l="19050" t="0" r="0" b="0"/>
            <wp:docPr id="9" name="Picture 2" descr="c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thes.JPG"/>
                    <pic:cNvPicPr/>
                  </pic:nvPicPr>
                  <pic:blipFill>
                    <a:blip r:embed="rId13"/>
                    <a:stretch>
                      <a:fillRect/>
                    </a:stretch>
                  </pic:blipFill>
                  <pic:spPr>
                    <a:xfrm>
                      <a:off x="0" y="0"/>
                      <a:ext cx="3505200" cy="1085850"/>
                    </a:xfrm>
                    <a:prstGeom prst="rect">
                      <a:avLst/>
                    </a:prstGeom>
                  </pic:spPr>
                </pic:pic>
              </a:graphicData>
            </a:graphic>
          </wp:inline>
        </w:drawing>
      </w:r>
    </w:p>
    <w:p w:rsidR="00113905" w:rsidRDefault="00113905" w:rsidP="00113905">
      <w:pPr>
        <w:jc w:val="center"/>
        <w:rPr>
          <w:rStyle w:val="Emphasis"/>
          <w:i w:val="0"/>
          <w:iCs w:val="0"/>
          <w:sz w:val="24"/>
          <w:szCs w:val="24"/>
        </w:rPr>
      </w:pPr>
      <w:r>
        <w:rPr>
          <w:rStyle w:val="Emphasis"/>
          <w:sz w:val="24"/>
          <w:szCs w:val="24"/>
        </w:rPr>
        <w:t>Fig-2: Effects of electric field strength and exposure time on range of electroporation.</w:t>
      </w:r>
    </w:p>
    <w:p w:rsidR="00113905" w:rsidRDefault="00BA0E74" w:rsidP="00BA0E74">
      <w:pPr>
        <w:spacing w:line="259" w:lineRule="auto"/>
        <w:jc w:val="left"/>
        <w:rPr>
          <w:lang w:bidi="bn-BD"/>
        </w:rPr>
      </w:pPr>
      <w:r>
        <w:rPr>
          <w:lang w:bidi="bn-BD"/>
        </w:rPr>
        <w:br w:type="page"/>
      </w: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8F3132" w:rsidRPr="00CF1D50" w:rsidRDefault="007D3F53" w:rsidP="008F3132">
      <w:r>
        <w:t>The fruit sample viz. pineapple (</w:t>
      </w:r>
      <w:r w:rsidRPr="007D3F53">
        <w:rPr>
          <w:i/>
          <w:u w:val="single"/>
        </w:rPr>
        <w:t>Ananas</w:t>
      </w:r>
      <w:r>
        <w:rPr>
          <w:i/>
          <w:u w:val="single"/>
        </w:rPr>
        <w:t>comosas</w:t>
      </w:r>
      <w:r w:rsidR="00322894">
        <w:t xml:space="preserve"> L.) </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t>Fresh pineapple</w:t>
      </w:r>
      <w:r>
        <w:t>s</w:t>
      </w:r>
      <w:r w:rsidRPr="00514A9C">
        <w:t xml:space="preserve"> from a local </w:t>
      </w:r>
      <w:r>
        <w:t>super shop named Agora were</w:t>
      </w:r>
      <w:r w:rsidRPr="00514A9C">
        <w:t xml:space="preserve"> used for this process. Then the pineapple</w:t>
      </w:r>
      <w:r>
        <w:t>s</w:t>
      </w:r>
      <w:r w:rsidR="00784888">
        <w:t xml:space="preserve"> </w:t>
      </w:r>
      <w:r>
        <w:t xml:space="preserve">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t>
      </w:r>
      <w:r w:rsidR="00784888">
        <w:t xml:space="preserve"> </w:t>
      </w:r>
      <w:r>
        <w:t>was</w:t>
      </w:r>
      <w:r w:rsidR="00784888">
        <w:t xml:space="preserve"> </w:t>
      </w:r>
      <w:r>
        <w:t>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84888">
        <w:t>1 ms</w:t>
      </w:r>
      <w:r w:rsidR="007D3F53">
        <w:t>. and aseptically packed into 213 g (</w:t>
      </w:r>
      <w:r>
        <w:t xml:space="preserve">6 </w:t>
      </w:r>
      <w:r w:rsidR="00784888">
        <w:t>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6522D" w:rsidRDefault="00F6522D" w:rsidP="00FA6778">
      <w:pPr>
        <w:rPr>
          <w:b/>
        </w:rPr>
      </w:pPr>
    </w:p>
    <w:p w:rsidR="00FA6778" w:rsidRDefault="00FA6778" w:rsidP="00FA6778">
      <w:r w:rsidRPr="00FA6778">
        <w:rPr>
          <w:b/>
        </w:rPr>
        <w:t>Sample Extraction</w:t>
      </w:r>
    </w:p>
    <w:p w:rsidR="00FA6778" w:rsidRDefault="00CD6560" w:rsidP="00FA6778">
      <w:r>
        <w:t>The sample</w:t>
      </w:r>
      <w:r w:rsidR="00FA6778">
        <w:t xml:space="preserve"> was centrifuged at 3,000 </w:t>
      </w:r>
      <w:r w:rsidR="008F3132">
        <w:t>rpm (</w:t>
      </w:r>
      <w:r w:rsidR="00FA6778">
        <w:t>Hettich-Zentrifugen, Tuttlingen, Germany) for 15 min.</w:t>
      </w:r>
      <w:r w:rsidR="00784888">
        <w:t xml:space="preserve"> </w:t>
      </w:r>
      <w:r w:rsidR="00FA6778">
        <w:t xml:space="preserve">The </w:t>
      </w:r>
      <w:r w:rsidR="00784888">
        <w:t xml:space="preserve">supernatant </w:t>
      </w:r>
      <w:r>
        <w:t>was</w:t>
      </w:r>
      <w:r w:rsidR="00FA6778">
        <w:t xml:space="preserve"> then stored at −20</w:t>
      </w:r>
      <w:r w:rsidR="00784888">
        <w:t xml:space="preserve"> º</w:t>
      </w:r>
      <w:r w:rsidR="00FA6778">
        <w:t>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lastRenderedPageBreak/>
        <w:t xml:space="preserve"> Total phenolic</w:t>
      </w:r>
      <w:r w:rsidR="00784888">
        <w:t xml:space="preserve"> </w:t>
      </w:r>
      <w:r w:rsidR="00CD6560">
        <w:t>content in the sample extract</w:t>
      </w:r>
      <w:r>
        <w:t xml:space="preserve"> was assessed using the</w:t>
      </w:r>
      <w:r w:rsidR="00BA0E74">
        <w:t xml:space="preserve"> </w:t>
      </w:r>
      <w:r w:rsidR="00CD6560">
        <w:t>Folin–Ciocalteau assay</w:t>
      </w:r>
      <w:r w:rsidR="00BA0E74">
        <w:t xml:space="preserve"> </w:t>
      </w:r>
      <w:r w:rsidR="000A3F75">
        <w:fldChar w:fldCharType="begin" w:fldLock="1"/>
      </w:r>
      <w:r w:rsidR="00D73F72">
        <w:instrText>ADDIN CSL_CITATION {"citationItems":[{"id":"ITEM-1","itemData":{"DOI":"10.1016/j.carbpol.2011.06.030","ISBN":"0002-9254","ISSN":"0002-9254","PMID":"25234151","abstract":"A fully automated-continuous flow 40-sample/ hour procedure was adapted from the Singleton-Rossi method of analysis for total phenols in wine and other plant extracts. It was compared with small-volume manual and semiautomated versions of this analysis. The agreement in mg of gallic acid equivalent phenol (GAE) per liter among a series of dry wines was excellent by all three procedures. The coefficients of variation in replicate analyses averaged 5.8% for the manual, 6.2% for the semi-automated and 2.2% for the automated procedure. This greater reproducibility, plus savings of about 70% in labor and up to 40% in reagents, makes the automated procedure attractive for laboratories doing enough total phenol analyses to recoup the cost of the automating equipment. For continuous flow, color development with the Folin-Ciocalteu reagent in alkaline solution must be hastened by heating compared to slower room temperature development for the manual methods. Heating of sugar-containing samples in the alkaline solution gives interference presumably from endiol formation. Examples are given of corrections which were used successfully to estimate the true phenol content of sweet wines.","author":[{"dropping-particle":"","family":"Slinkard","given":"Karen","non-dropping-particle":"","parse-names":false,"suffix":""},{"dropping-particle":"","family":"Singleton","given":"Vernon","non-dropping-particle":"","parse-names":false,"suffix":""}],"container-title":"Am. J. Enol. Vitic.","id":"ITEM-1","issued":{"date-parts":[["1977"]]},"title":"Total phenol analysis: automation and comparison with manual methods","type":"article-journal"},"uris":["http://www.mendeley.com/documents/?uuid=6c879bb1-83c8-494e-9eaf-0a2ae7d859e3"]}],"mendeley":{"formattedCitation":"(Slinkard &amp; Singleton, 1977)","plainTextFormattedCitation":"(Slinkard &amp; Singleton, 1977)","previouslyFormattedCitation":"(Slinkard and Singleton, 1977)"},"properties":{"noteIndex":0},"schema":"https://github.com/citation-style-language/schema/raw/master/csl-citation.json"}</w:instrText>
      </w:r>
      <w:r w:rsidR="000A3F75">
        <w:fldChar w:fldCharType="separate"/>
      </w:r>
      <w:r w:rsidR="00D73F72" w:rsidRPr="00D73F72">
        <w:rPr>
          <w:noProof/>
        </w:rPr>
        <w:t>(Slinkard &amp; Singleton, 1977)</w:t>
      </w:r>
      <w:r w:rsidR="000A3F75">
        <w:fldChar w:fldCharType="end"/>
      </w:r>
      <w:r>
        <w:t xml:space="preserve"> with</w:t>
      </w:r>
      <w:r w:rsidR="00784888">
        <w:t xml:space="preserve"> </w:t>
      </w:r>
      <w:r>
        <w:t>slight modi</w:t>
      </w:r>
      <w:r w:rsidR="00784888">
        <w:t>fication. For the analysis, 20 µ</w:t>
      </w:r>
      <w:r>
        <w:t xml:space="preserve">L each of </w:t>
      </w:r>
      <w:r w:rsidR="00784888">
        <w:t>extract, Gallic</w:t>
      </w:r>
      <w:r>
        <w:t xml:space="preserve"> acid standard or blank were taken in separate </w:t>
      </w:r>
      <w:r w:rsidR="00784888">
        <w:t>test tubes</w:t>
      </w:r>
      <w:r>
        <w:t xml:space="preserve"> and to each 1.58 mL of distilled w</w:t>
      </w:r>
      <w:r w:rsidR="00784888">
        <w:t>ater was added, followed by 100 µ</w:t>
      </w:r>
      <w:r>
        <w:t xml:space="preserve">L of Folin–Ciocalteau reagent, mixed </w:t>
      </w:r>
      <w:r w:rsidR="00784888">
        <w:t>well and within 8 min, 300 µ</w:t>
      </w:r>
      <w:r>
        <w:t xml:space="preserve">L of sodium carbonate was </w:t>
      </w:r>
      <w:r w:rsidR="00784888">
        <w:t>added. The</w:t>
      </w:r>
      <w:r>
        <w:t xml:space="preserve"> samples were vortexed immediately and the tubes </w:t>
      </w:r>
      <w:r w:rsidR="00784888">
        <w:t>were incubated</w:t>
      </w:r>
      <w:r>
        <w:t xml:space="preserve"> in the dark for 30 min at 40C. The </w:t>
      </w:r>
      <w:r w:rsidR="00784888">
        <w:t>absorbance was</w:t>
      </w:r>
      <w:r>
        <w:t xml:space="preserve"> then measured at 765 nm in a UV-Vis </w:t>
      </w:r>
      <w:r w:rsidR="005E2C70">
        <w:t>spectrophotometer (</w:t>
      </w:r>
      <w:r>
        <w:t xml:space="preserve">Aquarius 7400, Cecil, Cambridge, England). </w:t>
      </w:r>
      <w:r w:rsidR="00784888">
        <w:t>The results</w:t>
      </w:r>
      <w:r>
        <w:t xml:space="preserve"> were expressed in mg </w:t>
      </w:r>
      <w:r w:rsidR="00784888">
        <w:t>Gallic</w:t>
      </w:r>
      <w:r>
        <w:t xml:space="preserve"> acid equivalent (GAE)/100 g.</w:t>
      </w:r>
    </w:p>
    <w:p w:rsidR="00FA6778" w:rsidRPr="00FA6778" w:rsidRDefault="00FA6778" w:rsidP="00FA6778">
      <w:pPr>
        <w:rPr>
          <w:b/>
        </w:rPr>
      </w:pPr>
      <w:r w:rsidRPr="00FA6778">
        <w:rPr>
          <w:b/>
        </w:rPr>
        <w:t>Determination of Total Flavonoid Content</w:t>
      </w:r>
    </w:p>
    <w:p w:rsidR="00FA6778" w:rsidRDefault="00FA6778" w:rsidP="00FA6778">
      <w:r>
        <w:t xml:space="preserve">The </w:t>
      </w:r>
      <w:r w:rsidR="00784888">
        <w:t>flavonoid content</w:t>
      </w:r>
      <w:r>
        <w:t xml:space="preserve"> was determined by aluminum trichloride</w:t>
      </w:r>
      <w:r w:rsidR="00784888">
        <w:t xml:space="preserve"> </w:t>
      </w:r>
      <w:r>
        <w:t xml:space="preserve">method (Chang et al. 2002). Briefly, 0.5 mL of the </w:t>
      </w:r>
      <w:r w:rsidR="00784888">
        <w:t>extract was</w:t>
      </w:r>
      <w:r>
        <w:t xml:space="preserve"> mixed with 1.5 mL of 95% ethanol, 0.1 mL o</w:t>
      </w:r>
      <w:r w:rsidR="00784888">
        <w:t>f 10% aluminum-trichloride (AlCl</w:t>
      </w:r>
      <w:r w:rsidR="00784888">
        <w:softHyphen/>
      </w:r>
      <w:r w:rsidR="00784888">
        <w:rPr>
          <w:vertAlign w:val="subscript"/>
        </w:rPr>
        <w:softHyphen/>
      </w:r>
      <w:r w:rsidR="00784888">
        <w:softHyphen/>
      </w:r>
      <w:r w:rsidR="00784888">
        <w:rPr>
          <w:vertAlign w:val="subscript"/>
        </w:rPr>
        <w:t>3</w:t>
      </w:r>
      <w:r>
        <w:t>), 0.1 mL of 1 M potassium</w:t>
      </w:r>
      <w:r w:rsidR="00784888">
        <w:t>-</w:t>
      </w:r>
      <w:r>
        <w:t xml:space="preserve">acetate, and 2.8 mL of deionized water. After incubation atroom temperature for 40 min, the reaction mixture </w:t>
      </w:r>
      <w:r w:rsidR="00784888">
        <w:t>absorbance was</w:t>
      </w:r>
      <w:r>
        <w:t xml:space="preserve"> measured at 415 nm against deionized </w:t>
      </w:r>
      <w:r w:rsidR="00784888">
        <w:t>water blank</w:t>
      </w:r>
      <w:r>
        <w:t xml:space="preserve"> in a UV-Vis spectrophotometer (</w:t>
      </w:r>
      <w:r w:rsidR="00784888">
        <w:t>Shimadzu 1800</w:t>
      </w:r>
      <w:r>
        <w:t xml:space="preserve">). Results were expressed as quercetin </w:t>
      </w:r>
      <w:r w:rsidR="005E2C70">
        <w:t>equivalent (</w:t>
      </w:r>
      <w:r>
        <w:t>mg</w:t>
      </w:r>
      <w:r w:rsidR="00784888">
        <w:t xml:space="preserve"> </w:t>
      </w:r>
      <w:r>
        <w:t>QE/100 g) of sample.</w:t>
      </w:r>
    </w:p>
    <w:p w:rsidR="00784888" w:rsidRDefault="00784888" w:rsidP="00FA6778"/>
    <w:p w:rsidR="00FA6778" w:rsidRPr="00FA6778" w:rsidRDefault="00FA6778" w:rsidP="00FA6778">
      <w:pPr>
        <w:rPr>
          <w:b/>
        </w:rPr>
      </w:pPr>
      <w:r>
        <w:rPr>
          <w:b/>
        </w:rPr>
        <w:t>Determination of DPPH Activity</w:t>
      </w:r>
    </w:p>
    <w:p w:rsidR="00FA6778" w:rsidRDefault="00FA6778" w:rsidP="00FA6778">
      <w:r>
        <w:t>Radical scavenging activity of the sample extracts was measured by determining the inhibition rate of DPPH (2, 2-diphenyl-1- picrylhydrazyl) radical</w:t>
      </w:r>
      <w:r w:rsidR="003D52FB">
        <w:t xml:space="preserve"> </w:t>
      </w:r>
      <w:r w:rsidR="003D52FB">
        <w:fldChar w:fldCharType="begin" w:fldLock="1"/>
      </w:r>
      <w:r w:rsidR="00D73F72">
        <w:instrText>ADDIN CSL_CITATION {"citationItems":[{"id":"ITEM-1","itemData":{"DOI":"10.1016/S0023-6438(95)80008-5","ISBN":"0023-6438","ISSN":"00236438","PMID":"16055221","abstract":"The antiradical activities of various antioxidants were determined using the free radical, 2,2-Diphenyl-1-picrylhydrazyl (DPPH*). In its radical form. DPPH* has an absorption band at 515 nm which dissappears upon reduction by an antiradical compound. Twenty compounds were reacted with the DPPH* and shown to follow one of three possible reaction kinetic types. Ascorbic acid, isoascorbic acid and isoeugenol reacted quickly with the DPPH* reaching a steady state immediately. Rosmarinic acid and δ-tocopherol reacted a little slower and reached a steady state within 30 min. The remaining compounds reacted more progressively with the DPPH* reaching a steady state from 1 to 6 h. Caffeic acid, gentisic acid and gallic acid showed the highest antiradical activities with a stoichiometry of 4 to 6 reduced DPPH* molecules per molecule of antioxidant. Vanillin, phenol, γ-resorcylic acid and vanillic acid were found to be poor antiradical compounds. The stoichiometry for the other 13 phenolic compounds varied from one to three reduced DPPH* molecules per molecule of antioxidant. Possible mechanisms are proposed to explain the experimental results. © 1995 Academic Press Limited.","author":[{"dropping-particle":"","family":"Brand-Williams","given":"W.","non-dropping-particle":"","parse-names":false,"suffix":""},{"dropping-particle":"","family":"Cuvelier","given":"M. E.","non-dropping-particle":"","parse-names":false,"suffix":""},{"dropping-particle":"","family":"Berset","given":"C.","non-dropping-particle":"","parse-names":false,"suffix":""}],"container-title":"LWT - Food Science and Technology","id":"ITEM-1","issued":{"date-parts":[["1995"]]},"title":"Use of a free radical method to evaluate antioxidant activity","type":"article"},"uris":["http://www.mendeley.com/documents/?uuid=bb9f4cde-a6dd-4aad-b81b-ad2f10a16853"]}],"mendeley":{"formattedCitation":"(Brand-Williams, Cuvelier, &amp; Berset, 1995)","plainTextFormattedCitation":"(Brand-Williams, Cuvelier, &amp; Berset, 1995)","previouslyFormattedCitation":"(Brand-Williams, Cuvelier and Berset, 1995)"},"properties":{"noteIndex":0},"schema":"https://github.com/citation-style-language/schema/raw/master/csl-citation.json"}</w:instrText>
      </w:r>
      <w:r w:rsidR="003D52FB">
        <w:fldChar w:fldCharType="separate"/>
      </w:r>
      <w:r w:rsidR="00D73F72" w:rsidRPr="00D73F72">
        <w:rPr>
          <w:noProof/>
        </w:rPr>
        <w:t>(Brand-Williams, Cuvelier, &amp; Berset, 1995)</w:t>
      </w:r>
      <w:r w:rsidR="003D52FB">
        <w:fldChar w:fldCharType="end"/>
      </w:r>
      <w:r w:rsidR="003D52FB">
        <w:t>.</w:t>
      </w:r>
      <w:r>
        <w:t xml:space="preserve"> Precisely, 100 μL of extracts were added to 1.4 mL DPPH radical methanolic solution (10</w:t>
      </w:r>
      <w:r w:rsidRPr="00F64DB9">
        <w:rPr>
          <w:vertAlign w:val="superscript"/>
        </w:rPr>
        <w:t>−4</w:t>
      </w:r>
      <w:r>
        <w:t xml:space="preserve"> M). The absorbance at 517 nm was measure</w:t>
      </w:r>
      <w:r w:rsidR="003D52FB">
        <w:t>d at 30 min against blank (100 µ</w:t>
      </w:r>
      <w:r>
        <w:t>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3D086A" w:rsidRDefault="00CD6560" w:rsidP="0031437A">
      <w:r>
        <w:t>Where</w:t>
      </w:r>
      <w:r w:rsidR="00FA6778">
        <w:t>,</w:t>
      </w:r>
      <w:r w:rsidR="00F6522D">
        <w:t xml:space="preserve"> </w:t>
      </w:r>
      <w:r w:rsidR="00FA6778">
        <w:t>A</w:t>
      </w:r>
      <w:r>
        <w:t>o is absorbance of control blan</w:t>
      </w:r>
      <w:r w:rsidR="003D52FB">
        <w:t>k</w:t>
      </w:r>
      <w:r w:rsidR="00FA6778">
        <w:t>, and As is absorbance of sample extract.</w:t>
      </w:r>
    </w:p>
    <w:p w:rsidR="003D086A" w:rsidRDefault="003D086A">
      <w:pPr>
        <w:spacing w:line="259" w:lineRule="auto"/>
        <w:jc w:val="left"/>
      </w:pPr>
      <w:r>
        <w:br w:type="page"/>
      </w:r>
    </w:p>
    <w:p w:rsidR="00D73F72" w:rsidRPr="00D73F72" w:rsidRDefault="003D086A" w:rsidP="00D73F72">
      <w:pPr>
        <w:jc w:val="center"/>
        <w:rPr>
          <w:b/>
          <w:sz w:val="32"/>
        </w:rPr>
      </w:pPr>
      <w:bookmarkStart w:id="3" w:name="_GoBack"/>
      <w:bookmarkEnd w:id="3"/>
      <w:r w:rsidRPr="00D73F72">
        <w:rPr>
          <w:b/>
          <w:sz w:val="32"/>
        </w:rPr>
        <w:lastRenderedPageBreak/>
        <w:t>Bibliography</w:t>
      </w:r>
    </w:p>
    <w:p w:rsidR="00D73F72" w:rsidRDefault="00D73F72" w:rsidP="00D73F72">
      <w:pPr>
        <w:widowControl w:val="0"/>
        <w:autoSpaceDE w:val="0"/>
        <w:autoSpaceDN w:val="0"/>
        <w:adjustRightInd w:val="0"/>
        <w:ind w:left="480" w:hanging="480"/>
        <w:jc w:val="left"/>
      </w:pPr>
    </w:p>
    <w:p w:rsidR="00D73F72" w:rsidRPr="00D73F72" w:rsidRDefault="003D086A" w:rsidP="00D73F72">
      <w:pPr>
        <w:widowControl w:val="0"/>
        <w:autoSpaceDE w:val="0"/>
        <w:autoSpaceDN w:val="0"/>
        <w:adjustRightInd w:val="0"/>
        <w:ind w:left="480" w:hanging="480"/>
        <w:jc w:val="left"/>
        <w:rPr>
          <w:rFonts w:cs="Times New Roman"/>
          <w:noProof/>
          <w:szCs w:val="24"/>
        </w:rPr>
      </w:pPr>
      <w:r>
        <w:fldChar w:fldCharType="begin" w:fldLock="1"/>
      </w:r>
      <w:r>
        <w:instrText xml:space="preserve">ADDIN Mendeley Bibliography CSL_BIBLIOGRAPHY </w:instrText>
      </w:r>
      <w:r>
        <w:fldChar w:fldCharType="separate"/>
      </w:r>
      <w:r w:rsidR="00D73F72" w:rsidRPr="00D73F72">
        <w:rPr>
          <w:rFonts w:cs="Times New Roman"/>
          <w:noProof/>
          <w:szCs w:val="24"/>
        </w:rPr>
        <w:t xml:space="preserve">Brand-Williams, W., Cuvelier, M. E., &amp; Berset, C. (1995). Use of a free radical method to evaluate antioxidant activity. </w:t>
      </w:r>
      <w:r w:rsidR="00D73F72" w:rsidRPr="00D73F72">
        <w:rPr>
          <w:rFonts w:cs="Times New Roman"/>
          <w:i/>
          <w:iCs/>
          <w:noProof/>
          <w:szCs w:val="24"/>
        </w:rPr>
        <w:t>LWT - Food Science and Technology</w:t>
      </w:r>
      <w:r w:rsidR="00D73F72" w:rsidRPr="00D73F72">
        <w:rPr>
          <w:rFonts w:cs="Times New Roman"/>
          <w:noProof/>
          <w:szCs w:val="24"/>
        </w:rPr>
        <w:t>. https://doi.org/10.1016/S0023-6438(95)80008-5</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E.A., M., &amp; Amer Eiss, A. H. (2012). Pulsed Electric Fields for Food Processing Technology. </w:t>
      </w:r>
      <w:r w:rsidRPr="00D73F72">
        <w:rPr>
          <w:rFonts w:cs="Times New Roman"/>
          <w:i/>
          <w:iCs/>
          <w:noProof/>
          <w:szCs w:val="24"/>
        </w:rPr>
        <w:t>Structure and Function of Food Engineering</w:t>
      </w:r>
      <w:r w:rsidRPr="00D73F72">
        <w:rPr>
          <w:rFonts w:cs="Times New Roman"/>
          <w:noProof/>
          <w:szCs w:val="24"/>
        </w:rPr>
        <w:t>. https://doi.org/10.5772/48678</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Guo, M., Jin, T. Z., Geveke, D. J., Fan, X., Sites, J. E., &amp; Wang, L. (2014). Evaluation of Microbial Stability, Bioactive Compounds, Physicochemical Properties, and Consumer Acceptance of Pomegranate Juice Processed in a Commercial Scale Pulsed Electric Field System. </w:t>
      </w:r>
      <w:r w:rsidRPr="00D73F72">
        <w:rPr>
          <w:rFonts w:cs="Times New Roman"/>
          <w:i/>
          <w:iCs/>
          <w:noProof/>
          <w:szCs w:val="24"/>
        </w:rPr>
        <w:t>Food and Bioprocess Technology</w:t>
      </w:r>
      <w:r w:rsidRPr="00D73F72">
        <w:rPr>
          <w:rFonts w:cs="Times New Roman"/>
          <w:noProof/>
          <w:szCs w:val="24"/>
        </w:rPr>
        <w:t xml:space="preserve">, </w:t>
      </w:r>
      <w:r w:rsidRPr="00D73F72">
        <w:rPr>
          <w:rFonts w:cs="Times New Roman"/>
          <w:i/>
          <w:iCs/>
          <w:noProof/>
          <w:szCs w:val="24"/>
        </w:rPr>
        <w:t>7</w:t>
      </w:r>
      <w:r w:rsidRPr="00D73F72">
        <w:rPr>
          <w:rFonts w:cs="Times New Roman"/>
          <w:noProof/>
          <w:szCs w:val="24"/>
        </w:rPr>
        <w:t>(7), 2112–2120. https://doi.org/10.1007/s11947-013-1185-6</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Hossain, F., &amp; Islam, A. (2017). Pineapple Production Status in Bangladesh, </w:t>
      </w:r>
      <w:r w:rsidRPr="00D73F72">
        <w:rPr>
          <w:rFonts w:cs="Times New Roman"/>
          <w:i/>
          <w:iCs/>
          <w:noProof/>
          <w:szCs w:val="24"/>
        </w:rPr>
        <w:t>6</w:t>
      </w:r>
      <w:r w:rsidRPr="00D73F72">
        <w:rPr>
          <w:rFonts w:cs="Times New Roman"/>
          <w:noProof/>
          <w:szCs w:val="24"/>
        </w:rPr>
        <w:t>(5), 173–177. https://doi.org/10.11648/j.aff.20170605.15</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Hounhouigan, M. H., Linnemann, A. R., Soumanou, M. M., &amp; Van Boekel, M. A. J. S. (2014). Effect of Processing on the Quality of Pineapple Juice. </w:t>
      </w:r>
      <w:r w:rsidRPr="00D73F72">
        <w:rPr>
          <w:rFonts w:cs="Times New Roman"/>
          <w:i/>
          <w:iCs/>
          <w:noProof/>
          <w:szCs w:val="24"/>
        </w:rPr>
        <w:t>Food Reviews International</w:t>
      </w:r>
      <w:r w:rsidRPr="00D73F72">
        <w:rPr>
          <w:rFonts w:cs="Times New Roman"/>
          <w:noProof/>
          <w:szCs w:val="24"/>
        </w:rPr>
        <w:t xml:space="preserve">, </w:t>
      </w:r>
      <w:r w:rsidRPr="00D73F72">
        <w:rPr>
          <w:rFonts w:cs="Times New Roman"/>
          <w:i/>
          <w:iCs/>
          <w:noProof/>
          <w:szCs w:val="24"/>
        </w:rPr>
        <w:t>30</w:t>
      </w:r>
      <w:r w:rsidRPr="00D73F72">
        <w:rPr>
          <w:rFonts w:cs="Times New Roman"/>
          <w:noProof/>
          <w:szCs w:val="24"/>
        </w:rPr>
        <w:t>(2), 112–133. https://doi.org/10.1080/87559129.2014.883632</w:t>
      </w:r>
    </w:p>
    <w:p w:rsidR="00D73F72" w:rsidRPr="00D73F72" w:rsidRDefault="00D73F72" w:rsidP="00D73F72">
      <w:pPr>
        <w:widowControl w:val="0"/>
        <w:autoSpaceDE w:val="0"/>
        <w:autoSpaceDN w:val="0"/>
        <w:adjustRightInd w:val="0"/>
        <w:ind w:left="480" w:hanging="480"/>
        <w:jc w:val="left"/>
        <w:rPr>
          <w:rFonts w:cs="Times New Roman"/>
          <w:noProof/>
          <w:szCs w:val="24"/>
        </w:rPr>
      </w:pPr>
      <w:r w:rsidRPr="00D73F72">
        <w:rPr>
          <w:rFonts w:cs="Times New Roman"/>
          <w:noProof/>
          <w:szCs w:val="24"/>
        </w:rPr>
        <w:t xml:space="preserve">Roland, J. O., Beuchat, L. R., Worthington, R. E., &amp; Hitchcock, H. L. (1984). Effects of Sorbate, Benzoate, Sulfur Dioxide and Temperature on Growth and Patulin Production by Byssochlamys nivea in Grape Juice. </w:t>
      </w:r>
      <w:r w:rsidRPr="00D73F72">
        <w:rPr>
          <w:rFonts w:cs="Times New Roman"/>
          <w:i/>
          <w:iCs/>
          <w:noProof/>
          <w:szCs w:val="24"/>
        </w:rPr>
        <w:t>Journal of Food Protection</w:t>
      </w:r>
      <w:r w:rsidRPr="00D73F72">
        <w:rPr>
          <w:rFonts w:cs="Times New Roman"/>
          <w:noProof/>
          <w:szCs w:val="24"/>
        </w:rPr>
        <w:t xml:space="preserve">, </w:t>
      </w:r>
      <w:r w:rsidRPr="00D73F72">
        <w:rPr>
          <w:rFonts w:cs="Times New Roman"/>
          <w:i/>
          <w:iCs/>
          <w:noProof/>
          <w:szCs w:val="24"/>
        </w:rPr>
        <w:t>47</w:t>
      </w:r>
      <w:r w:rsidRPr="00D73F72">
        <w:rPr>
          <w:rFonts w:cs="Times New Roman"/>
          <w:noProof/>
          <w:szCs w:val="24"/>
        </w:rPr>
        <w:t>(3), 237–241.</w:t>
      </w:r>
    </w:p>
    <w:p w:rsidR="00D73F72" w:rsidRPr="00D73F72" w:rsidRDefault="00D73F72" w:rsidP="00D73F72">
      <w:pPr>
        <w:widowControl w:val="0"/>
        <w:autoSpaceDE w:val="0"/>
        <w:autoSpaceDN w:val="0"/>
        <w:adjustRightInd w:val="0"/>
        <w:ind w:left="480" w:hanging="480"/>
        <w:jc w:val="left"/>
        <w:rPr>
          <w:rFonts w:cs="Times New Roman"/>
          <w:noProof/>
        </w:rPr>
      </w:pPr>
      <w:r w:rsidRPr="00D73F72">
        <w:rPr>
          <w:rFonts w:cs="Times New Roman"/>
          <w:noProof/>
          <w:szCs w:val="24"/>
        </w:rPr>
        <w:t xml:space="preserve">Slinkard, K., &amp; Singleton, V. (1977). Total phenol analysis: automation and comparison with manual methods. </w:t>
      </w:r>
      <w:r w:rsidRPr="00D73F72">
        <w:rPr>
          <w:rFonts w:cs="Times New Roman"/>
          <w:i/>
          <w:iCs/>
          <w:noProof/>
          <w:szCs w:val="24"/>
        </w:rPr>
        <w:t>Am. J. Enol. Vitic.</w:t>
      </w:r>
      <w:r w:rsidRPr="00D73F72">
        <w:rPr>
          <w:rFonts w:cs="Times New Roman"/>
          <w:noProof/>
          <w:szCs w:val="24"/>
        </w:rPr>
        <w:t xml:space="preserve"> https://doi.org/10.1016/j.carbpol.2011.06.030</w:t>
      </w:r>
    </w:p>
    <w:p w:rsidR="003D086A" w:rsidRDefault="003D086A" w:rsidP="00D73F72">
      <w:pPr>
        <w:jc w:val="left"/>
      </w:pPr>
      <w:r>
        <w:fldChar w:fldCharType="end"/>
      </w:r>
    </w:p>
    <w:sectPr w:rsidR="003D086A" w:rsidSect="0030213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C91" w:rsidRDefault="00CF6C91" w:rsidP="00650E83">
      <w:pPr>
        <w:spacing w:after="0" w:line="240" w:lineRule="auto"/>
      </w:pPr>
      <w:r>
        <w:separator/>
      </w:r>
    </w:p>
  </w:endnote>
  <w:endnote w:type="continuationSeparator" w:id="0">
    <w:p w:rsidR="00CF6C91" w:rsidRDefault="00CF6C91" w:rsidP="0065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C91" w:rsidRDefault="00CF6C91" w:rsidP="00650E83">
      <w:pPr>
        <w:spacing w:after="0" w:line="240" w:lineRule="auto"/>
      </w:pPr>
      <w:r>
        <w:separator/>
      </w:r>
    </w:p>
  </w:footnote>
  <w:footnote w:type="continuationSeparator" w:id="0">
    <w:p w:rsidR="00CF6C91" w:rsidRDefault="00CF6C91" w:rsidP="00650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E535F"/>
    <w:rsid w:val="000223A4"/>
    <w:rsid w:val="000337B4"/>
    <w:rsid w:val="000432A3"/>
    <w:rsid w:val="000531D7"/>
    <w:rsid w:val="00075044"/>
    <w:rsid w:val="000A0303"/>
    <w:rsid w:val="000A3F75"/>
    <w:rsid w:val="000F75C0"/>
    <w:rsid w:val="001002D2"/>
    <w:rsid w:val="00113905"/>
    <w:rsid w:val="001820ED"/>
    <w:rsid w:val="0019320C"/>
    <w:rsid w:val="00272EC4"/>
    <w:rsid w:val="00277CF7"/>
    <w:rsid w:val="002C5065"/>
    <w:rsid w:val="00302133"/>
    <w:rsid w:val="0031437A"/>
    <w:rsid w:val="00322894"/>
    <w:rsid w:val="00332F95"/>
    <w:rsid w:val="0035011F"/>
    <w:rsid w:val="00351050"/>
    <w:rsid w:val="003621BD"/>
    <w:rsid w:val="003B75D4"/>
    <w:rsid w:val="003D086A"/>
    <w:rsid w:val="003D52FB"/>
    <w:rsid w:val="00441855"/>
    <w:rsid w:val="0044323B"/>
    <w:rsid w:val="00514A9C"/>
    <w:rsid w:val="0052210B"/>
    <w:rsid w:val="005476B7"/>
    <w:rsid w:val="00564472"/>
    <w:rsid w:val="005E2C70"/>
    <w:rsid w:val="005F2CBD"/>
    <w:rsid w:val="00601DCB"/>
    <w:rsid w:val="00603A4D"/>
    <w:rsid w:val="00607605"/>
    <w:rsid w:val="00616A37"/>
    <w:rsid w:val="00645648"/>
    <w:rsid w:val="00650E83"/>
    <w:rsid w:val="0065391E"/>
    <w:rsid w:val="006838D8"/>
    <w:rsid w:val="00695D47"/>
    <w:rsid w:val="006B1017"/>
    <w:rsid w:val="006C1FD7"/>
    <w:rsid w:val="006C7271"/>
    <w:rsid w:val="00746314"/>
    <w:rsid w:val="00784888"/>
    <w:rsid w:val="00784F2F"/>
    <w:rsid w:val="007D3F53"/>
    <w:rsid w:val="007E379D"/>
    <w:rsid w:val="00821E47"/>
    <w:rsid w:val="00865118"/>
    <w:rsid w:val="00887630"/>
    <w:rsid w:val="00891810"/>
    <w:rsid w:val="008B2B98"/>
    <w:rsid w:val="008F3132"/>
    <w:rsid w:val="008F3D02"/>
    <w:rsid w:val="0091063A"/>
    <w:rsid w:val="00942B05"/>
    <w:rsid w:val="009D4384"/>
    <w:rsid w:val="009F18D4"/>
    <w:rsid w:val="00A232AA"/>
    <w:rsid w:val="00A2520B"/>
    <w:rsid w:val="00A26973"/>
    <w:rsid w:val="00A72381"/>
    <w:rsid w:val="00B5380E"/>
    <w:rsid w:val="00B66291"/>
    <w:rsid w:val="00BA0E74"/>
    <w:rsid w:val="00BD698B"/>
    <w:rsid w:val="00C67AAE"/>
    <w:rsid w:val="00CA4361"/>
    <w:rsid w:val="00CA728E"/>
    <w:rsid w:val="00CB5FDF"/>
    <w:rsid w:val="00CD424F"/>
    <w:rsid w:val="00CD6560"/>
    <w:rsid w:val="00CF1D50"/>
    <w:rsid w:val="00CF3E17"/>
    <w:rsid w:val="00CF6C91"/>
    <w:rsid w:val="00D73F72"/>
    <w:rsid w:val="00DA4BCC"/>
    <w:rsid w:val="00DB7287"/>
    <w:rsid w:val="00DC4924"/>
    <w:rsid w:val="00DC5B4B"/>
    <w:rsid w:val="00E4274F"/>
    <w:rsid w:val="00E7215F"/>
    <w:rsid w:val="00EC5774"/>
    <w:rsid w:val="00EF00E6"/>
    <w:rsid w:val="00EF408E"/>
    <w:rsid w:val="00F26412"/>
    <w:rsid w:val="00F64DB9"/>
    <w:rsid w:val="00F6522D"/>
    <w:rsid w:val="00F955B7"/>
    <w:rsid w:val="00F96406"/>
    <w:rsid w:val="00FA6778"/>
    <w:rsid w:val="00FE535F"/>
    <w:rsid w:val="00FE6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6D58E-F958-4206-AEE4-D5B885FF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 w:type="character" w:styleId="Emphasis">
    <w:name w:val="Emphasis"/>
    <w:basedOn w:val="DefaultParagraphFont"/>
    <w:uiPriority w:val="20"/>
    <w:qFormat/>
    <w:rsid w:val="00113905"/>
    <w:rPr>
      <w:i/>
      <w:iCs/>
    </w:rPr>
  </w:style>
  <w:style w:type="paragraph" w:styleId="Bibliography">
    <w:name w:val="Bibliography"/>
    <w:basedOn w:val="Normal"/>
    <w:next w:val="Normal"/>
    <w:uiPriority w:val="37"/>
    <w:unhideWhenUsed/>
    <w:rsid w:val="000A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0735">
      <w:bodyDiv w:val="1"/>
      <w:marLeft w:val="0"/>
      <w:marRight w:val="0"/>
      <w:marTop w:val="0"/>
      <w:marBottom w:val="0"/>
      <w:divBdr>
        <w:top w:val="none" w:sz="0" w:space="0" w:color="auto"/>
        <w:left w:val="none" w:sz="0" w:space="0" w:color="auto"/>
        <w:bottom w:val="none" w:sz="0" w:space="0" w:color="auto"/>
        <w:right w:val="none" w:sz="0" w:space="0" w:color="auto"/>
      </w:divBdr>
    </w:div>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519125149">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667053326">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27075253">
      <w:bodyDiv w:val="1"/>
      <w:marLeft w:val="0"/>
      <w:marRight w:val="0"/>
      <w:marTop w:val="0"/>
      <w:marBottom w:val="0"/>
      <w:divBdr>
        <w:top w:val="none" w:sz="0" w:space="0" w:color="auto"/>
        <w:left w:val="none" w:sz="0" w:space="0" w:color="auto"/>
        <w:bottom w:val="none" w:sz="0" w:space="0" w:color="auto"/>
        <w:right w:val="none" w:sz="0" w:space="0" w:color="auto"/>
      </w:divBdr>
    </w:div>
    <w:div w:id="1492212243">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 w:id="1787458132">
      <w:bodyDiv w:val="1"/>
      <w:marLeft w:val="0"/>
      <w:marRight w:val="0"/>
      <w:marTop w:val="0"/>
      <w:marBottom w:val="0"/>
      <w:divBdr>
        <w:top w:val="none" w:sz="0" w:space="0" w:color="auto"/>
        <w:left w:val="none" w:sz="0" w:space="0" w:color="auto"/>
        <w:bottom w:val="none" w:sz="0" w:space="0" w:color="auto"/>
        <w:right w:val="none" w:sz="0" w:space="0" w:color="auto"/>
      </w:divBdr>
    </w:div>
    <w:div w:id="21443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1</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2</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D238D4E1-AA0D-45CF-A393-99E5B414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Settings.dotx</Template>
  <TotalTime>714</TotalTime>
  <Pages>13</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shah ali hridoy</cp:lastModifiedBy>
  <cp:revision>14</cp:revision>
  <dcterms:created xsi:type="dcterms:W3CDTF">2019-02-04T06:27:00Z</dcterms:created>
  <dcterms:modified xsi:type="dcterms:W3CDTF">2019-02-11T10:25:00Z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cdbef38d-dd70-3095-9f3d-e72e5d5e0b55</vt:lpwstr>
  </property>
  <property fmtid="{D5CDD505-2E9C-101B-9397-08002B2CF9AE}" pid="24" name="Mendeley Citation Style_1">
    <vt:lpwstr>http://www.zotero.org/styles/apa</vt:lpwstr>
  </property>
</Properties>
</file>