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eastAsia="Calibri"/>
          <w:b/>
          <w:color w:val="2E74B5"/>
          <w:sz w:val="20"/>
        </w:rPr>
        <w:t>PROJECT PLANNING BRIEF</w:t>
      </w:r>
    </w:p>
    <w:p>
      <w:pPr>
        <w:spacing w:before="0" w:after="80"/>
      </w:pPr>
      <w:r>
        <w:rPr>
          <w:rFonts w:ascii="Calibri" w:hAnsi="Calibri" w:eastAsia="Calibri"/>
          <w:b/>
          <w:color w:val="0B2545"/>
          <w:sz w:val="44"/>
        </w:rPr>
        <w:t>Martyn’s Law Portal</w:t>
      </w:r>
    </w:p>
    <w:p>
      <w:pPr>
        <w:spacing w:after="200"/>
      </w:pPr>
      <w:r>
        <w:rPr>
          <w:rFonts w:ascii="Calibri" w:hAnsi="Calibri" w:eastAsia="Calibri"/>
          <w:b w:val="0"/>
          <w:color w:val="555555"/>
          <w:sz w:val="22"/>
        </w:rPr>
        <w:t>Planning document for a mosque-facing portal that helps venues determine Martyn’s Law (Terrorism (Protection of Premises) Act) duties, build public protection procedures/plans, train people, and evidence readiness.</w:t>
      </w:r>
    </w:p>
    <w:tbl>
      <w:tblPr>
        <w:tblStyle w:val="TableGrid"/>
        <w:tblW w:type="dxa" w:w="9360"/>
        <w:tblLook w:firstColumn="1" w:firstRow="1" w:lastColumn="0" w:lastRow="0" w:noHBand="0" w:noVBand="1" w:val="04A0"/>
        <w:tblInd w:w="120" w:type="dxa"/>
        <w:tblLayout w:type="fixed"/>
      </w:tblPr>
      <w:tblGrid>
        <w:gridCol w:w="2700"/>
        <w:gridCol w:w="6660"/>
      </w:tblGrid>
      <w:tr>
        <w:tc>
          <w:tcPr>
            <w:tcW w:type="dxa" w:w="2700"/>
            <w:shd w:fill="F2F4F7" w:val="clear"/>
            <w:tcMar>
              <w:top w:w="80" w:type="dxa"/>
              <w:left w:w="120" w:type="dxa"/>
              <w:bottom w:w="80" w:type="dxa"/>
              <w:right w:w="120" w:type="dxa"/>
            </w:tcMar>
          </w:tcPr>
          <w:p>
            <w:pPr>
              <w:spacing w:before="0" w:after="40"/>
            </w:pPr>
            <w:r>
              <w:rPr>
                <w:rFonts w:ascii="Calibri" w:hAnsi="Calibri" w:eastAsia="Calibri"/>
                <w:b w:val="0"/>
                <w:color w:val="000000"/>
                <w:sz w:val="20"/>
              </w:rPr>
              <w:t>Document type</w:t>
            </w:r>
          </w:p>
        </w:tc>
        <w:tc>
          <w:tcPr>
            <w:tcW w:type="dxa" w:w="6660"/>
            <w:tcMar>
              <w:top w:w="80" w:type="dxa"/>
              <w:left w:w="120" w:type="dxa"/>
              <w:bottom w:w="80" w:type="dxa"/>
              <w:right w:w="120" w:type="dxa"/>
            </w:tcMar>
          </w:tcPr>
          <w:p>
            <w:pPr>
              <w:spacing w:before="0" w:after="40"/>
            </w:pPr>
            <w:r>
              <w:rPr>
                <w:rFonts w:ascii="Calibri" w:hAnsi="Calibri" w:eastAsia="Calibri"/>
                <w:b w:val="0"/>
                <w:color w:val="000000"/>
                <w:sz w:val="20"/>
              </w:rPr>
              <w:t>Planning brief / product &amp; architecture scope</w:t>
            </w:r>
          </w:p>
        </w:tc>
      </w:tr>
      <w:tr>
        <w:tc>
          <w:tcPr>
            <w:tcW w:type="dxa" w:w="2700"/>
            <w:shd w:fill="F2F4F7" w:val="clear"/>
            <w:tcMar>
              <w:top w:w="80" w:type="dxa"/>
              <w:left w:w="120" w:type="dxa"/>
              <w:bottom w:w="80" w:type="dxa"/>
              <w:right w:w="120" w:type="dxa"/>
            </w:tcMar>
          </w:tcPr>
          <w:p>
            <w:pPr>
              <w:spacing w:before="0" w:after="40"/>
            </w:pPr>
            <w:r>
              <w:rPr>
                <w:rFonts w:ascii="Calibri" w:hAnsi="Calibri" w:eastAsia="Calibri"/>
                <w:b w:val="0"/>
                <w:color w:val="000000"/>
                <w:sz w:val="20"/>
              </w:rPr>
              <w:t>Audience</w:t>
            </w:r>
          </w:p>
        </w:tc>
        <w:tc>
          <w:tcPr>
            <w:tcW w:type="dxa" w:w="6660"/>
            <w:tcMar>
              <w:top w:w="80" w:type="dxa"/>
              <w:left w:w="120" w:type="dxa"/>
              <w:bottom w:w="80" w:type="dxa"/>
              <w:right w:w="120" w:type="dxa"/>
            </w:tcMar>
          </w:tcPr>
          <w:p>
            <w:pPr>
              <w:spacing w:before="0" w:after="40"/>
            </w:pPr>
            <w:r>
              <w:rPr>
                <w:rFonts w:ascii="Calibri" w:hAnsi="Calibri" w:eastAsia="Calibri"/>
                <w:b w:val="0"/>
                <w:color w:val="000000"/>
                <w:sz w:val="20"/>
              </w:rPr>
              <w:t>Programme leads, trustees, product, content &amp; engineering</w:t>
            </w:r>
          </w:p>
        </w:tc>
      </w:tr>
      <w:tr>
        <w:tc>
          <w:tcPr>
            <w:tcW w:type="dxa" w:w="2700"/>
            <w:shd w:fill="F2F4F7" w:val="clear"/>
            <w:tcMar>
              <w:top w:w="80" w:type="dxa"/>
              <w:left w:w="120" w:type="dxa"/>
              <w:bottom w:w="80" w:type="dxa"/>
              <w:right w:w="120" w:type="dxa"/>
            </w:tcMar>
          </w:tcPr>
          <w:p>
            <w:pPr>
              <w:spacing w:before="0" w:after="40"/>
            </w:pPr>
            <w:r>
              <w:rPr>
                <w:rFonts w:ascii="Calibri" w:hAnsi="Calibri" w:eastAsia="Calibri"/>
                <w:b w:val="0"/>
                <w:color w:val="000000"/>
                <w:sz w:val="20"/>
              </w:rPr>
              <w:t>Date</w:t>
            </w:r>
          </w:p>
        </w:tc>
        <w:tc>
          <w:tcPr>
            <w:tcW w:type="dxa" w:w="6660"/>
            <w:tcMar>
              <w:top w:w="80" w:type="dxa"/>
              <w:left w:w="120" w:type="dxa"/>
              <w:bottom w:w="80" w:type="dxa"/>
              <w:right w:w="120" w:type="dxa"/>
            </w:tcMar>
          </w:tcPr>
          <w:p>
            <w:pPr>
              <w:spacing w:before="0" w:after="40"/>
            </w:pPr>
            <w:r>
              <w:rPr>
                <w:rFonts w:ascii="Calibri" w:hAnsi="Calibri" w:eastAsia="Calibri"/>
                <w:b w:val="0"/>
                <w:color w:val="000000"/>
                <w:sz w:val="20"/>
              </w:rPr>
              <w:t>31 July 2026</w:t>
            </w:r>
          </w:p>
        </w:tc>
      </w:tr>
      <w:tr>
        <w:tc>
          <w:tcPr>
            <w:tcW w:type="dxa" w:w="2700"/>
            <w:shd w:fill="F2F4F7" w:val="clear"/>
            <w:tcMar>
              <w:top w:w="80" w:type="dxa"/>
              <w:left w:w="120" w:type="dxa"/>
              <w:bottom w:w="80" w:type="dxa"/>
              <w:right w:w="120" w:type="dxa"/>
            </w:tcMar>
          </w:tcPr>
          <w:p>
            <w:pPr>
              <w:spacing w:before="0" w:after="40"/>
            </w:pPr>
            <w:r>
              <w:rPr>
                <w:rFonts w:ascii="Calibri" w:hAnsi="Calibri" w:eastAsia="Calibri"/>
                <w:b w:val="0"/>
                <w:color w:val="000000"/>
                <w:sz w:val="20"/>
              </w:rPr>
              <w:t>Status</w:t>
            </w:r>
          </w:p>
        </w:tc>
        <w:tc>
          <w:tcPr>
            <w:tcW w:type="dxa" w:w="6660"/>
            <w:tcMar>
              <w:top w:w="80" w:type="dxa"/>
              <w:left w:w="120" w:type="dxa"/>
              <w:bottom w:w="80" w:type="dxa"/>
              <w:right w:w="120" w:type="dxa"/>
            </w:tcMar>
          </w:tcPr>
          <w:p>
            <w:pPr>
              <w:spacing w:before="0" w:after="40"/>
            </w:pPr>
            <w:r>
              <w:rPr>
                <w:rFonts w:ascii="Calibri" w:hAnsi="Calibri" w:eastAsia="Calibri"/>
                <w:b w:val="0"/>
                <w:color w:val="000000"/>
                <w:sz w:val="20"/>
              </w:rPr>
              <w:t>Working draft for review</w:t>
            </w:r>
          </w:p>
        </w:tc>
      </w:tr>
    </w:tbl>
    <w:p/>
    <w:tbl>
      <w:tblPr>
        <w:tblStyle w:val="TableGrid"/>
        <w:tblW w:type="dxa" w:w="9360"/>
        <w:tblLook w:firstColumn="1" w:firstRow="1" w:lastColumn="0" w:lastRow="0" w:noHBand="0" w:noVBand="1" w:val="04A0"/>
        <w:tblInd w:w="120" w:type="dxa"/>
        <w:tblLayout w:type="fixed"/>
      </w:tblPr>
      <w:tblGrid>
        <w:gridCol w:w="9360"/>
      </w:tblGrid>
      <w:tr>
        <w:tc>
          <w:tcPr>
            <w:tcW w:type="dxa" w:w="9360"/>
            <w:shd w:fill="EEF3F9" w:val="clear"/>
            <w:tcMar>
              <w:top w:w="80" w:type="dxa"/>
              <w:left w:w="120" w:type="dxa"/>
              <w:bottom w:w="80" w:type="dxa"/>
              <w:right w:w="120" w:type="dxa"/>
            </w:tcMar>
          </w:tcPr>
          <w:p>
            <w:pPr>
              <w:spacing w:before="0" w:after="40"/>
            </w:pPr>
            <w:r>
              <w:rPr>
                <w:rFonts w:ascii="Calibri" w:hAnsi="Calibri" w:eastAsia="Calibri"/>
                <w:b w:val="0"/>
                <w:color w:val="000000"/>
                <w:sz w:val="20"/>
              </w:rPr>
            </w:r>
            <w:r>
              <w:rPr>
                <w:rFonts w:ascii="Calibri" w:hAnsi="Calibri" w:eastAsia="Calibri"/>
                <w:b w:val="0"/>
                <w:color w:val="000000"/>
                <w:sz w:val="20"/>
              </w:rPr>
              <w:t xml:space="preserve">Purpose in one line  </w:t>
            </w:r>
            <w:r>
              <w:rPr>
                <w:rFonts w:ascii="Calibri" w:hAnsi="Calibri" w:eastAsia="Calibri"/>
                <w:b w:val="0"/>
                <w:color w:val="000000"/>
                <w:sz w:val="20"/>
              </w:rPr>
              <w:t>Help mosques and other faith venues understand whether Martyn’s Law applies, which tier they fall into, what procedures or plans they must have, train the right people, and keep an evidence trail for trustees and regulators.</w:t>
            </w:r>
          </w:p>
        </w:tc>
      </w:tr>
    </w:tbl>
    <w:p/>
    <w:p>
      <w:pPr>
        <w:pStyle w:val="Heading1"/>
        <w:spacing w:before="320" w:after="160"/>
      </w:pPr>
      <w:r>
        <w:rPr>
          <w:rFonts w:ascii="Calibri" w:hAnsi="Calibri" w:eastAsia="Calibri"/>
          <w:b/>
          <w:color w:val="2E74B5"/>
          <w:sz w:val="32"/>
        </w:rPr>
        <w:t>1. Objectives</w:t>
      </w:r>
    </w:p>
    <w:p>
      <w:pPr>
        <w:spacing w:before="0" w:after="120" w:line="264" w:lineRule="auto"/>
      </w:pPr>
      <w:r>
        <w:rPr>
          <w:rFonts w:ascii="Calibri" w:hAnsi="Calibri" w:eastAsia="Calibri"/>
          <w:b w:val="0"/>
          <w:color w:val="000000"/>
          <w:sz w:val="22"/>
        </w:rPr>
        <w:t>The portal should make Martyn’s Law practical for mosque trustees, premises/security leads, event organisers and front-of-house volunteers. It is not a generic compliance checklist; it links capacity/tier determination to public protection procedures, training and improvement actions.</w:t>
      </w:r>
    </w:p>
    <w:p>
      <w:pPr>
        <w:pStyle w:val="ListBullet"/>
        <w:spacing w:after="80" w:line="276" w:lineRule="auto"/>
      </w:pPr>
      <w:r>
        <w:rPr>
          <w:rFonts w:ascii="Calibri" w:hAnsi="Calibri" w:eastAsia="Calibri"/>
          <w:b w:val="0"/>
          <w:color w:val="000000"/>
          <w:sz w:val="22"/>
        </w:rPr>
        <w:t>Determine whether a premises or qualifying event is in scope, and whether Standard or Enhanced duties apply.</w:t>
      </w:r>
    </w:p>
    <w:p>
      <w:pPr>
        <w:pStyle w:val="ListBullet"/>
        <w:spacing w:after="80" w:line="276" w:lineRule="auto"/>
      </w:pPr>
      <w:r>
        <w:rPr>
          <w:rFonts w:ascii="Calibri" w:hAnsi="Calibri" w:eastAsia="Calibri"/>
          <w:b w:val="0"/>
          <w:color w:val="000000"/>
          <w:sz w:val="22"/>
        </w:rPr>
        <w:t>Guide the Responsible Person through public protection procedures (and, where required, a public protection plan).</w:t>
      </w:r>
    </w:p>
    <w:p>
      <w:pPr>
        <w:pStyle w:val="ListBullet"/>
        <w:spacing w:after="80" w:line="276" w:lineRule="auto"/>
      </w:pPr>
      <w:r>
        <w:rPr>
          <w:rFonts w:ascii="Calibri" w:hAnsi="Calibri" w:eastAsia="Calibri"/>
          <w:b w:val="0"/>
          <w:color w:val="000000"/>
          <w:sz w:val="22"/>
        </w:rPr>
        <w:t>Convert gaps into owned actions with due dates and evidence notes.</w:t>
      </w:r>
    </w:p>
    <w:p>
      <w:pPr>
        <w:pStyle w:val="ListBullet"/>
        <w:spacing w:after="80" w:line="276" w:lineRule="auto"/>
      </w:pPr>
      <w:r>
        <w:rPr>
          <w:rFonts w:ascii="Calibri" w:hAnsi="Calibri" w:eastAsia="Calibri"/>
          <w:b w:val="0"/>
          <w:color w:val="000000"/>
          <w:sz w:val="22"/>
        </w:rPr>
        <w:t>Assign role-based awareness and procedure drills for staff and volunteers.</w:t>
      </w:r>
    </w:p>
    <w:p>
      <w:pPr>
        <w:pStyle w:val="ListBullet"/>
        <w:spacing w:after="80" w:line="276" w:lineRule="auto"/>
      </w:pPr>
      <w:r>
        <w:rPr>
          <w:rFonts w:ascii="Calibri" w:hAnsi="Calibri" w:eastAsia="Calibri"/>
          <w:b w:val="0"/>
          <w:color w:val="000000"/>
          <w:sz w:val="22"/>
        </w:rPr>
        <w:t>Create a durable evidence trail for trustees, insurers and regulatory readiness.</w:t>
      </w:r>
    </w:p>
    <w:p>
      <w:pPr>
        <w:pStyle w:val="ListBullet"/>
        <w:spacing w:after="80" w:line="276" w:lineRule="auto"/>
      </w:pPr>
      <w:r>
        <w:rPr>
          <w:rFonts w:ascii="Calibri" w:hAnsi="Calibri" w:eastAsia="Calibri"/>
          <w:b w:val="0"/>
          <w:color w:val="000000"/>
          <w:sz w:val="22"/>
        </w:rPr>
        <w:t>Reuse the Beacon Mosque pack/token assessment pattern already used for safeguarding.</w:t>
      </w:r>
    </w:p>
    <w:p>
      <w:pPr>
        <w:pStyle w:val="Heading1"/>
        <w:spacing w:before="320" w:after="160"/>
      </w:pPr>
      <w:r>
        <w:rPr>
          <w:rFonts w:ascii="Calibri" w:hAnsi="Calibri" w:eastAsia="Calibri"/>
          <w:b/>
          <w:color w:val="2E74B5"/>
          <w:sz w:val="32"/>
        </w:rPr>
        <w:t>2. Problem statement</w:t>
      </w:r>
    </w:p>
    <w:p>
      <w:pPr>
        <w:spacing w:before="0" w:after="120" w:line="264" w:lineRule="auto"/>
      </w:pPr>
      <w:r>
        <w:rPr>
          <w:rFonts w:ascii="Calibri" w:hAnsi="Calibri" w:eastAsia="Calibri"/>
          <w:b w:val="0"/>
          <w:color w:val="000000"/>
          <w:sz w:val="22"/>
        </w:rPr>
        <w:t>Martyn’s Law (Terrorism (Protection of Premises) Act) places clear duties on those responsible for certain premises and events. Many mosques already think about protective security, but practice is uneven: capacity thresholds are not documented, procedures for evacuate / invacuate / lockdown / communicate are oral, and large gatherings (Jummah, Eid, funerals, conferences) are treated as routine rather than qualifying events.</w:t>
      </w:r>
    </w:p>
    <w:p>
      <w:pPr>
        <w:spacing w:before="0" w:after="120" w:line="264" w:lineRule="auto"/>
      </w:pPr>
      <w:r>
        <w:rPr>
          <w:rFonts w:ascii="Calibri" w:hAnsi="Calibri" w:eastAsia="Calibri"/>
          <w:b w:val="0"/>
          <w:color w:val="000000"/>
          <w:sz w:val="22"/>
        </w:rPr>
        <w:t>Without a shared digital workspace, readiness stays informal, evidence is scattered across WhatsApp and filing cabinets, and trustees cannot see whether the mosque is Standard-tier ready, Enhanced-tier obligated, or still unset.</w:t>
      </w:r>
    </w:p>
    <w:p>
      <w:pPr>
        <w:pStyle w:val="Heading1"/>
        <w:spacing w:before="320" w:after="160"/>
      </w:pPr>
      <w:r>
        <w:rPr>
          <w:rFonts w:ascii="Calibri" w:hAnsi="Calibri" w:eastAsia="Calibri"/>
          <w:b/>
          <w:color w:val="2E74B5"/>
          <w:sz w:val="32"/>
        </w:rPr>
        <w:t>3. Legislative framing (portal wording)</w:t>
      </w:r>
    </w:p>
    <w:p>
      <w:pPr>
        <w:spacing w:before="0" w:after="120" w:line="264" w:lineRule="auto"/>
      </w:pPr>
      <w:r>
        <w:rPr>
          <w:rFonts w:ascii="Calibri" w:hAnsi="Calibri" w:eastAsia="Calibri"/>
          <w:b w:val="0"/>
          <w:color w:val="000000"/>
          <w:sz w:val="22"/>
        </w:rPr>
        <w:t>Portal content must stay aligned with official Home Office / regulator guidance as it is published. The product should encode the duty model, not invent legal advice.</w:t>
      </w:r>
    </w:p>
    <w:tbl>
      <w:tblPr>
        <w:tblStyle w:val="TableGrid"/>
        <w:tblW w:type="dxa" w:w="9360"/>
        <w:tblLook w:firstColumn="1" w:firstRow="1" w:lastColumn="0" w:lastRow="0" w:noHBand="0" w:noVBand="1" w:val="04A0"/>
        <w:tblInd w:w="120" w:type="dxa"/>
        <w:tblLayout w:type="fixed"/>
      </w:tblPr>
      <w:tblGrid>
        <w:gridCol w:w="2880"/>
        <w:gridCol w:w="6480"/>
      </w:tblGrid>
      <w:tr>
        <w:tc>
          <w:tcPr>
            <w:tcW w:type="dxa" w:w="2880"/>
            <w:tcMar>
              <w:top w:w="80" w:type="dxa"/>
              <w:left w:w="120" w:type="dxa"/>
              <w:bottom w:w="80" w:type="dxa"/>
              <w:right w:w="120" w:type="dxa"/>
            </w:tcMar>
            <w:shd w:fill="F2F4F7" w:val="clear"/>
          </w:tcPr>
          <w:p>
            <w:r>
              <w:rPr>
                <w:rFonts w:ascii="Calibri" w:hAnsi="Calibri" w:eastAsia="Calibri"/>
                <w:b/>
                <w:color w:val="0B2545"/>
                <w:sz w:val="20"/>
              </w:rPr>
              <w:t>Concept</w:t>
            </w:r>
          </w:p>
        </w:tc>
        <w:tc>
          <w:tcPr>
            <w:tcW w:type="dxa" w:w="6480"/>
            <w:tcMar>
              <w:top w:w="80" w:type="dxa"/>
              <w:left w:w="120" w:type="dxa"/>
              <w:bottom w:w="80" w:type="dxa"/>
              <w:right w:w="120" w:type="dxa"/>
            </w:tcMar>
            <w:shd w:fill="F2F4F7" w:val="clear"/>
          </w:tcPr>
          <w:p>
            <w:r>
              <w:rPr>
                <w:rFonts w:ascii="Calibri" w:hAnsi="Calibri" w:eastAsia="Calibri"/>
                <w:b/>
                <w:color w:val="0B2545"/>
                <w:sz w:val="20"/>
              </w:rPr>
              <w:t>Portal treatment</w:t>
            </w:r>
          </w:p>
        </w:tc>
      </w:tr>
      <w:tr>
        <w:tc>
          <w:tcPr>
            <w:tcW w:type="dxa" w:w="2880"/>
            <w:tcMar>
              <w:top w:w="80" w:type="dxa"/>
              <w:left w:w="120" w:type="dxa"/>
              <w:bottom w:w="80" w:type="dxa"/>
              <w:right w:w="120" w:type="dxa"/>
            </w:tcMar>
          </w:tcPr>
          <w:p>
            <w:pPr>
              <w:spacing w:before="0" w:after="40"/>
            </w:pPr>
            <w:r>
              <w:rPr>
                <w:rFonts w:ascii="Calibri" w:hAnsi="Calibri" w:eastAsia="Calibri"/>
                <w:b w:val="0"/>
                <w:color w:val="000000"/>
                <w:sz w:val="20"/>
              </w:rPr>
              <w:t>Qualifying premises</w:t>
            </w:r>
          </w:p>
        </w:tc>
        <w:tc>
          <w:tcPr>
            <w:tcW w:type="dxa" w:w="6480"/>
            <w:tcMar>
              <w:top w:w="80" w:type="dxa"/>
              <w:left w:w="120" w:type="dxa"/>
              <w:bottom w:w="80" w:type="dxa"/>
              <w:right w:w="120" w:type="dxa"/>
            </w:tcMar>
          </w:tcPr>
          <w:p>
            <w:pPr>
              <w:spacing w:before="0" w:after="40"/>
            </w:pPr>
            <w:r>
              <w:rPr>
                <w:rFonts w:ascii="Calibri" w:hAnsi="Calibri" w:eastAsia="Calibri"/>
                <w:b w:val="0"/>
                <w:color w:val="000000"/>
                <w:sz w:val="20"/>
              </w:rPr>
              <w:t>Guided questionnaire on use, public access and capacity thresholds</w:t>
            </w:r>
          </w:p>
        </w:tc>
      </w:tr>
      <w:tr>
        <w:tc>
          <w:tcPr>
            <w:tcW w:type="dxa" w:w="2880"/>
            <w:tcMar>
              <w:top w:w="80" w:type="dxa"/>
              <w:left w:w="120" w:type="dxa"/>
              <w:bottom w:w="80" w:type="dxa"/>
              <w:right w:w="120" w:type="dxa"/>
            </w:tcMar>
          </w:tcPr>
          <w:p>
            <w:pPr>
              <w:spacing w:before="0" w:after="40"/>
            </w:pPr>
            <w:r>
              <w:rPr>
                <w:rFonts w:ascii="Calibri" w:hAnsi="Calibri" w:eastAsia="Calibri"/>
                <w:b w:val="0"/>
                <w:color w:val="000000"/>
                <w:sz w:val="20"/>
              </w:rPr>
              <w:t>Qualifying events</w:t>
            </w:r>
          </w:p>
        </w:tc>
        <w:tc>
          <w:tcPr>
            <w:tcW w:type="dxa" w:w="6480"/>
            <w:tcMar>
              <w:top w:w="80" w:type="dxa"/>
              <w:left w:w="120" w:type="dxa"/>
              <w:bottom w:w="80" w:type="dxa"/>
              <w:right w:w="120" w:type="dxa"/>
            </w:tcMar>
          </w:tcPr>
          <w:p>
            <w:pPr>
              <w:spacing w:before="0" w:after="40"/>
            </w:pPr>
            <w:r>
              <w:rPr>
                <w:rFonts w:ascii="Calibri" w:hAnsi="Calibri" w:eastAsia="Calibri"/>
                <w:b w:val="0"/>
                <w:color w:val="000000"/>
                <w:sz w:val="20"/>
              </w:rPr>
              <w:t>Event packs for large gatherings that may trigger duties even if the site itself does not</w:t>
            </w:r>
          </w:p>
        </w:tc>
      </w:tr>
      <w:tr>
        <w:tc>
          <w:tcPr>
            <w:tcW w:type="dxa" w:w="2880"/>
            <w:tcMar>
              <w:top w:w="80" w:type="dxa"/>
              <w:left w:w="120" w:type="dxa"/>
              <w:bottom w:w="80" w:type="dxa"/>
              <w:right w:w="120" w:type="dxa"/>
            </w:tcMar>
          </w:tcPr>
          <w:p>
            <w:pPr>
              <w:spacing w:before="0" w:after="40"/>
            </w:pPr>
            <w:r>
              <w:rPr>
                <w:rFonts w:ascii="Calibri" w:hAnsi="Calibri" w:eastAsia="Calibri"/>
                <w:b w:val="0"/>
                <w:color w:val="000000"/>
                <w:sz w:val="20"/>
              </w:rPr>
              <w:t>Standard duty</w:t>
            </w:r>
          </w:p>
        </w:tc>
        <w:tc>
          <w:tcPr>
            <w:tcW w:type="dxa" w:w="6480"/>
            <w:tcMar>
              <w:top w:w="80" w:type="dxa"/>
              <w:left w:w="120" w:type="dxa"/>
              <w:bottom w:w="80" w:type="dxa"/>
              <w:right w:w="120" w:type="dxa"/>
            </w:tcMar>
          </w:tcPr>
          <w:p>
            <w:pPr>
              <w:spacing w:before="0" w:after="40"/>
            </w:pPr>
            <w:r>
              <w:rPr>
                <w:rFonts w:ascii="Calibri" w:hAnsi="Calibri" w:eastAsia="Calibri"/>
                <w:b w:val="0"/>
                <w:color w:val="000000"/>
                <w:sz w:val="20"/>
              </w:rPr>
              <w:t>Public protection procedures + people aware of their roles</w:t>
            </w:r>
          </w:p>
        </w:tc>
      </w:tr>
      <w:tr>
        <w:tc>
          <w:tcPr>
            <w:tcW w:type="dxa" w:w="2880"/>
            <w:tcMar>
              <w:top w:w="80" w:type="dxa"/>
              <w:left w:w="120" w:type="dxa"/>
              <w:bottom w:w="80" w:type="dxa"/>
              <w:right w:w="120" w:type="dxa"/>
            </w:tcMar>
          </w:tcPr>
          <w:p>
            <w:pPr>
              <w:spacing w:before="0" w:after="40"/>
            </w:pPr>
            <w:r>
              <w:rPr>
                <w:rFonts w:ascii="Calibri" w:hAnsi="Calibri" w:eastAsia="Calibri"/>
                <w:b w:val="0"/>
                <w:color w:val="000000"/>
                <w:sz w:val="20"/>
              </w:rPr>
              <w:t>Enhanced duty</w:t>
            </w:r>
          </w:p>
        </w:tc>
        <w:tc>
          <w:tcPr>
            <w:tcW w:type="dxa" w:w="6480"/>
            <w:tcMar>
              <w:top w:w="80" w:type="dxa"/>
              <w:left w:w="120" w:type="dxa"/>
              <w:bottom w:w="80" w:type="dxa"/>
              <w:right w:w="120" w:type="dxa"/>
            </w:tcMar>
          </w:tcPr>
          <w:p>
            <w:pPr>
              <w:spacing w:before="0" w:after="40"/>
            </w:pPr>
            <w:r>
              <w:rPr>
                <w:rFonts w:ascii="Calibri" w:hAnsi="Calibri" w:eastAsia="Calibri"/>
                <w:b w:val="0"/>
                <w:color w:val="000000"/>
                <w:sz w:val="20"/>
              </w:rPr>
              <w:t>Procedures plus documented public protection plan and appropriate security measures</w:t>
            </w:r>
          </w:p>
        </w:tc>
      </w:tr>
      <w:tr>
        <w:tc>
          <w:tcPr>
            <w:tcW w:type="dxa" w:w="2880"/>
            <w:tcMar>
              <w:top w:w="80" w:type="dxa"/>
              <w:left w:w="120" w:type="dxa"/>
              <w:bottom w:w="80" w:type="dxa"/>
              <w:right w:w="120" w:type="dxa"/>
            </w:tcMar>
          </w:tcPr>
          <w:p>
            <w:pPr>
              <w:spacing w:before="0" w:after="40"/>
            </w:pPr>
            <w:r>
              <w:rPr>
                <w:rFonts w:ascii="Calibri" w:hAnsi="Calibri" w:eastAsia="Calibri"/>
                <w:b w:val="0"/>
                <w:color w:val="000000"/>
                <w:sz w:val="20"/>
              </w:rPr>
              <w:t>Responsible Person</w:t>
            </w:r>
          </w:p>
        </w:tc>
        <w:tc>
          <w:tcPr>
            <w:tcW w:type="dxa" w:w="6480"/>
            <w:tcMar>
              <w:top w:w="80" w:type="dxa"/>
              <w:left w:w="120" w:type="dxa"/>
              <w:bottom w:w="80" w:type="dxa"/>
              <w:right w:w="120" w:type="dxa"/>
            </w:tcMar>
          </w:tcPr>
          <w:p>
            <w:pPr>
              <w:spacing w:before="0" w:after="40"/>
            </w:pPr>
            <w:r>
              <w:rPr>
                <w:rFonts w:ascii="Calibri" w:hAnsi="Calibri" w:eastAsia="Calibri"/>
                <w:b w:val="0"/>
                <w:color w:val="000000"/>
                <w:sz w:val="20"/>
              </w:rPr>
              <w:t>Named in pack; owns procedures/plan and review cycle</w:t>
            </w:r>
          </w:p>
        </w:tc>
      </w:tr>
      <w:tr>
        <w:tc>
          <w:tcPr>
            <w:tcW w:type="dxa" w:w="2880"/>
            <w:tcMar>
              <w:top w:w="80" w:type="dxa"/>
              <w:left w:w="120" w:type="dxa"/>
              <w:bottom w:w="80" w:type="dxa"/>
              <w:right w:w="120" w:type="dxa"/>
            </w:tcMar>
          </w:tcPr>
          <w:p>
            <w:pPr>
              <w:spacing w:before="0" w:after="40"/>
            </w:pPr>
            <w:r>
              <w:rPr>
                <w:rFonts w:ascii="Calibri" w:hAnsi="Calibri" w:eastAsia="Calibri"/>
                <w:b w:val="0"/>
                <w:color w:val="000000"/>
                <w:sz w:val="20"/>
              </w:rPr>
              <w:t>Regulatory readiness</w:t>
            </w:r>
          </w:p>
        </w:tc>
        <w:tc>
          <w:tcPr>
            <w:tcW w:type="dxa" w:w="6480"/>
            <w:tcMar>
              <w:top w:w="80" w:type="dxa"/>
              <w:left w:w="120" w:type="dxa"/>
              <w:bottom w:w="80" w:type="dxa"/>
              <w:right w:w="120" w:type="dxa"/>
            </w:tcMar>
          </w:tcPr>
          <w:p>
            <w:pPr>
              <w:spacing w:before="0" w:after="40"/>
            </w:pPr>
            <w:r>
              <w:rPr>
                <w:rFonts w:ascii="Calibri" w:hAnsi="Calibri" w:eastAsia="Calibri"/>
                <w:b w:val="0"/>
                <w:color w:val="000000"/>
                <w:sz w:val="20"/>
              </w:rPr>
              <w:t>Evidence export for trustee files; not a substitute for legal advice</w:t>
            </w:r>
          </w:p>
        </w:tc>
      </w:tr>
    </w:tbl>
    <w:p/>
    <w:p>
      <w:pPr>
        <w:pStyle w:val="Heading1"/>
        <w:spacing w:before="320" w:after="160"/>
      </w:pPr>
      <w:r>
        <w:rPr>
          <w:rFonts w:ascii="Calibri" w:hAnsi="Calibri" w:eastAsia="Calibri"/>
          <w:b/>
          <w:color w:val="2E74B5"/>
          <w:sz w:val="32"/>
        </w:rPr>
        <w:t>4. Users and roles</w:t>
      </w:r>
    </w:p>
    <w:tbl>
      <w:tblPr>
        <w:tblStyle w:val="TableGrid"/>
        <w:tblW w:type="dxa" w:w="9360"/>
        <w:tblLook w:firstColumn="1" w:firstRow="1" w:lastColumn="0" w:lastRow="0" w:noHBand="0" w:noVBand="1" w:val="04A0"/>
        <w:tblInd w:w="120" w:type="dxa"/>
        <w:tblLayout w:type="fixed"/>
      </w:tblPr>
      <w:tblGrid>
        <w:gridCol w:w="3240"/>
        <w:gridCol w:w="6120"/>
      </w:tblGrid>
      <w:tr>
        <w:tc>
          <w:tcPr>
            <w:tcW w:type="dxa" w:w="3240"/>
            <w:tcMar>
              <w:top w:w="80" w:type="dxa"/>
              <w:left w:w="120" w:type="dxa"/>
              <w:bottom w:w="80" w:type="dxa"/>
              <w:right w:w="120" w:type="dxa"/>
            </w:tcMar>
            <w:shd w:fill="F2F4F7" w:val="clear"/>
          </w:tcPr>
          <w:p>
            <w:r>
              <w:rPr>
                <w:rFonts w:ascii="Calibri" w:hAnsi="Calibri" w:eastAsia="Calibri"/>
                <w:b/>
                <w:color w:val="0B2545"/>
                <w:sz w:val="20"/>
              </w:rPr>
              <w:t>Role</w:t>
            </w:r>
          </w:p>
        </w:tc>
        <w:tc>
          <w:tcPr>
            <w:tcW w:type="dxa" w:w="6120"/>
            <w:tcMar>
              <w:top w:w="80" w:type="dxa"/>
              <w:left w:w="120" w:type="dxa"/>
              <w:bottom w:w="80" w:type="dxa"/>
              <w:right w:w="120" w:type="dxa"/>
            </w:tcMar>
            <w:shd w:fill="F2F4F7" w:val="clear"/>
          </w:tcPr>
          <w:p>
            <w:r>
              <w:rPr>
                <w:rFonts w:ascii="Calibri" w:hAnsi="Calibri" w:eastAsia="Calibri"/>
                <w:b/>
                <w:color w:val="0B2545"/>
                <w:sz w:val="20"/>
              </w:rPr>
              <w:t>Primary job in the portal</w:t>
            </w:r>
          </w:p>
        </w:tc>
      </w:tr>
      <w:tr>
        <w:tc>
          <w:tcPr>
            <w:tcW w:type="dxa" w:w="3240"/>
            <w:tcMar>
              <w:top w:w="80" w:type="dxa"/>
              <w:left w:w="120" w:type="dxa"/>
              <w:bottom w:w="80" w:type="dxa"/>
              <w:right w:w="120" w:type="dxa"/>
            </w:tcMar>
          </w:tcPr>
          <w:p>
            <w:pPr>
              <w:spacing w:before="0" w:after="40"/>
            </w:pPr>
            <w:r>
              <w:rPr>
                <w:rFonts w:ascii="Calibri" w:hAnsi="Calibri" w:eastAsia="Calibri"/>
                <w:b w:val="0"/>
                <w:color w:val="000000"/>
                <w:sz w:val="20"/>
              </w:rPr>
              <w:t>Responsible Person</w:t>
            </w:r>
          </w:p>
        </w:tc>
        <w:tc>
          <w:tcPr>
            <w:tcW w:type="dxa" w:w="6120"/>
            <w:tcMar>
              <w:top w:w="80" w:type="dxa"/>
              <w:left w:w="120" w:type="dxa"/>
              <w:bottom w:w="80" w:type="dxa"/>
              <w:right w:w="120" w:type="dxa"/>
            </w:tcMar>
          </w:tcPr>
          <w:p>
            <w:pPr>
              <w:spacing w:before="0" w:after="40"/>
            </w:pPr>
            <w:r>
              <w:rPr>
                <w:rFonts w:ascii="Calibri" w:hAnsi="Calibri" w:eastAsia="Calibri"/>
                <w:b w:val="0"/>
                <w:color w:val="000000"/>
                <w:sz w:val="20"/>
              </w:rPr>
              <w:t>Confirm premises/event details, complete procedures/plan, own actions</w:t>
            </w:r>
          </w:p>
        </w:tc>
      </w:tr>
      <w:tr>
        <w:tc>
          <w:tcPr>
            <w:tcW w:type="dxa" w:w="3240"/>
            <w:tcMar>
              <w:top w:w="80" w:type="dxa"/>
              <w:left w:w="120" w:type="dxa"/>
              <w:bottom w:w="80" w:type="dxa"/>
              <w:right w:w="120" w:type="dxa"/>
            </w:tcMar>
          </w:tcPr>
          <w:p>
            <w:pPr>
              <w:spacing w:before="0" w:after="40"/>
            </w:pPr>
            <w:r>
              <w:rPr>
                <w:rFonts w:ascii="Calibri" w:hAnsi="Calibri" w:eastAsia="Calibri"/>
                <w:b w:val="0"/>
                <w:color w:val="000000"/>
                <w:sz w:val="20"/>
              </w:rPr>
              <w:t>Trustees / chair</w:t>
            </w:r>
          </w:p>
        </w:tc>
        <w:tc>
          <w:tcPr>
            <w:tcW w:type="dxa" w:w="6120"/>
            <w:tcMar>
              <w:top w:w="80" w:type="dxa"/>
              <w:left w:w="120" w:type="dxa"/>
              <w:bottom w:w="80" w:type="dxa"/>
              <w:right w:w="120" w:type="dxa"/>
            </w:tcMar>
          </w:tcPr>
          <w:p>
            <w:pPr>
              <w:spacing w:before="0" w:after="40"/>
            </w:pPr>
            <w:r>
              <w:rPr>
                <w:rFonts w:ascii="Calibri" w:hAnsi="Calibri" w:eastAsia="Calibri"/>
                <w:b w:val="0"/>
                <w:color w:val="000000"/>
                <w:sz w:val="20"/>
              </w:rPr>
              <w:t>Approve tier determination, review residual risk, resource actions</w:t>
            </w:r>
          </w:p>
        </w:tc>
      </w:tr>
      <w:tr>
        <w:tc>
          <w:tcPr>
            <w:tcW w:type="dxa" w:w="3240"/>
            <w:tcMar>
              <w:top w:w="80" w:type="dxa"/>
              <w:left w:w="120" w:type="dxa"/>
              <w:bottom w:w="80" w:type="dxa"/>
              <w:right w:w="120" w:type="dxa"/>
            </w:tcMar>
          </w:tcPr>
          <w:p>
            <w:pPr>
              <w:spacing w:before="0" w:after="40"/>
            </w:pPr>
            <w:r>
              <w:rPr>
                <w:rFonts w:ascii="Calibri" w:hAnsi="Calibri" w:eastAsia="Calibri"/>
                <w:b w:val="0"/>
                <w:color w:val="000000"/>
                <w:sz w:val="20"/>
              </w:rPr>
              <w:t>Premises &amp; security lead</w:t>
            </w:r>
          </w:p>
        </w:tc>
        <w:tc>
          <w:tcPr>
            <w:tcW w:type="dxa" w:w="6120"/>
            <w:tcMar>
              <w:top w:w="80" w:type="dxa"/>
              <w:left w:w="120" w:type="dxa"/>
              <w:bottom w:w="80" w:type="dxa"/>
              <w:right w:w="120" w:type="dxa"/>
            </w:tcMar>
          </w:tcPr>
          <w:p>
            <w:pPr>
              <w:spacing w:before="0" w:after="40"/>
            </w:pPr>
            <w:r>
              <w:rPr>
                <w:rFonts w:ascii="Calibri" w:hAnsi="Calibri" w:eastAsia="Calibri"/>
                <w:b w:val="0"/>
                <w:color w:val="000000"/>
                <w:sz w:val="20"/>
              </w:rPr>
              <w:t>Complete site, access, CCTV, entry control and protective measures</w:t>
            </w:r>
          </w:p>
        </w:tc>
      </w:tr>
      <w:tr>
        <w:tc>
          <w:tcPr>
            <w:tcW w:type="dxa" w:w="3240"/>
            <w:tcMar>
              <w:top w:w="80" w:type="dxa"/>
              <w:left w:w="120" w:type="dxa"/>
              <w:bottom w:w="80" w:type="dxa"/>
              <w:right w:w="120" w:type="dxa"/>
            </w:tcMar>
          </w:tcPr>
          <w:p>
            <w:pPr>
              <w:spacing w:before="0" w:after="40"/>
            </w:pPr>
            <w:r>
              <w:rPr>
                <w:rFonts w:ascii="Calibri" w:hAnsi="Calibri" w:eastAsia="Calibri"/>
                <w:b w:val="0"/>
                <w:color w:val="000000"/>
                <w:sz w:val="20"/>
              </w:rPr>
              <w:t>Operations / events lead</w:t>
            </w:r>
          </w:p>
        </w:tc>
        <w:tc>
          <w:tcPr>
            <w:tcW w:type="dxa" w:w="6120"/>
            <w:tcMar>
              <w:top w:w="80" w:type="dxa"/>
              <w:left w:w="120" w:type="dxa"/>
              <w:bottom w:w="80" w:type="dxa"/>
              <w:right w:w="120" w:type="dxa"/>
            </w:tcMar>
          </w:tcPr>
          <w:p>
            <w:pPr>
              <w:spacing w:before="0" w:after="40"/>
            </w:pPr>
            <w:r>
              <w:rPr>
                <w:rFonts w:ascii="Calibri" w:hAnsi="Calibri" w:eastAsia="Calibri"/>
                <w:b w:val="0"/>
                <w:color w:val="000000"/>
                <w:sz w:val="20"/>
              </w:rPr>
              <w:t>Register qualifying events; brief stewards; run drills</w:t>
            </w:r>
          </w:p>
        </w:tc>
      </w:tr>
      <w:tr>
        <w:tc>
          <w:tcPr>
            <w:tcW w:type="dxa" w:w="3240"/>
            <w:tcMar>
              <w:top w:w="80" w:type="dxa"/>
              <w:left w:w="120" w:type="dxa"/>
              <w:bottom w:w="80" w:type="dxa"/>
              <w:right w:w="120" w:type="dxa"/>
            </w:tcMar>
          </w:tcPr>
          <w:p>
            <w:pPr>
              <w:spacing w:before="0" w:after="40"/>
            </w:pPr>
            <w:r>
              <w:rPr>
                <w:rFonts w:ascii="Calibri" w:hAnsi="Calibri" w:eastAsia="Calibri"/>
                <w:b w:val="0"/>
                <w:color w:val="000000"/>
                <w:sz w:val="20"/>
              </w:rPr>
              <w:t>Front-of-house / stewards</w:t>
            </w:r>
          </w:p>
        </w:tc>
        <w:tc>
          <w:tcPr>
            <w:tcW w:type="dxa" w:w="6120"/>
            <w:tcMar>
              <w:top w:w="80" w:type="dxa"/>
              <w:left w:w="120" w:type="dxa"/>
              <w:bottom w:w="80" w:type="dxa"/>
              <w:right w:w="120" w:type="dxa"/>
            </w:tcMar>
          </w:tcPr>
          <w:p>
            <w:pPr>
              <w:spacing w:before="0" w:after="40"/>
            </w:pPr>
            <w:r>
              <w:rPr>
                <w:rFonts w:ascii="Calibri" w:hAnsi="Calibri" w:eastAsia="Calibri"/>
                <w:b w:val="0"/>
                <w:color w:val="000000"/>
                <w:sz w:val="20"/>
              </w:rPr>
              <w:t>Complete awareness modules; acknowledge procedure roles</w:t>
            </w:r>
          </w:p>
        </w:tc>
      </w:tr>
      <w:tr>
        <w:tc>
          <w:tcPr>
            <w:tcW w:type="dxa" w:w="3240"/>
            <w:tcMar>
              <w:top w:w="80" w:type="dxa"/>
              <w:left w:w="120" w:type="dxa"/>
              <w:bottom w:w="80" w:type="dxa"/>
              <w:right w:w="120" w:type="dxa"/>
            </w:tcMar>
          </w:tcPr>
          <w:p>
            <w:pPr>
              <w:spacing w:before="0" w:after="40"/>
            </w:pPr>
            <w:r>
              <w:rPr>
                <w:rFonts w:ascii="Calibri" w:hAnsi="Calibri" w:eastAsia="Calibri"/>
                <w:b w:val="0"/>
                <w:color w:val="000000"/>
                <w:sz w:val="20"/>
              </w:rPr>
              <w:t>Beacon Mosque programme team</w:t>
            </w:r>
          </w:p>
        </w:tc>
        <w:tc>
          <w:tcPr>
            <w:tcW w:type="dxa" w:w="6120"/>
            <w:tcMar>
              <w:top w:w="80" w:type="dxa"/>
              <w:left w:w="120" w:type="dxa"/>
              <w:bottom w:w="80" w:type="dxa"/>
              <w:right w:w="120" w:type="dxa"/>
            </w:tcMar>
          </w:tcPr>
          <w:p>
            <w:pPr>
              <w:spacing w:before="0" w:after="40"/>
            </w:pPr>
            <w:r>
              <w:rPr>
                <w:rFonts w:ascii="Calibri" w:hAnsi="Calibri" w:eastAsia="Calibri"/>
                <w:b w:val="0"/>
                <w:color w:val="000000"/>
                <w:sz w:val="20"/>
              </w:rPr>
              <w:t>Issue packs, monitor progress, support mosques, report aggregate readiness</w:t>
            </w:r>
          </w:p>
        </w:tc>
      </w:tr>
    </w:tbl>
    <w:p/>
    <w:p>
      <w:pPr>
        <w:pStyle w:val="Heading1"/>
        <w:spacing w:before="320" w:after="160"/>
      </w:pPr>
      <w:r>
        <w:rPr>
          <w:rFonts w:ascii="Calibri" w:hAnsi="Calibri" w:eastAsia="Calibri"/>
          <w:b/>
          <w:color w:val="2E74B5"/>
          <w:sz w:val="32"/>
        </w:rPr>
        <w:t>5. Scope</w:t>
      </w:r>
    </w:p>
    <w:p>
      <w:pPr>
        <w:pStyle w:val="Heading2"/>
        <w:spacing w:before="240" w:after="120"/>
      </w:pPr>
      <w:r>
        <w:rPr>
          <w:rFonts w:ascii="Calibri" w:hAnsi="Calibri" w:eastAsia="Calibri"/>
          <w:b/>
          <w:color w:val="2E74B5"/>
          <w:sz w:val="26"/>
        </w:rPr>
        <w:t>5.1 In scope</w:t>
      </w:r>
    </w:p>
    <w:p>
      <w:pPr>
        <w:pStyle w:val="ListBullet"/>
        <w:spacing w:after="80" w:line="276" w:lineRule="auto"/>
      </w:pPr>
      <w:r>
        <w:rPr>
          <w:rFonts w:ascii="Calibri" w:hAnsi="Calibri" w:eastAsia="Calibri"/>
          <w:b w:val="0"/>
          <w:color w:val="000000"/>
          <w:sz w:val="22"/>
        </w:rPr>
        <w:t>Mosque / venue packs with secure access links (token model).</w:t>
      </w:r>
    </w:p>
    <w:p>
      <w:pPr>
        <w:pStyle w:val="ListBullet"/>
        <w:spacing w:after="80" w:line="276" w:lineRule="auto"/>
      </w:pPr>
      <w:r>
        <w:rPr>
          <w:rFonts w:ascii="Calibri" w:hAnsi="Calibri" w:eastAsia="Calibri"/>
          <w:b w:val="0"/>
          <w:color w:val="000000"/>
          <w:sz w:val="22"/>
        </w:rPr>
        <w:t>Capacity and use questionnaire with Standard / Enhanced / Out-of-scope outcome.</w:t>
      </w:r>
    </w:p>
    <w:p>
      <w:pPr>
        <w:pStyle w:val="ListBullet"/>
        <w:spacing w:after="80" w:line="276" w:lineRule="auto"/>
      </w:pPr>
      <w:r>
        <w:rPr>
          <w:rFonts w:ascii="Calibri" w:hAnsi="Calibri" w:eastAsia="Calibri"/>
          <w:b w:val="0"/>
          <w:color w:val="000000"/>
          <w:sz w:val="22"/>
        </w:rPr>
        <w:t>Public protection procedures builder (evacuate, invacuate, lockdown, communicate with emergency services).</w:t>
      </w:r>
    </w:p>
    <w:p>
      <w:pPr>
        <w:pStyle w:val="ListBullet"/>
        <w:spacing w:after="80" w:line="276" w:lineRule="auto"/>
      </w:pPr>
      <w:r>
        <w:rPr>
          <w:rFonts w:ascii="Calibri" w:hAnsi="Calibri" w:eastAsia="Calibri"/>
          <w:b w:val="0"/>
          <w:color w:val="000000"/>
          <w:sz w:val="22"/>
        </w:rPr>
        <w:t>Enhanced-tier public protection plan sections and security-measure checklist.</w:t>
      </w:r>
    </w:p>
    <w:p>
      <w:pPr>
        <w:pStyle w:val="ListBullet"/>
        <w:spacing w:after="80" w:line="276" w:lineRule="auto"/>
      </w:pPr>
      <w:r>
        <w:rPr>
          <w:rFonts w:ascii="Calibri" w:hAnsi="Calibri" w:eastAsia="Calibri"/>
          <w:b w:val="0"/>
          <w:color w:val="000000"/>
          <w:sz w:val="22"/>
        </w:rPr>
        <w:t>Qualifying event packs linked to a parent premises pack.</w:t>
      </w:r>
    </w:p>
    <w:p>
      <w:pPr>
        <w:pStyle w:val="ListBullet"/>
        <w:spacing w:after="80" w:line="276" w:lineRule="auto"/>
      </w:pPr>
      <w:r>
        <w:rPr>
          <w:rFonts w:ascii="Calibri" w:hAnsi="Calibri" w:eastAsia="Calibri"/>
          <w:b w:val="0"/>
          <w:color w:val="000000"/>
          <w:sz w:val="22"/>
        </w:rPr>
        <w:t>RAG-rated readiness domains, evidence notes and open actions.</w:t>
      </w:r>
    </w:p>
    <w:p>
      <w:pPr>
        <w:pStyle w:val="ListBullet"/>
        <w:spacing w:after="80" w:line="276" w:lineRule="auto"/>
      </w:pPr>
      <w:r>
        <w:rPr>
          <w:rFonts w:ascii="Calibri" w:hAnsi="Calibri" w:eastAsia="Calibri"/>
          <w:b w:val="0"/>
          <w:color w:val="000000"/>
          <w:sz w:val="22"/>
        </w:rPr>
        <w:t>Role-based awareness training catalogue with completion status.</w:t>
      </w:r>
    </w:p>
    <w:p>
      <w:pPr>
        <w:pStyle w:val="ListBullet"/>
        <w:spacing w:after="80" w:line="276" w:lineRule="auto"/>
      </w:pPr>
      <w:r>
        <w:rPr>
          <w:rFonts w:ascii="Calibri" w:hAnsi="Calibri" w:eastAsia="Calibri"/>
          <w:b w:val="0"/>
          <w:color w:val="000000"/>
          <w:sz w:val="22"/>
        </w:rPr>
        <w:t>Admin view for Beacon Mosque to create packs and monitor progress.</w:t>
      </w:r>
    </w:p>
    <w:p>
      <w:pPr>
        <w:pStyle w:val="ListBullet"/>
        <w:spacing w:after="80" w:line="276" w:lineRule="auto"/>
      </w:pPr>
      <w:r>
        <w:rPr>
          <w:rFonts w:ascii="Calibri" w:hAnsi="Calibri" w:eastAsia="Calibri"/>
          <w:b w:val="0"/>
          <w:color w:val="000000"/>
          <w:sz w:val="22"/>
        </w:rPr>
        <w:t>Trustee summary export (printable / PDF in a later phase).</w:t>
      </w:r>
    </w:p>
    <w:p>
      <w:pPr>
        <w:pStyle w:val="Heading2"/>
        <w:spacing w:before="240" w:after="120"/>
      </w:pPr>
      <w:r>
        <w:rPr>
          <w:rFonts w:ascii="Calibri" w:hAnsi="Calibri" w:eastAsia="Calibri"/>
          <w:b/>
          <w:color w:val="2E74B5"/>
          <w:sz w:val="26"/>
        </w:rPr>
        <w:t>5.2 Out of scope (initial release)</w:t>
      </w:r>
    </w:p>
    <w:p>
      <w:pPr>
        <w:pStyle w:val="ListBullet"/>
        <w:spacing w:after="80" w:line="276" w:lineRule="auto"/>
      </w:pPr>
      <w:r>
        <w:rPr>
          <w:rFonts w:ascii="Calibri" w:hAnsi="Calibri" w:eastAsia="Calibri"/>
          <w:b w:val="0"/>
          <w:color w:val="000000"/>
          <w:sz w:val="22"/>
        </w:rPr>
        <w:t>Live liaison with police CTSA systems or SIA casework.</w:t>
      </w:r>
    </w:p>
    <w:p>
      <w:pPr>
        <w:pStyle w:val="ListBullet"/>
        <w:spacing w:after="80" w:line="276" w:lineRule="auto"/>
      </w:pPr>
      <w:r>
        <w:rPr>
          <w:rFonts w:ascii="Calibri" w:hAnsi="Calibri" w:eastAsia="Calibri"/>
          <w:b w:val="0"/>
          <w:color w:val="000000"/>
          <w:sz w:val="22"/>
        </w:rPr>
        <w:t>Purchase or configuration of physical security equipment.</w:t>
      </w:r>
    </w:p>
    <w:p>
      <w:pPr>
        <w:pStyle w:val="ListBullet"/>
        <w:spacing w:after="80" w:line="276" w:lineRule="auto"/>
      </w:pPr>
      <w:r>
        <w:rPr>
          <w:rFonts w:ascii="Calibri" w:hAnsi="Calibri" w:eastAsia="Calibri"/>
          <w:b w:val="0"/>
          <w:color w:val="000000"/>
          <w:sz w:val="22"/>
        </w:rPr>
        <w:t>Detailed threat intelligence feeds.</w:t>
      </w:r>
    </w:p>
    <w:p>
      <w:pPr>
        <w:pStyle w:val="ListBullet"/>
        <w:spacing w:after="80" w:line="276" w:lineRule="auto"/>
      </w:pPr>
      <w:r>
        <w:rPr>
          <w:rFonts w:ascii="Calibri" w:hAnsi="Calibri" w:eastAsia="Calibri"/>
          <w:b w:val="0"/>
          <w:color w:val="000000"/>
          <w:sz w:val="22"/>
        </w:rPr>
        <w:t>Full multi-site enterprise portfolio management beyond mosque packs.</w:t>
      </w:r>
    </w:p>
    <w:p>
      <w:pPr>
        <w:pStyle w:val="ListBullet"/>
        <w:spacing w:after="80" w:line="276" w:lineRule="auto"/>
      </w:pPr>
      <w:r>
        <w:rPr>
          <w:rFonts w:ascii="Calibri" w:hAnsi="Calibri" w:eastAsia="Calibri"/>
          <w:b w:val="0"/>
          <w:color w:val="000000"/>
          <w:sz w:val="22"/>
        </w:rPr>
        <w:t>Legal determination letters (the portal supports readiness; it does not certify compliance).</w:t>
      </w:r>
    </w:p>
    <w:p>
      <w:pPr>
        <w:pStyle w:val="ListBullet"/>
        <w:spacing w:after="80" w:line="276" w:lineRule="auto"/>
      </w:pPr>
      <w:r>
        <w:rPr>
          <w:rFonts w:ascii="Calibri" w:hAnsi="Calibri" w:eastAsia="Calibri"/>
          <w:b w:val="0"/>
          <w:color w:val="000000"/>
          <w:sz w:val="22"/>
        </w:rPr>
        <w:t>Multi-language content beyond English in phase 1.</w:t>
      </w:r>
    </w:p>
    <w:p>
      <w:pPr>
        <w:pStyle w:val="Heading1"/>
        <w:spacing w:before="320" w:after="160"/>
      </w:pPr>
      <w:r>
        <w:rPr>
          <w:rFonts w:ascii="Calibri" w:hAnsi="Calibri" w:eastAsia="Calibri"/>
          <w:b/>
          <w:color w:val="2E74B5"/>
          <w:sz w:val="32"/>
        </w:rPr>
        <w:t>6. Assessment framework</w:t>
      </w:r>
    </w:p>
    <w:p>
      <w:pPr>
        <w:spacing w:before="0" w:after="120" w:line="264" w:lineRule="auto"/>
      </w:pPr>
      <w:r>
        <w:rPr>
          <w:rFonts w:ascii="Calibri" w:hAnsi="Calibri" w:eastAsia="Calibri"/>
          <w:b w:val="0"/>
          <w:color w:val="000000"/>
          <w:sz w:val="22"/>
        </w:rPr>
        <w:t>Assessment is organised by duty layers and operational domains. Each domain has a short checklist, RAG rating, evidence notes and improvement actions. Domain wording should be reviewed against final statutory guidance before pilot launch.</w:t>
      </w:r>
    </w:p>
    <w:tbl>
      <w:tblPr>
        <w:tblStyle w:val="TableGrid"/>
        <w:tblW w:type="dxa" w:w="9360"/>
        <w:tblLook w:firstColumn="1" w:firstRow="1" w:lastColumn="0" w:lastRow="0" w:noHBand="0" w:noVBand="1" w:val="04A0"/>
        <w:tblInd w:w="120" w:type="dxa"/>
        <w:tblLayout w:type="fixed"/>
      </w:tblPr>
      <w:tblGrid>
        <w:gridCol w:w="2448"/>
        <w:gridCol w:w="3744"/>
        <w:gridCol w:w="3168"/>
      </w:tblGrid>
      <w:tr>
        <w:tc>
          <w:tcPr>
            <w:tcW w:type="dxa" w:w="2448"/>
            <w:tcMar>
              <w:top w:w="80" w:type="dxa"/>
              <w:left w:w="120" w:type="dxa"/>
              <w:bottom w:w="80" w:type="dxa"/>
              <w:right w:w="120" w:type="dxa"/>
            </w:tcMar>
            <w:shd w:fill="F2F4F7" w:val="clear"/>
          </w:tcPr>
          <w:p>
            <w:r>
              <w:rPr>
                <w:rFonts w:ascii="Calibri" w:hAnsi="Calibri" w:eastAsia="Calibri"/>
                <w:b/>
                <w:color w:val="0B2545"/>
                <w:sz w:val="20"/>
              </w:rPr>
              <w:t>Layer</w:t>
            </w:r>
          </w:p>
        </w:tc>
        <w:tc>
          <w:tcPr>
            <w:tcW w:type="dxa" w:w="3744"/>
            <w:tcMar>
              <w:top w:w="80" w:type="dxa"/>
              <w:left w:w="120" w:type="dxa"/>
              <w:bottom w:w="80" w:type="dxa"/>
              <w:right w:w="120" w:type="dxa"/>
            </w:tcMar>
            <w:shd w:fill="F2F4F7" w:val="clear"/>
          </w:tcPr>
          <w:p>
            <w:r>
              <w:rPr>
                <w:rFonts w:ascii="Calibri" w:hAnsi="Calibri" w:eastAsia="Calibri"/>
                <w:b/>
                <w:color w:val="0B2545"/>
                <w:sz w:val="20"/>
              </w:rPr>
              <w:t>Domains</w:t>
            </w:r>
          </w:p>
        </w:tc>
        <w:tc>
          <w:tcPr>
            <w:tcW w:type="dxa" w:w="3168"/>
            <w:tcMar>
              <w:top w:w="80" w:type="dxa"/>
              <w:left w:w="120" w:type="dxa"/>
              <w:bottom w:w="80" w:type="dxa"/>
              <w:right w:w="120" w:type="dxa"/>
            </w:tcMar>
            <w:shd w:fill="F2F4F7" w:val="clear"/>
          </w:tcPr>
          <w:p>
            <w:r>
              <w:rPr>
                <w:rFonts w:ascii="Calibri" w:hAnsi="Calibri" w:eastAsia="Calibri"/>
                <w:b/>
                <w:color w:val="0B2545"/>
                <w:sz w:val="20"/>
              </w:rPr>
              <w:t>Focus</w:t>
            </w:r>
          </w:p>
        </w:tc>
      </w:tr>
      <w:tr>
        <w:tc>
          <w:tcPr>
            <w:tcW w:type="dxa" w:w="2448"/>
            <w:tcMar>
              <w:top w:w="80" w:type="dxa"/>
              <w:left w:w="120" w:type="dxa"/>
              <w:bottom w:w="80" w:type="dxa"/>
              <w:right w:w="120" w:type="dxa"/>
            </w:tcMar>
          </w:tcPr>
          <w:p>
            <w:pPr>
              <w:spacing w:before="0" w:after="40"/>
            </w:pPr>
            <w:r>
              <w:rPr>
                <w:rFonts w:ascii="Calibri" w:hAnsi="Calibri" w:eastAsia="Calibri"/>
                <w:b w:val="0"/>
                <w:color w:val="000000"/>
                <w:sz w:val="20"/>
              </w:rPr>
              <w:t>Duty determination</w:t>
            </w:r>
          </w:p>
        </w:tc>
        <w:tc>
          <w:tcPr>
            <w:tcW w:type="dxa" w:w="3744"/>
            <w:tcMar>
              <w:top w:w="80" w:type="dxa"/>
              <w:left w:w="120" w:type="dxa"/>
              <w:bottom w:w="80" w:type="dxa"/>
              <w:right w:w="120" w:type="dxa"/>
            </w:tcMar>
          </w:tcPr>
          <w:p>
            <w:pPr>
              <w:spacing w:before="0" w:after="40"/>
            </w:pPr>
            <w:r>
              <w:rPr>
                <w:rFonts w:ascii="Calibri" w:hAnsi="Calibri" w:eastAsia="Calibri"/>
                <w:b w:val="0"/>
                <w:color w:val="000000"/>
                <w:sz w:val="20"/>
              </w:rPr>
              <w:t>Capacity &amp; use; Qualifying events; Responsible Person</w:t>
            </w:r>
          </w:p>
        </w:tc>
        <w:tc>
          <w:tcPr>
            <w:tcW w:type="dxa" w:w="3168"/>
            <w:tcMar>
              <w:top w:w="80" w:type="dxa"/>
              <w:left w:w="120" w:type="dxa"/>
              <w:bottom w:w="80" w:type="dxa"/>
              <w:right w:w="120" w:type="dxa"/>
            </w:tcMar>
          </w:tcPr>
          <w:p>
            <w:pPr>
              <w:spacing w:before="0" w:after="40"/>
            </w:pPr>
            <w:r>
              <w:rPr>
                <w:rFonts w:ascii="Calibri" w:hAnsi="Calibri" w:eastAsia="Calibri"/>
                <w:b w:val="0"/>
                <w:color w:val="000000"/>
                <w:sz w:val="20"/>
              </w:rPr>
              <w:t>Is the Act in play, and who owns it?</w:t>
            </w:r>
          </w:p>
        </w:tc>
      </w:tr>
      <w:tr>
        <w:tc>
          <w:tcPr>
            <w:tcW w:type="dxa" w:w="2448"/>
            <w:tcMar>
              <w:top w:w="80" w:type="dxa"/>
              <w:left w:w="120" w:type="dxa"/>
              <w:bottom w:w="80" w:type="dxa"/>
              <w:right w:w="120" w:type="dxa"/>
            </w:tcMar>
          </w:tcPr>
          <w:p>
            <w:pPr>
              <w:spacing w:before="0" w:after="40"/>
            </w:pPr>
            <w:r>
              <w:rPr>
                <w:rFonts w:ascii="Calibri" w:hAnsi="Calibri" w:eastAsia="Calibri"/>
                <w:b w:val="0"/>
                <w:color w:val="000000"/>
                <w:sz w:val="20"/>
              </w:rPr>
              <w:t>Standard procedures</w:t>
            </w:r>
          </w:p>
        </w:tc>
        <w:tc>
          <w:tcPr>
            <w:tcW w:type="dxa" w:w="3744"/>
            <w:tcMar>
              <w:top w:w="80" w:type="dxa"/>
              <w:left w:w="120" w:type="dxa"/>
              <w:bottom w:w="80" w:type="dxa"/>
              <w:right w:w="120" w:type="dxa"/>
            </w:tcMar>
          </w:tcPr>
          <w:p>
            <w:pPr>
              <w:spacing w:before="0" w:after="40"/>
            </w:pPr>
            <w:r>
              <w:rPr>
                <w:rFonts w:ascii="Calibri" w:hAnsi="Calibri" w:eastAsia="Calibri"/>
                <w:b w:val="0"/>
                <w:color w:val="000000"/>
                <w:sz w:val="20"/>
              </w:rPr>
              <w:t>Evacuate; Invacuate; Lockdown; Communicate</w:t>
            </w:r>
          </w:p>
        </w:tc>
        <w:tc>
          <w:tcPr>
            <w:tcW w:type="dxa" w:w="3168"/>
            <w:tcMar>
              <w:top w:w="80" w:type="dxa"/>
              <w:left w:w="120" w:type="dxa"/>
              <w:bottom w:w="80" w:type="dxa"/>
              <w:right w:w="120" w:type="dxa"/>
            </w:tcMar>
          </w:tcPr>
          <w:p>
            <w:pPr>
              <w:spacing w:before="0" w:after="40"/>
            </w:pPr>
            <w:r>
              <w:rPr>
                <w:rFonts w:ascii="Calibri" w:hAnsi="Calibri" w:eastAsia="Calibri"/>
                <w:b w:val="0"/>
                <w:color w:val="000000"/>
                <w:sz w:val="20"/>
              </w:rPr>
              <w:t>Public protection procedures everyone can follow</w:t>
            </w:r>
          </w:p>
        </w:tc>
      </w:tr>
      <w:tr>
        <w:tc>
          <w:tcPr>
            <w:tcW w:type="dxa" w:w="2448"/>
            <w:tcMar>
              <w:top w:w="80" w:type="dxa"/>
              <w:left w:w="120" w:type="dxa"/>
              <w:bottom w:w="80" w:type="dxa"/>
              <w:right w:w="120" w:type="dxa"/>
            </w:tcMar>
          </w:tcPr>
          <w:p>
            <w:pPr>
              <w:spacing w:before="0" w:after="40"/>
            </w:pPr>
            <w:r>
              <w:rPr>
                <w:rFonts w:ascii="Calibri" w:hAnsi="Calibri" w:eastAsia="Calibri"/>
                <w:b w:val="0"/>
                <w:color w:val="000000"/>
                <w:sz w:val="20"/>
              </w:rPr>
              <w:t>Enhanced plan</w:t>
            </w:r>
          </w:p>
        </w:tc>
        <w:tc>
          <w:tcPr>
            <w:tcW w:type="dxa" w:w="3744"/>
            <w:tcMar>
              <w:top w:w="80" w:type="dxa"/>
              <w:left w:w="120" w:type="dxa"/>
              <w:bottom w:w="80" w:type="dxa"/>
              <w:right w:w="120" w:type="dxa"/>
            </w:tcMar>
          </w:tcPr>
          <w:p>
            <w:pPr>
              <w:spacing w:before="0" w:after="40"/>
            </w:pPr>
            <w:r>
              <w:rPr>
                <w:rFonts w:ascii="Calibri" w:hAnsi="Calibri" w:eastAsia="Calibri"/>
                <w:b w:val="0"/>
                <w:color w:val="000000"/>
                <w:sz w:val="20"/>
              </w:rPr>
              <w:t>Risk assessment; Security measures; Plan document; Review cycle</w:t>
            </w:r>
          </w:p>
        </w:tc>
        <w:tc>
          <w:tcPr>
            <w:tcW w:type="dxa" w:w="3168"/>
            <w:tcMar>
              <w:top w:w="80" w:type="dxa"/>
              <w:left w:w="120" w:type="dxa"/>
              <w:bottom w:w="80" w:type="dxa"/>
              <w:right w:w="120" w:type="dxa"/>
            </w:tcMar>
          </w:tcPr>
          <w:p>
            <w:pPr>
              <w:spacing w:before="0" w:after="40"/>
            </w:pPr>
            <w:r>
              <w:rPr>
                <w:rFonts w:ascii="Calibri" w:hAnsi="Calibri" w:eastAsia="Calibri"/>
                <w:b w:val="0"/>
                <w:color w:val="000000"/>
                <w:sz w:val="20"/>
              </w:rPr>
              <w:t>Documented plan and proportionate measures</w:t>
            </w:r>
          </w:p>
        </w:tc>
      </w:tr>
      <w:tr>
        <w:tc>
          <w:tcPr>
            <w:tcW w:type="dxa" w:w="2448"/>
            <w:tcMar>
              <w:top w:w="80" w:type="dxa"/>
              <w:left w:w="120" w:type="dxa"/>
              <w:bottom w:w="80" w:type="dxa"/>
              <w:right w:w="120" w:type="dxa"/>
            </w:tcMar>
          </w:tcPr>
          <w:p>
            <w:pPr>
              <w:spacing w:before="0" w:after="40"/>
            </w:pPr>
            <w:r>
              <w:rPr>
                <w:rFonts w:ascii="Calibri" w:hAnsi="Calibri" w:eastAsia="Calibri"/>
                <w:b w:val="0"/>
                <w:color w:val="000000"/>
                <w:sz w:val="20"/>
              </w:rPr>
              <w:t>People readiness</w:t>
            </w:r>
          </w:p>
        </w:tc>
        <w:tc>
          <w:tcPr>
            <w:tcW w:type="dxa" w:w="3744"/>
            <w:tcMar>
              <w:top w:w="80" w:type="dxa"/>
              <w:left w:w="120" w:type="dxa"/>
              <w:bottom w:w="80" w:type="dxa"/>
              <w:right w:w="120" w:type="dxa"/>
            </w:tcMar>
          </w:tcPr>
          <w:p>
            <w:pPr>
              <w:spacing w:before="0" w:after="40"/>
            </w:pPr>
            <w:r>
              <w:rPr>
                <w:rFonts w:ascii="Calibri" w:hAnsi="Calibri" w:eastAsia="Calibri"/>
                <w:b w:val="0"/>
                <w:color w:val="000000"/>
                <w:sz w:val="20"/>
              </w:rPr>
              <w:t>Role briefings; Awareness training; Drills &amp; rehearsals</w:t>
            </w:r>
          </w:p>
        </w:tc>
        <w:tc>
          <w:tcPr>
            <w:tcW w:type="dxa" w:w="3168"/>
            <w:tcMar>
              <w:top w:w="80" w:type="dxa"/>
              <w:left w:w="120" w:type="dxa"/>
              <w:bottom w:w="80" w:type="dxa"/>
              <w:right w:w="120" w:type="dxa"/>
            </w:tcMar>
          </w:tcPr>
          <w:p>
            <w:pPr>
              <w:spacing w:before="0" w:after="40"/>
            </w:pPr>
            <w:r>
              <w:rPr>
                <w:rFonts w:ascii="Calibri" w:hAnsi="Calibri" w:eastAsia="Calibri"/>
                <w:b w:val="0"/>
                <w:color w:val="000000"/>
                <w:sz w:val="20"/>
              </w:rPr>
              <w:t>Right people know what to do</w:t>
            </w:r>
          </w:p>
        </w:tc>
      </w:tr>
      <w:tr>
        <w:tc>
          <w:tcPr>
            <w:tcW w:type="dxa" w:w="2448"/>
            <w:tcMar>
              <w:top w:w="80" w:type="dxa"/>
              <w:left w:w="120" w:type="dxa"/>
              <w:bottom w:w="80" w:type="dxa"/>
              <w:right w:w="120" w:type="dxa"/>
            </w:tcMar>
          </w:tcPr>
          <w:p>
            <w:pPr>
              <w:spacing w:before="0" w:after="40"/>
            </w:pPr>
            <w:r>
              <w:rPr>
                <w:rFonts w:ascii="Calibri" w:hAnsi="Calibri" w:eastAsia="Calibri"/>
                <w:b w:val="0"/>
                <w:color w:val="000000"/>
                <w:sz w:val="20"/>
              </w:rPr>
              <w:t>Assurance</w:t>
            </w:r>
          </w:p>
        </w:tc>
        <w:tc>
          <w:tcPr>
            <w:tcW w:type="dxa" w:w="3744"/>
            <w:tcMar>
              <w:top w:w="80" w:type="dxa"/>
              <w:left w:w="120" w:type="dxa"/>
              <w:bottom w:w="80" w:type="dxa"/>
              <w:right w:w="120" w:type="dxa"/>
            </w:tcMar>
          </w:tcPr>
          <w:p>
            <w:pPr>
              <w:spacing w:before="0" w:after="40"/>
            </w:pPr>
            <w:r>
              <w:rPr>
                <w:rFonts w:ascii="Calibri" w:hAnsi="Calibri" w:eastAsia="Calibri"/>
                <w:b w:val="0"/>
                <w:color w:val="000000"/>
                <w:sz w:val="20"/>
              </w:rPr>
              <w:t>Evidence pack; Trustee oversight; Annual refresh</w:t>
            </w:r>
          </w:p>
        </w:tc>
        <w:tc>
          <w:tcPr>
            <w:tcW w:type="dxa" w:w="3168"/>
            <w:tcMar>
              <w:top w:w="80" w:type="dxa"/>
              <w:left w:w="120" w:type="dxa"/>
              <w:bottom w:w="80" w:type="dxa"/>
              <w:right w:w="120" w:type="dxa"/>
            </w:tcMar>
          </w:tcPr>
          <w:p>
            <w:pPr>
              <w:spacing w:before="0" w:after="40"/>
            </w:pPr>
            <w:r>
              <w:rPr>
                <w:rFonts w:ascii="Calibri" w:hAnsi="Calibri" w:eastAsia="Calibri"/>
                <w:b w:val="0"/>
                <w:color w:val="000000"/>
                <w:sz w:val="20"/>
              </w:rPr>
              <w:t>Board can see residual risk</w:t>
            </w:r>
          </w:p>
        </w:tc>
      </w:tr>
    </w:tbl>
    <w:p/>
    <w:p>
      <w:pPr>
        <w:pStyle w:val="Heading2"/>
        <w:spacing w:before="240" w:after="120"/>
      </w:pPr>
      <w:r>
        <w:rPr>
          <w:rFonts w:ascii="Calibri" w:hAnsi="Calibri" w:eastAsia="Calibri"/>
          <w:b/>
          <w:color w:val="2E74B5"/>
          <w:sz w:val="26"/>
        </w:rPr>
        <w:t>6.1 Core checklist (phase 1)</w:t>
      </w:r>
    </w:p>
    <w:tbl>
      <w:tblPr>
        <w:tblStyle w:val="TableGrid"/>
        <w:tblW w:type="dxa" w:w="9360"/>
        <w:tblLook w:firstColumn="1" w:firstRow="1" w:lastColumn="0" w:lastRow="0" w:noHBand="0" w:noVBand="1" w:val="04A0"/>
        <w:tblInd w:w="120" w:type="dxa"/>
        <w:tblLayout w:type="fixed"/>
      </w:tblPr>
      <w:tblGrid>
        <w:gridCol w:w="2736"/>
        <w:gridCol w:w="6623"/>
      </w:tblGrid>
      <w:tr>
        <w:tc>
          <w:tcPr>
            <w:tcW w:type="dxa" w:w="2736"/>
            <w:tcMar>
              <w:top w:w="80" w:type="dxa"/>
              <w:left w:w="120" w:type="dxa"/>
              <w:bottom w:w="80" w:type="dxa"/>
              <w:right w:w="120" w:type="dxa"/>
            </w:tcMar>
            <w:shd w:fill="F2F4F7" w:val="clear"/>
          </w:tcPr>
          <w:p>
            <w:r>
              <w:rPr>
                <w:rFonts w:ascii="Calibri" w:hAnsi="Calibri" w:eastAsia="Calibri"/>
                <w:b/>
                <w:color w:val="0B2545"/>
                <w:sz w:val="20"/>
              </w:rPr>
              <w:t>Domain</w:t>
            </w:r>
          </w:p>
        </w:tc>
        <w:tc>
          <w:tcPr>
            <w:tcW w:type="dxa" w:w="6623"/>
            <w:tcMar>
              <w:top w:w="80" w:type="dxa"/>
              <w:left w:w="120" w:type="dxa"/>
              <w:bottom w:w="80" w:type="dxa"/>
              <w:right w:w="120" w:type="dxa"/>
            </w:tcMar>
            <w:shd w:fill="F2F4F7" w:val="clear"/>
          </w:tcPr>
          <w:p>
            <w:r>
              <w:rPr>
                <w:rFonts w:ascii="Calibri" w:hAnsi="Calibri" w:eastAsia="Calibri"/>
                <w:b/>
                <w:color w:val="0B2545"/>
                <w:sz w:val="20"/>
              </w:rPr>
              <w:t>Checklist items</w:t>
            </w:r>
          </w:p>
        </w:tc>
      </w:tr>
      <w:tr>
        <w:tc>
          <w:tcPr>
            <w:tcW w:type="dxa" w:w="2736"/>
            <w:tcMar>
              <w:top w:w="80" w:type="dxa"/>
              <w:left w:w="120" w:type="dxa"/>
              <w:bottom w:w="80" w:type="dxa"/>
              <w:right w:w="120" w:type="dxa"/>
            </w:tcMar>
          </w:tcPr>
          <w:p>
            <w:pPr>
              <w:spacing w:before="0" w:after="40"/>
            </w:pPr>
            <w:r>
              <w:rPr>
                <w:rFonts w:ascii="Calibri" w:hAnsi="Calibri" w:eastAsia="Calibri"/>
                <w:b w:val="0"/>
                <w:color w:val="000000"/>
                <w:sz w:val="20"/>
              </w:rPr>
              <w:t>Capacity &amp; use</w:t>
            </w:r>
          </w:p>
        </w:tc>
        <w:tc>
          <w:tcPr>
            <w:tcW w:type="dxa" w:w="6623"/>
            <w:tcMar>
              <w:top w:w="80" w:type="dxa"/>
              <w:left w:w="120" w:type="dxa"/>
              <w:bottom w:w="80" w:type="dxa"/>
              <w:right w:w="120" w:type="dxa"/>
            </w:tcMar>
          </w:tcPr>
          <w:p>
            <w:pPr>
              <w:spacing w:before="0" w:after="40"/>
            </w:pPr>
            <w:r>
              <w:rPr>
                <w:rFonts w:ascii="Calibri" w:hAnsi="Calibri" w:eastAsia="Calibri"/>
                <w:b w:val="0"/>
                <w:color w:val="000000"/>
                <w:sz w:val="20"/>
              </w:rPr>
              <w:t>Peak public capacity recorded; use categories confirmed; threshold rationale saved</w:t>
            </w:r>
          </w:p>
        </w:tc>
      </w:tr>
      <w:tr>
        <w:tc>
          <w:tcPr>
            <w:tcW w:type="dxa" w:w="2736"/>
            <w:tcMar>
              <w:top w:w="80" w:type="dxa"/>
              <w:left w:w="120" w:type="dxa"/>
              <w:bottom w:w="80" w:type="dxa"/>
              <w:right w:w="120" w:type="dxa"/>
            </w:tcMar>
          </w:tcPr>
          <w:p>
            <w:pPr>
              <w:spacing w:before="0" w:after="40"/>
            </w:pPr>
            <w:r>
              <w:rPr>
                <w:rFonts w:ascii="Calibri" w:hAnsi="Calibri" w:eastAsia="Calibri"/>
                <w:b w:val="0"/>
                <w:color w:val="000000"/>
                <w:sz w:val="20"/>
              </w:rPr>
              <w:t>Responsible Person</w:t>
            </w:r>
          </w:p>
        </w:tc>
        <w:tc>
          <w:tcPr>
            <w:tcW w:type="dxa" w:w="6623"/>
            <w:tcMar>
              <w:top w:w="80" w:type="dxa"/>
              <w:left w:w="120" w:type="dxa"/>
              <w:bottom w:w="80" w:type="dxa"/>
              <w:right w:w="120" w:type="dxa"/>
            </w:tcMar>
          </w:tcPr>
          <w:p>
            <w:pPr>
              <w:spacing w:before="0" w:after="40"/>
            </w:pPr>
            <w:r>
              <w:rPr>
                <w:rFonts w:ascii="Calibri" w:hAnsi="Calibri" w:eastAsia="Calibri"/>
                <w:b w:val="0"/>
                <w:color w:val="000000"/>
                <w:sz w:val="20"/>
              </w:rPr>
              <w:t>Named individual; contact details; deputy identified; trustee endorsement</w:t>
            </w:r>
          </w:p>
        </w:tc>
      </w:tr>
      <w:tr>
        <w:tc>
          <w:tcPr>
            <w:tcW w:type="dxa" w:w="2736"/>
            <w:tcMar>
              <w:top w:w="80" w:type="dxa"/>
              <w:left w:w="120" w:type="dxa"/>
              <w:bottom w:w="80" w:type="dxa"/>
              <w:right w:w="120" w:type="dxa"/>
            </w:tcMar>
          </w:tcPr>
          <w:p>
            <w:pPr>
              <w:spacing w:before="0" w:after="40"/>
            </w:pPr>
            <w:r>
              <w:rPr>
                <w:rFonts w:ascii="Calibri" w:hAnsi="Calibri" w:eastAsia="Calibri"/>
                <w:b w:val="0"/>
                <w:color w:val="000000"/>
                <w:sz w:val="20"/>
              </w:rPr>
              <w:t>Evacuate</w:t>
            </w:r>
          </w:p>
        </w:tc>
        <w:tc>
          <w:tcPr>
            <w:tcW w:type="dxa" w:w="6623"/>
            <w:tcMar>
              <w:top w:w="80" w:type="dxa"/>
              <w:left w:w="120" w:type="dxa"/>
              <w:bottom w:w="80" w:type="dxa"/>
              <w:right w:w="120" w:type="dxa"/>
            </w:tcMar>
          </w:tcPr>
          <w:p>
            <w:pPr>
              <w:spacing w:before="0" w:after="40"/>
            </w:pPr>
            <w:r>
              <w:rPr>
                <w:rFonts w:ascii="Calibri" w:hAnsi="Calibri" w:eastAsia="Calibri"/>
                <w:b w:val="0"/>
                <w:color w:val="000000"/>
                <w:sz w:val="20"/>
              </w:rPr>
              <w:t>Routes; assembly points; roles; accessibility considerations; practice date</w:t>
            </w:r>
          </w:p>
        </w:tc>
      </w:tr>
      <w:tr>
        <w:tc>
          <w:tcPr>
            <w:tcW w:type="dxa" w:w="2736"/>
            <w:tcMar>
              <w:top w:w="80" w:type="dxa"/>
              <w:left w:w="120" w:type="dxa"/>
              <w:bottom w:w="80" w:type="dxa"/>
              <w:right w:w="120" w:type="dxa"/>
            </w:tcMar>
          </w:tcPr>
          <w:p>
            <w:pPr>
              <w:spacing w:before="0" w:after="40"/>
            </w:pPr>
            <w:r>
              <w:rPr>
                <w:rFonts w:ascii="Calibri" w:hAnsi="Calibri" w:eastAsia="Calibri"/>
                <w:b w:val="0"/>
                <w:color w:val="000000"/>
                <w:sz w:val="20"/>
              </w:rPr>
              <w:t>Invacuate / lockdown</w:t>
            </w:r>
          </w:p>
        </w:tc>
        <w:tc>
          <w:tcPr>
            <w:tcW w:type="dxa" w:w="6623"/>
            <w:tcMar>
              <w:top w:w="80" w:type="dxa"/>
              <w:left w:w="120" w:type="dxa"/>
              <w:bottom w:w="80" w:type="dxa"/>
              <w:right w:w="120" w:type="dxa"/>
            </w:tcMar>
          </w:tcPr>
          <w:p>
            <w:pPr>
              <w:spacing w:before="0" w:after="40"/>
            </w:pPr>
            <w:r>
              <w:rPr>
                <w:rFonts w:ascii="Calibri" w:hAnsi="Calibri" w:eastAsia="Calibri"/>
                <w:b w:val="0"/>
                <w:color w:val="000000"/>
                <w:sz w:val="20"/>
              </w:rPr>
              <w:t>Safe areas; how to secure; communication cascade; visitor handling</w:t>
            </w:r>
          </w:p>
        </w:tc>
      </w:tr>
      <w:tr>
        <w:tc>
          <w:tcPr>
            <w:tcW w:type="dxa" w:w="2736"/>
            <w:tcMar>
              <w:top w:w="80" w:type="dxa"/>
              <w:left w:w="120" w:type="dxa"/>
              <w:bottom w:w="80" w:type="dxa"/>
              <w:right w:w="120" w:type="dxa"/>
            </w:tcMar>
          </w:tcPr>
          <w:p>
            <w:pPr>
              <w:spacing w:before="0" w:after="40"/>
            </w:pPr>
            <w:r>
              <w:rPr>
                <w:rFonts w:ascii="Calibri" w:hAnsi="Calibri" w:eastAsia="Calibri"/>
                <w:b w:val="0"/>
                <w:color w:val="000000"/>
                <w:sz w:val="20"/>
              </w:rPr>
              <w:t>Communicate</w:t>
            </w:r>
          </w:p>
        </w:tc>
        <w:tc>
          <w:tcPr>
            <w:tcW w:type="dxa" w:w="6623"/>
            <w:tcMar>
              <w:top w:w="80" w:type="dxa"/>
              <w:left w:w="120" w:type="dxa"/>
              <w:bottom w:w="80" w:type="dxa"/>
              <w:right w:w="120" w:type="dxa"/>
            </w:tcMar>
          </w:tcPr>
          <w:p>
            <w:pPr>
              <w:spacing w:before="0" w:after="40"/>
            </w:pPr>
            <w:r>
              <w:rPr>
                <w:rFonts w:ascii="Calibri" w:hAnsi="Calibri" w:eastAsia="Calibri"/>
                <w:b w:val="0"/>
                <w:color w:val="000000"/>
                <w:sz w:val="20"/>
              </w:rPr>
              <w:t>Who dials 999; what information is given; internal alert method; media holding line</w:t>
            </w:r>
          </w:p>
        </w:tc>
      </w:tr>
      <w:tr>
        <w:tc>
          <w:tcPr>
            <w:tcW w:type="dxa" w:w="2736"/>
            <w:tcMar>
              <w:top w:w="80" w:type="dxa"/>
              <w:left w:w="120" w:type="dxa"/>
              <w:bottom w:w="80" w:type="dxa"/>
              <w:right w:w="120" w:type="dxa"/>
            </w:tcMar>
          </w:tcPr>
          <w:p>
            <w:pPr>
              <w:spacing w:before="0" w:after="40"/>
            </w:pPr>
            <w:r>
              <w:rPr>
                <w:rFonts w:ascii="Calibri" w:hAnsi="Calibri" w:eastAsia="Calibri"/>
                <w:b w:val="0"/>
                <w:color w:val="000000"/>
                <w:sz w:val="20"/>
              </w:rPr>
              <w:t>Enhanced plan</w:t>
            </w:r>
          </w:p>
        </w:tc>
        <w:tc>
          <w:tcPr>
            <w:tcW w:type="dxa" w:w="6623"/>
            <w:tcMar>
              <w:top w:w="80" w:type="dxa"/>
              <w:left w:w="120" w:type="dxa"/>
              <w:bottom w:w="80" w:type="dxa"/>
              <w:right w:w="120" w:type="dxa"/>
            </w:tcMar>
          </w:tcPr>
          <w:p>
            <w:pPr>
              <w:spacing w:before="0" w:after="40"/>
            </w:pPr>
            <w:r>
              <w:rPr>
                <w:rFonts w:ascii="Calibri" w:hAnsi="Calibri" w:eastAsia="Calibri"/>
                <w:b w:val="0"/>
                <w:color w:val="000000"/>
                <w:sz w:val="20"/>
              </w:rPr>
              <w:t>Written plan; security measures proportionate to risk; review date; owner</w:t>
            </w:r>
          </w:p>
        </w:tc>
      </w:tr>
      <w:tr>
        <w:tc>
          <w:tcPr>
            <w:tcW w:type="dxa" w:w="2736"/>
            <w:tcMar>
              <w:top w:w="80" w:type="dxa"/>
              <w:left w:w="120" w:type="dxa"/>
              <w:bottom w:w="80" w:type="dxa"/>
              <w:right w:w="120" w:type="dxa"/>
            </w:tcMar>
          </w:tcPr>
          <w:p>
            <w:pPr>
              <w:spacing w:before="0" w:after="40"/>
            </w:pPr>
            <w:r>
              <w:rPr>
                <w:rFonts w:ascii="Calibri" w:hAnsi="Calibri" w:eastAsia="Calibri"/>
                <w:b w:val="0"/>
                <w:color w:val="000000"/>
                <w:sz w:val="20"/>
              </w:rPr>
              <w:t>Training &amp; drills</w:t>
            </w:r>
          </w:p>
        </w:tc>
        <w:tc>
          <w:tcPr>
            <w:tcW w:type="dxa" w:w="6623"/>
            <w:tcMar>
              <w:top w:w="80" w:type="dxa"/>
              <w:left w:w="120" w:type="dxa"/>
              <w:bottom w:w="80" w:type="dxa"/>
              <w:right w:w="120" w:type="dxa"/>
            </w:tcMar>
          </w:tcPr>
          <w:p>
            <w:pPr>
              <w:spacing w:before="0" w:after="40"/>
            </w:pPr>
            <w:r>
              <w:rPr>
                <w:rFonts w:ascii="Calibri" w:hAnsi="Calibri" w:eastAsia="Calibri"/>
                <w:b w:val="0"/>
                <w:color w:val="000000"/>
                <w:sz w:val="20"/>
              </w:rPr>
              <w:t>Induction for stewards; annual refresh; drill log; lessons learned</w:t>
            </w:r>
          </w:p>
        </w:tc>
      </w:tr>
    </w:tbl>
    <w:p/>
    <w:p>
      <w:pPr>
        <w:pStyle w:val="Heading2"/>
        <w:spacing w:before="240" w:after="120"/>
      </w:pPr>
      <w:r>
        <w:rPr>
          <w:rFonts w:ascii="Calibri" w:hAnsi="Calibri" w:eastAsia="Calibri"/>
          <w:b/>
          <w:color w:val="2E74B5"/>
          <w:sz w:val="26"/>
        </w:rPr>
        <w:t>6.2 RAG meaning</w:t>
      </w:r>
    </w:p>
    <w:tbl>
      <w:tblPr>
        <w:tblStyle w:val="TableGrid"/>
        <w:tblW w:type="dxa" w:w="9360"/>
        <w:tblLook w:firstColumn="1" w:firstRow="1" w:lastColumn="0" w:lastRow="0" w:noHBand="0" w:noVBand="1" w:val="04A0"/>
        <w:tblInd w:w="120" w:type="dxa"/>
        <w:tblLayout w:type="fixed"/>
      </w:tblPr>
      <w:tblGrid>
        <w:gridCol w:w="2160"/>
        <w:gridCol w:w="7200"/>
      </w:tblGrid>
      <w:tr>
        <w:tc>
          <w:tcPr>
            <w:tcW w:type="dxa" w:w="2160"/>
            <w:tcMar>
              <w:top w:w="80" w:type="dxa"/>
              <w:left w:w="120" w:type="dxa"/>
              <w:bottom w:w="80" w:type="dxa"/>
              <w:right w:w="120" w:type="dxa"/>
            </w:tcMar>
            <w:shd w:fill="F2F4F7" w:val="clear"/>
          </w:tcPr>
          <w:p>
            <w:r>
              <w:rPr>
                <w:rFonts w:ascii="Calibri" w:hAnsi="Calibri" w:eastAsia="Calibri"/>
                <w:b/>
                <w:color w:val="0B2545"/>
                <w:sz w:val="20"/>
              </w:rPr>
              <w:t>RAG</w:t>
            </w:r>
          </w:p>
        </w:tc>
        <w:tc>
          <w:tcPr>
            <w:tcW w:type="dxa" w:w="7200"/>
            <w:tcMar>
              <w:top w:w="80" w:type="dxa"/>
              <w:left w:w="120" w:type="dxa"/>
              <w:bottom w:w="80" w:type="dxa"/>
              <w:right w:w="120" w:type="dxa"/>
            </w:tcMar>
            <w:shd w:fill="F2F4F7" w:val="clear"/>
          </w:tcPr>
          <w:p>
            <w:r>
              <w:rPr>
                <w:rFonts w:ascii="Calibri" w:hAnsi="Calibri" w:eastAsia="Calibri"/>
                <w:b/>
                <w:color w:val="0B2545"/>
                <w:sz w:val="20"/>
              </w:rPr>
              <w:t>Meaning</w:t>
            </w:r>
          </w:p>
        </w:tc>
      </w:tr>
      <w:tr>
        <w:tc>
          <w:tcPr>
            <w:tcW w:type="dxa" w:w="2160"/>
            <w:tcMar>
              <w:top w:w="80" w:type="dxa"/>
              <w:left w:w="120" w:type="dxa"/>
              <w:bottom w:w="80" w:type="dxa"/>
              <w:right w:w="120" w:type="dxa"/>
            </w:tcMar>
          </w:tcPr>
          <w:p>
            <w:pPr>
              <w:spacing w:before="0" w:after="40"/>
            </w:pPr>
            <w:r>
              <w:rPr>
                <w:rFonts w:ascii="Calibri" w:hAnsi="Calibri" w:eastAsia="Calibri"/>
                <w:b w:val="0"/>
                <w:color w:val="000000"/>
                <w:sz w:val="20"/>
              </w:rPr>
              <w:t>Green</w:t>
            </w:r>
          </w:p>
        </w:tc>
        <w:tc>
          <w:tcPr>
            <w:tcW w:type="dxa" w:w="7200"/>
            <w:tcMar>
              <w:top w:w="80" w:type="dxa"/>
              <w:left w:w="120" w:type="dxa"/>
              <w:bottom w:w="80" w:type="dxa"/>
              <w:right w:w="120" w:type="dxa"/>
            </w:tcMar>
          </w:tcPr>
          <w:p>
            <w:pPr>
              <w:spacing w:before="0" w:after="40"/>
            </w:pPr>
            <w:r>
              <w:rPr>
                <w:rFonts w:ascii="Calibri" w:hAnsi="Calibri" w:eastAsia="Calibri"/>
                <w:b w:val="0"/>
                <w:color w:val="000000"/>
                <w:sz w:val="20"/>
              </w:rPr>
              <w:t>Procedure/plan is in place, evidenced and reviewed.</w:t>
            </w:r>
          </w:p>
        </w:tc>
      </w:tr>
      <w:tr>
        <w:tc>
          <w:tcPr>
            <w:tcW w:type="dxa" w:w="2160"/>
            <w:tcMar>
              <w:top w:w="80" w:type="dxa"/>
              <w:left w:w="120" w:type="dxa"/>
              <w:bottom w:w="80" w:type="dxa"/>
              <w:right w:w="120" w:type="dxa"/>
            </w:tcMar>
          </w:tcPr>
          <w:p>
            <w:pPr>
              <w:spacing w:before="0" w:after="40"/>
            </w:pPr>
            <w:r>
              <w:rPr>
                <w:rFonts w:ascii="Calibri" w:hAnsi="Calibri" w:eastAsia="Calibri"/>
                <w:b w:val="0"/>
                <w:color w:val="000000"/>
                <w:sz w:val="20"/>
              </w:rPr>
              <w:t>Amber</w:t>
            </w:r>
          </w:p>
        </w:tc>
        <w:tc>
          <w:tcPr>
            <w:tcW w:type="dxa" w:w="7200"/>
            <w:tcMar>
              <w:top w:w="80" w:type="dxa"/>
              <w:left w:w="120" w:type="dxa"/>
              <w:bottom w:w="80" w:type="dxa"/>
              <w:right w:w="120" w:type="dxa"/>
            </w:tcMar>
          </w:tcPr>
          <w:p>
            <w:pPr>
              <w:spacing w:before="0" w:after="40"/>
            </w:pPr>
            <w:r>
              <w:rPr>
                <w:rFonts w:ascii="Calibri" w:hAnsi="Calibri" w:eastAsia="Calibri"/>
                <w:b w:val="0"/>
                <w:color w:val="000000"/>
                <w:sz w:val="20"/>
              </w:rPr>
              <w:t>Partial practice — gaps known and actions planned.</w:t>
            </w:r>
          </w:p>
        </w:tc>
      </w:tr>
      <w:tr>
        <w:tc>
          <w:tcPr>
            <w:tcW w:type="dxa" w:w="2160"/>
            <w:tcMar>
              <w:top w:w="80" w:type="dxa"/>
              <w:left w:w="120" w:type="dxa"/>
              <w:bottom w:w="80" w:type="dxa"/>
              <w:right w:w="120" w:type="dxa"/>
            </w:tcMar>
          </w:tcPr>
          <w:p>
            <w:pPr>
              <w:spacing w:before="0" w:after="40"/>
            </w:pPr>
            <w:r>
              <w:rPr>
                <w:rFonts w:ascii="Calibri" w:hAnsi="Calibri" w:eastAsia="Calibri"/>
                <w:b w:val="0"/>
                <w:color w:val="000000"/>
                <w:sz w:val="20"/>
              </w:rPr>
              <w:t>Red</w:t>
            </w:r>
          </w:p>
        </w:tc>
        <w:tc>
          <w:tcPr>
            <w:tcW w:type="dxa" w:w="7200"/>
            <w:tcMar>
              <w:top w:w="80" w:type="dxa"/>
              <w:left w:w="120" w:type="dxa"/>
              <w:bottom w:w="80" w:type="dxa"/>
              <w:right w:w="120" w:type="dxa"/>
            </w:tcMar>
          </w:tcPr>
          <w:p>
            <w:pPr>
              <w:spacing w:before="0" w:after="40"/>
            </w:pPr>
            <w:r>
              <w:rPr>
                <w:rFonts w:ascii="Calibri" w:hAnsi="Calibri" w:eastAsia="Calibri"/>
                <w:b w:val="0"/>
                <w:color w:val="000000"/>
                <w:sz w:val="20"/>
              </w:rPr>
              <w:t>Missing or unsafe — urgent action required.</w:t>
            </w:r>
          </w:p>
        </w:tc>
      </w:tr>
      <w:tr>
        <w:tc>
          <w:tcPr>
            <w:tcW w:type="dxa" w:w="2160"/>
            <w:tcMar>
              <w:top w:w="80" w:type="dxa"/>
              <w:left w:w="120" w:type="dxa"/>
              <w:bottom w:w="80" w:type="dxa"/>
              <w:right w:w="120" w:type="dxa"/>
            </w:tcMar>
          </w:tcPr>
          <w:p>
            <w:pPr>
              <w:spacing w:before="0" w:after="40"/>
            </w:pPr>
            <w:r>
              <w:rPr>
                <w:rFonts w:ascii="Calibri" w:hAnsi="Calibri" w:eastAsia="Calibri"/>
                <w:b w:val="0"/>
                <w:color w:val="000000"/>
                <w:sz w:val="20"/>
              </w:rPr>
              <w:t>Unset</w:t>
            </w:r>
          </w:p>
        </w:tc>
        <w:tc>
          <w:tcPr>
            <w:tcW w:type="dxa" w:w="7200"/>
            <w:tcMar>
              <w:top w:w="80" w:type="dxa"/>
              <w:left w:w="120" w:type="dxa"/>
              <w:bottom w:w="80" w:type="dxa"/>
              <w:right w:w="120" w:type="dxa"/>
            </w:tcMar>
          </w:tcPr>
          <w:p>
            <w:pPr>
              <w:spacing w:before="0" w:after="40"/>
            </w:pPr>
            <w:r>
              <w:rPr>
                <w:rFonts w:ascii="Calibri" w:hAnsi="Calibri" w:eastAsia="Calibri"/>
                <w:b w:val="0"/>
                <w:color w:val="000000"/>
                <w:sz w:val="20"/>
              </w:rPr>
              <w:t>Not yet reviewed.</w:t>
            </w:r>
          </w:p>
        </w:tc>
      </w:tr>
    </w:tbl>
    <w:p/>
    <w:p>
      <w:pPr>
        <w:pStyle w:val="Heading1"/>
        <w:spacing w:before="320" w:after="160"/>
      </w:pPr>
      <w:r>
        <w:rPr>
          <w:rFonts w:ascii="Calibri" w:hAnsi="Calibri" w:eastAsia="Calibri"/>
          <w:b/>
          <w:color w:val="2E74B5"/>
          <w:sz w:val="32"/>
        </w:rPr>
        <w:t>7. Architecture</w:t>
      </w:r>
    </w:p>
    <w:p>
      <w:pPr>
        <w:spacing w:before="0" w:after="120" w:line="264" w:lineRule="auto"/>
      </w:pPr>
      <w:r>
        <w:rPr>
          <w:rFonts w:ascii="Calibri" w:hAnsi="Calibri" w:eastAsia="Calibri"/>
          <w:b w:val="0"/>
          <w:color w:val="000000"/>
          <w:sz w:val="22"/>
        </w:rPr>
        <w:t>The Martyn’s Law portal should reuse the Beacon Mosque self-assessment stack (Next.js App Router, Cloudflare-friendly APIs, D1/SQLite pack storage, secure access tokens) and extend it with a tier-determination engine and procedure/plan builders.</w:t>
      </w:r>
    </w:p>
    <w:p>
      <w:pPr>
        <w:pStyle w:val="Heading2"/>
        <w:spacing w:before="240" w:after="120"/>
      </w:pPr>
      <w:r>
        <w:rPr>
          <w:rFonts w:ascii="Calibri" w:hAnsi="Calibri" w:eastAsia="Calibri"/>
          <w:b/>
          <w:color w:val="2E74B5"/>
          <w:sz w:val="26"/>
        </w:rPr>
        <w:t>7.1 Logical architecture</w:t>
      </w:r>
    </w:p>
    <w:tbl>
      <w:tblPr>
        <w:tblStyle w:val="TableGrid"/>
        <w:tblW w:type="dxa" w:w="9360"/>
        <w:tblLook w:firstColumn="1" w:firstRow="1" w:lastColumn="0" w:lastRow="0" w:noHBand="0" w:noVBand="1" w:val="04A0"/>
        <w:tblInd w:w="120" w:type="dxa"/>
        <w:tblLayout w:type="fixed"/>
      </w:tblPr>
      <w:tblGrid>
        <w:gridCol w:w="2160"/>
        <w:gridCol w:w="3888"/>
        <w:gridCol w:w="3311"/>
      </w:tblGrid>
      <w:tr>
        <w:tc>
          <w:tcPr>
            <w:tcW w:type="dxa" w:w="2160"/>
            <w:tcMar>
              <w:top w:w="80" w:type="dxa"/>
              <w:left w:w="120" w:type="dxa"/>
              <w:bottom w:w="80" w:type="dxa"/>
              <w:right w:w="120" w:type="dxa"/>
            </w:tcMar>
            <w:shd w:fill="F2F4F7" w:val="clear"/>
          </w:tcPr>
          <w:p>
            <w:r>
              <w:rPr>
                <w:rFonts w:ascii="Calibri" w:hAnsi="Calibri" w:eastAsia="Calibri"/>
                <w:b/>
                <w:color w:val="0B2545"/>
                <w:sz w:val="20"/>
              </w:rPr>
              <w:t>Layer</w:t>
            </w:r>
          </w:p>
        </w:tc>
        <w:tc>
          <w:tcPr>
            <w:tcW w:type="dxa" w:w="3888"/>
            <w:tcMar>
              <w:top w:w="80" w:type="dxa"/>
              <w:left w:w="120" w:type="dxa"/>
              <w:bottom w:w="80" w:type="dxa"/>
              <w:right w:w="120" w:type="dxa"/>
            </w:tcMar>
            <w:shd w:fill="F2F4F7" w:val="clear"/>
          </w:tcPr>
          <w:p>
            <w:r>
              <w:rPr>
                <w:rFonts w:ascii="Calibri" w:hAnsi="Calibri" w:eastAsia="Calibri"/>
                <w:b/>
                <w:color w:val="0B2545"/>
                <w:sz w:val="20"/>
              </w:rPr>
              <w:t>Components</w:t>
            </w:r>
          </w:p>
        </w:tc>
        <w:tc>
          <w:tcPr>
            <w:tcW w:type="dxa" w:w="3311"/>
            <w:tcMar>
              <w:top w:w="80" w:type="dxa"/>
              <w:left w:w="120" w:type="dxa"/>
              <w:bottom w:w="80" w:type="dxa"/>
              <w:right w:w="120" w:type="dxa"/>
            </w:tcMar>
            <w:shd w:fill="F2F4F7" w:val="clear"/>
          </w:tcPr>
          <w:p>
            <w:r>
              <w:rPr>
                <w:rFonts w:ascii="Calibri" w:hAnsi="Calibri" w:eastAsia="Calibri"/>
                <w:b/>
                <w:color w:val="0B2545"/>
                <w:sz w:val="20"/>
              </w:rPr>
              <w:t>Responsibility</w:t>
            </w:r>
          </w:p>
        </w:tc>
      </w:tr>
      <w:tr>
        <w:tc>
          <w:tcPr>
            <w:tcW w:type="dxa" w:w="2160"/>
            <w:tcMar>
              <w:top w:w="80" w:type="dxa"/>
              <w:left w:w="120" w:type="dxa"/>
              <w:bottom w:w="80" w:type="dxa"/>
              <w:right w:w="120" w:type="dxa"/>
            </w:tcMar>
          </w:tcPr>
          <w:p>
            <w:pPr>
              <w:spacing w:before="0" w:after="40"/>
            </w:pPr>
            <w:r>
              <w:rPr>
                <w:rFonts w:ascii="Calibri" w:hAnsi="Calibri" w:eastAsia="Calibri"/>
                <w:b w:val="0"/>
                <w:color w:val="000000"/>
                <w:sz w:val="20"/>
              </w:rPr>
              <w:t>Experience</w:t>
            </w:r>
          </w:p>
        </w:tc>
        <w:tc>
          <w:tcPr>
            <w:tcW w:type="dxa" w:w="3888"/>
            <w:tcMar>
              <w:top w:w="80" w:type="dxa"/>
              <w:left w:w="120" w:type="dxa"/>
              <w:bottom w:w="80" w:type="dxa"/>
              <w:right w:w="120" w:type="dxa"/>
            </w:tcMar>
          </w:tcPr>
          <w:p>
            <w:pPr>
              <w:spacing w:before="0" w:after="40"/>
            </w:pPr>
            <w:r>
              <w:rPr>
                <w:rFonts w:ascii="Calibri" w:hAnsi="Calibri" w:eastAsia="Calibri"/>
                <w:b w:val="0"/>
                <w:color w:val="000000"/>
                <w:sz w:val="20"/>
              </w:rPr>
              <w:t>Pack home, tier wizard, procedure builder, event packs, training view, trustee summary, admin console</w:t>
            </w:r>
          </w:p>
        </w:tc>
        <w:tc>
          <w:tcPr>
            <w:tcW w:type="dxa" w:w="3311"/>
            <w:tcMar>
              <w:top w:w="80" w:type="dxa"/>
              <w:left w:w="120" w:type="dxa"/>
              <w:bottom w:w="80" w:type="dxa"/>
              <w:right w:w="120" w:type="dxa"/>
            </w:tcMar>
          </w:tcPr>
          <w:p>
            <w:pPr>
              <w:spacing w:before="0" w:after="40"/>
            </w:pPr>
            <w:r>
              <w:rPr>
                <w:rFonts w:ascii="Calibri" w:hAnsi="Calibri" w:eastAsia="Calibri"/>
                <w:b w:val="0"/>
                <w:color w:val="000000"/>
                <w:sz w:val="20"/>
              </w:rPr>
              <w:t>Mosque-facing UX and programme operations</w:t>
            </w:r>
          </w:p>
        </w:tc>
      </w:tr>
      <w:tr>
        <w:tc>
          <w:tcPr>
            <w:tcW w:type="dxa" w:w="2160"/>
            <w:tcMar>
              <w:top w:w="80" w:type="dxa"/>
              <w:left w:w="120" w:type="dxa"/>
              <w:bottom w:w="80" w:type="dxa"/>
              <w:right w:w="120" w:type="dxa"/>
            </w:tcMar>
          </w:tcPr>
          <w:p>
            <w:pPr>
              <w:spacing w:before="0" w:after="40"/>
            </w:pPr>
            <w:r>
              <w:rPr>
                <w:rFonts w:ascii="Calibri" w:hAnsi="Calibri" w:eastAsia="Calibri"/>
                <w:b w:val="0"/>
                <w:color w:val="000000"/>
                <w:sz w:val="20"/>
              </w:rPr>
              <w:t>Application APIs</w:t>
            </w:r>
          </w:p>
        </w:tc>
        <w:tc>
          <w:tcPr>
            <w:tcW w:type="dxa" w:w="3888"/>
            <w:tcMar>
              <w:top w:w="80" w:type="dxa"/>
              <w:left w:w="120" w:type="dxa"/>
              <w:bottom w:w="80" w:type="dxa"/>
              <w:right w:w="120" w:type="dxa"/>
            </w:tcMar>
          </w:tcPr>
          <w:p>
            <w:pPr>
              <w:spacing w:before="0" w:after="40"/>
            </w:pPr>
            <w:r>
              <w:rPr>
                <w:rFonts w:ascii="Calibri" w:hAnsi="Calibri" w:eastAsia="Calibri"/>
                <w:b w:val="0"/>
                <w:color w:val="000000"/>
                <w:sz w:val="20"/>
              </w:rPr>
              <w:t>/api/martyns/packs, /domains, /procedures, /events, /actions, /training</w:t>
            </w:r>
          </w:p>
        </w:tc>
        <w:tc>
          <w:tcPr>
            <w:tcW w:type="dxa" w:w="3311"/>
            <w:tcMar>
              <w:top w:w="80" w:type="dxa"/>
              <w:left w:w="120" w:type="dxa"/>
              <w:bottom w:w="80" w:type="dxa"/>
              <w:right w:w="120" w:type="dxa"/>
            </w:tcMar>
          </w:tcPr>
          <w:p>
            <w:pPr>
              <w:spacing w:before="0" w:after="40"/>
            </w:pPr>
            <w:r>
              <w:rPr>
                <w:rFonts w:ascii="Calibri" w:hAnsi="Calibri" w:eastAsia="Calibri"/>
                <w:b w:val="0"/>
                <w:color w:val="000000"/>
                <w:sz w:val="20"/>
              </w:rPr>
              <w:t>CRUD, validation, recommendations</w:t>
            </w:r>
          </w:p>
        </w:tc>
      </w:tr>
      <w:tr>
        <w:tc>
          <w:tcPr>
            <w:tcW w:type="dxa" w:w="2160"/>
            <w:tcMar>
              <w:top w:w="80" w:type="dxa"/>
              <w:left w:w="120" w:type="dxa"/>
              <w:bottom w:w="80" w:type="dxa"/>
              <w:right w:w="120" w:type="dxa"/>
            </w:tcMar>
          </w:tcPr>
          <w:p>
            <w:pPr>
              <w:spacing w:before="0" w:after="40"/>
            </w:pPr>
            <w:r>
              <w:rPr>
                <w:rFonts w:ascii="Calibri" w:hAnsi="Calibri" w:eastAsia="Calibri"/>
                <w:b w:val="0"/>
                <w:color w:val="000000"/>
                <w:sz w:val="20"/>
              </w:rPr>
              <w:t>Domain services</w:t>
            </w:r>
          </w:p>
        </w:tc>
        <w:tc>
          <w:tcPr>
            <w:tcW w:type="dxa" w:w="3888"/>
            <w:tcMar>
              <w:top w:w="80" w:type="dxa"/>
              <w:left w:w="120" w:type="dxa"/>
              <w:bottom w:w="80" w:type="dxa"/>
              <w:right w:w="120" w:type="dxa"/>
            </w:tcMar>
          </w:tcPr>
          <w:p>
            <w:pPr>
              <w:spacing w:before="0" w:after="40"/>
            </w:pPr>
            <w:r>
              <w:rPr>
                <w:rFonts w:ascii="Calibri" w:hAnsi="Calibri" w:eastAsia="Calibri"/>
                <w:b w:val="0"/>
                <w:color w:val="000000"/>
                <w:sz w:val="20"/>
              </w:rPr>
              <w:t>Tier engine; procedure templates; action recommender; training mapper; export builder</w:t>
            </w:r>
          </w:p>
        </w:tc>
        <w:tc>
          <w:tcPr>
            <w:tcW w:type="dxa" w:w="3311"/>
            <w:tcMar>
              <w:top w:w="80" w:type="dxa"/>
              <w:left w:w="120" w:type="dxa"/>
              <w:bottom w:w="80" w:type="dxa"/>
              <w:right w:w="120" w:type="dxa"/>
            </w:tcMar>
          </w:tcPr>
          <w:p>
            <w:pPr>
              <w:spacing w:before="0" w:after="40"/>
            </w:pPr>
            <w:r>
              <w:rPr>
                <w:rFonts w:ascii="Calibri" w:hAnsi="Calibri" w:eastAsia="Calibri"/>
                <w:b w:val="0"/>
                <w:color w:val="000000"/>
                <w:sz w:val="20"/>
              </w:rPr>
              <w:t>Encode Martyn’s Law product rules</w:t>
            </w:r>
          </w:p>
        </w:tc>
      </w:tr>
      <w:tr>
        <w:tc>
          <w:tcPr>
            <w:tcW w:type="dxa" w:w="2160"/>
            <w:tcMar>
              <w:top w:w="80" w:type="dxa"/>
              <w:left w:w="120" w:type="dxa"/>
              <w:bottom w:w="80" w:type="dxa"/>
              <w:right w:w="120" w:type="dxa"/>
            </w:tcMar>
          </w:tcPr>
          <w:p>
            <w:pPr>
              <w:spacing w:before="0" w:after="40"/>
            </w:pPr>
            <w:r>
              <w:rPr>
                <w:rFonts w:ascii="Calibri" w:hAnsi="Calibri" w:eastAsia="Calibri"/>
                <w:b w:val="0"/>
                <w:color w:val="000000"/>
                <w:sz w:val="20"/>
              </w:rPr>
              <w:t>Persistence</w:t>
            </w:r>
          </w:p>
        </w:tc>
        <w:tc>
          <w:tcPr>
            <w:tcW w:type="dxa" w:w="3888"/>
            <w:tcMar>
              <w:top w:w="80" w:type="dxa"/>
              <w:left w:w="120" w:type="dxa"/>
              <w:bottom w:w="80" w:type="dxa"/>
              <w:right w:w="120" w:type="dxa"/>
            </w:tcMar>
          </w:tcPr>
          <w:p>
            <w:pPr>
              <w:spacing w:before="0" w:after="40"/>
            </w:pPr>
            <w:r>
              <w:rPr>
                <w:rFonts w:ascii="Calibri" w:hAnsi="Calibri" w:eastAsia="Calibri"/>
                <w:b w:val="0"/>
                <w:color w:val="000000"/>
                <w:sz w:val="20"/>
              </w:rPr>
              <w:t>D1/SQLite tables for packs, domains, procedures, events, actions, completions</w:t>
            </w:r>
          </w:p>
        </w:tc>
        <w:tc>
          <w:tcPr>
            <w:tcW w:type="dxa" w:w="3311"/>
            <w:tcMar>
              <w:top w:w="80" w:type="dxa"/>
              <w:left w:w="120" w:type="dxa"/>
              <w:bottom w:w="80" w:type="dxa"/>
              <w:right w:w="120" w:type="dxa"/>
            </w:tcMar>
          </w:tcPr>
          <w:p>
            <w:pPr>
              <w:spacing w:before="0" w:after="40"/>
            </w:pPr>
            <w:r>
              <w:rPr>
                <w:rFonts w:ascii="Calibri" w:hAnsi="Calibri" w:eastAsia="Calibri"/>
                <w:b w:val="0"/>
                <w:color w:val="000000"/>
                <w:sz w:val="20"/>
              </w:rPr>
              <w:t>Durable evidence and progress</w:t>
            </w:r>
          </w:p>
        </w:tc>
      </w:tr>
      <w:tr>
        <w:tc>
          <w:tcPr>
            <w:tcW w:type="dxa" w:w="2160"/>
            <w:tcMar>
              <w:top w:w="80" w:type="dxa"/>
              <w:left w:w="120" w:type="dxa"/>
              <w:bottom w:w="80" w:type="dxa"/>
              <w:right w:w="120" w:type="dxa"/>
            </w:tcMar>
          </w:tcPr>
          <w:p>
            <w:pPr>
              <w:spacing w:before="0" w:after="40"/>
            </w:pPr>
            <w:r>
              <w:rPr>
                <w:rFonts w:ascii="Calibri" w:hAnsi="Calibri" w:eastAsia="Calibri"/>
                <w:b w:val="0"/>
                <w:color w:val="000000"/>
                <w:sz w:val="20"/>
              </w:rPr>
              <w:t>Shared platform</w:t>
            </w:r>
          </w:p>
        </w:tc>
        <w:tc>
          <w:tcPr>
            <w:tcW w:type="dxa" w:w="3888"/>
            <w:tcMar>
              <w:top w:w="80" w:type="dxa"/>
              <w:left w:w="120" w:type="dxa"/>
              <w:bottom w:w="80" w:type="dxa"/>
              <w:right w:w="120" w:type="dxa"/>
            </w:tcMar>
          </w:tcPr>
          <w:p>
            <w:pPr>
              <w:spacing w:before="0" w:after="40"/>
            </w:pPr>
            <w:r>
              <w:rPr>
                <w:rFonts w:ascii="Calibri" w:hAnsi="Calibri" w:eastAsia="Calibri"/>
                <w:b w:val="0"/>
                <w:color w:val="000000"/>
                <w:sz w:val="20"/>
              </w:rPr>
              <w:t>Auth/token access, CMS/admin identity, file/evidence store (phase 2), observability</w:t>
            </w:r>
          </w:p>
        </w:tc>
        <w:tc>
          <w:tcPr>
            <w:tcW w:type="dxa" w:w="3311"/>
            <w:tcMar>
              <w:top w:w="80" w:type="dxa"/>
              <w:left w:w="120" w:type="dxa"/>
              <w:bottom w:w="80" w:type="dxa"/>
              <w:right w:w="120" w:type="dxa"/>
            </w:tcMar>
          </w:tcPr>
          <w:p>
            <w:pPr>
              <w:spacing w:before="0" w:after="40"/>
            </w:pPr>
            <w:r>
              <w:rPr>
                <w:rFonts w:ascii="Calibri" w:hAnsi="Calibri" w:eastAsia="Calibri"/>
                <w:b w:val="0"/>
                <w:color w:val="000000"/>
                <w:sz w:val="20"/>
              </w:rPr>
              <w:t>Security and operations</w:t>
            </w:r>
          </w:p>
        </w:tc>
      </w:tr>
    </w:tbl>
    <w:p/>
    <w:p>
      <w:pPr>
        <w:pStyle w:val="Heading2"/>
        <w:spacing w:before="240" w:after="120"/>
      </w:pPr>
      <w:r>
        <w:rPr>
          <w:rFonts w:ascii="Calibri" w:hAnsi="Calibri" w:eastAsia="Calibri"/>
          <w:b/>
          <w:color w:val="2E74B5"/>
          <w:sz w:val="26"/>
        </w:rPr>
        <w:t>7.2 System context</w:t>
      </w:r>
    </w:p>
    <w:p>
      <w:pPr>
        <w:spacing w:before="0" w:after="120" w:line="264" w:lineRule="auto"/>
      </w:pPr>
      <w:r>
        <w:rPr>
          <w:rFonts w:ascii="Calibri" w:hAnsi="Calibri" w:eastAsia="Calibri"/>
          <w:b w:val="0"/>
          <w:color w:val="000000"/>
          <w:sz w:val="22"/>
        </w:rPr>
        <w:t>External actors: Mosque users (Responsible Person, trustees, stewards), Beacon Mosque programme admins, and later optional content/guidance sources. The portal does not directly integrate with police systems in phase 1; it prepares evidence and procedure packs that humans can share with CTSA / local partners when needed.</w:t>
      </w:r>
    </w:p>
    <w:p>
      <w:pPr>
        <w:pStyle w:val="ListBullet"/>
        <w:spacing w:after="80" w:line="276" w:lineRule="auto"/>
      </w:pPr>
      <w:r>
        <w:rPr>
          <w:rFonts w:ascii="Calibri" w:hAnsi="Calibri" w:eastAsia="Calibri"/>
          <w:b w:val="0"/>
          <w:color w:val="000000"/>
          <w:sz w:val="22"/>
        </w:rPr>
        <w:t>Browser clients → Next.js routes/components.</w:t>
      </w:r>
    </w:p>
    <w:p>
      <w:pPr>
        <w:pStyle w:val="ListBullet"/>
        <w:spacing w:after="80" w:line="276" w:lineRule="auto"/>
      </w:pPr>
      <w:r>
        <w:rPr>
          <w:rFonts w:ascii="Calibri" w:hAnsi="Calibri" w:eastAsia="Calibri"/>
          <w:b w:val="0"/>
          <w:color w:val="000000"/>
          <w:sz w:val="22"/>
        </w:rPr>
        <w:t>API handlers validate pack tokens and write to D1.</w:t>
      </w:r>
    </w:p>
    <w:p>
      <w:pPr>
        <w:pStyle w:val="ListBullet"/>
        <w:spacing w:after="80" w:line="276" w:lineRule="auto"/>
      </w:pPr>
      <w:r>
        <w:rPr>
          <w:rFonts w:ascii="Calibri" w:hAnsi="Calibri" w:eastAsia="Calibri"/>
          <w:b w:val="0"/>
          <w:color w:val="000000"/>
          <w:sz w:val="22"/>
        </w:rPr>
        <w:t>Catalog modules (procedure templates, training map) live in versioned code/content.</w:t>
      </w:r>
    </w:p>
    <w:p>
      <w:pPr>
        <w:pStyle w:val="ListBullet"/>
        <w:spacing w:after="80" w:line="276" w:lineRule="auto"/>
      </w:pPr>
      <w:r>
        <w:rPr>
          <w:rFonts w:ascii="Calibri" w:hAnsi="Calibri" w:eastAsia="Calibri"/>
          <w:b w:val="0"/>
          <w:color w:val="000000"/>
          <w:sz w:val="22"/>
        </w:rPr>
        <w:t>Admin console lists packs, RAG summaries and open actions for programme support.</w:t>
      </w:r>
    </w:p>
    <w:p>
      <w:pPr>
        <w:pStyle w:val="ListBullet"/>
        <w:spacing w:after="80" w:line="276" w:lineRule="auto"/>
      </w:pPr>
      <w:r>
        <w:rPr>
          <w:rFonts w:ascii="Calibri" w:hAnsi="Calibri" w:eastAsia="Calibri"/>
          <w:b w:val="0"/>
          <w:color w:val="000000"/>
          <w:sz w:val="22"/>
        </w:rPr>
        <w:t>Optional future: PDF export worker; evidence object storage; SSO for multi-user packs.</w:t>
      </w:r>
    </w:p>
    <w:p>
      <w:pPr>
        <w:pStyle w:val="Heading2"/>
        <w:spacing w:before="240" w:after="120"/>
      </w:pPr>
      <w:r>
        <w:rPr>
          <w:rFonts w:ascii="Calibri" w:hAnsi="Calibri" w:eastAsia="Calibri"/>
          <w:b/>
          <w:color w:val="2E74B5"/>
          <w:sz w:val="26"/>
        </w:rPr>
        <w:t>7.3 Suggested data model (phase 1)</w:t>
      </w:r>
    </w:p>
    <w:tbl>
      <w:tblPr>
        <w:tblStyle w:val="TableGrid"/>
        <w:tblW w:type="dxa" w:w="9360"/>
        <w:tblLook w:firstColumn="1" w:firstRow="1" w:lastColumn="0" w:lastRow="0" w:noHBand="0" w:noVBand="1" w:val="04A0"/>
        <w:tblInd w:w="120" w:type="dxa"/>
        <w:tblLayout w:type="fixed"/>
      </w:tblPr>
      <w:tblGrid>
        <w:gridCol w:w="2448"/>
        <w:gridCol w:w="3888"/>
        <w:gridCol w:w="3024"/>
      </w:tblGrid>
      <w:tr>
        <w:tc>
          <w:tcPr>
            <w:tcW w:type="dxa" w:w="2448"/>
            <w:tcMar>
              <w:top w:w="80" w:type="dxa"/>
              <w:left w:w="120" w:type="dxa"/>
              <w:bottom w:w="80" w:type="dxa"/>
              <w:right w:w="120" w:type="dxa"/>
            </w:tcMar>
            <w:shd w:fill="F2F4F7" w:val="clear"/>
          </w:tcPr>
          <w:p>
            <w:r>
              <w:rPr>
                <w:rFonts w:ascii="Calibri" w:hAnsi="Calibri" w:eastAsia="Calibri"/>
                <w:b/>
                <w:color w:val="0B2545"/>
                <w:sz w:val="20"/>
              </w:rPr>
              <w:t>Entity</w:t>
            </w:r>
          </w:p>
        </w:tc>
        <w:tc>
          <w:tcPr>
            <w:tcW w:type="dxa" w:w="3888"/>
            <w:tcMar>
              <w:top w:w="80" w:type="dxa"/>
              <w:left w:w="120" w:type="dxa"/>
              <w:bottom w:w="80" w:type="dxa"/>
              <w:right w:w="120" w:type="dxa"/>
            </w:tcMar>
            <w:shd w:fill="F2F4F7" w:val="clear"/>
          </w:tcPr>
          <w:p>
            <w:r>
              <w:rPr>
                <w:rFonts w:ascii="Calibri" w:hAnsi="Calibri" w:eastAsia="Calibri"/>
                <w:b/>
                <w:color w:val="0B2545"/>
                <w:sz w:val="20"/>
              </w:rPr>
              <w:t>Key fields</w:t>
            </w:r>
          </w:p>
        </w:tc>
        <w:tc>
          <w:tcPr>
            <w:tcW w:type="dxa" w:w="3024"/>
            <w:tcMar>
              <w:top w:w="80" w:type="dxa"/>
              <w:left w:w="120" w:type="dxa"/>
              <w:bottom w:w="80" w:type="dxa"/>
              <w:right w:w="120" w:type="dxa"/>
            </w:tcMar>
            <w:shd w:fill="F2F4F7" w:val="clear"/>
          </w:tcPr>
          <w:p>
            <w:r>
              <w:rPr>
                <w:rFonts w:ascii="Calibri" w:hAnsi="Calibri" w:eastAsia="Calibri"/>
                <w:b/>
                <w:color w:val="0B2545"/>
                <w:sz w:val="20"/>
              </w:rPr>
              <w:t>Notes</w:t>
            </w:r>
          </w:p>
        </w:tc>
      </w:tr>
      <w:tr>
        <w:tc>
          <w:tcPr>
            <w:tcW w:type="dxa" w:w="2448"/>
            <w:tcMar>
              <w:top w:w="80" w:type="dxa"/>
              <w:left w:w="120" w:type="dxa"/>
              <w:bottom w:w="80" w:type="dxa"/>
              <w:right w:w="120" w:type="dxa"/>
            </w:tcMar>
          </w:tcPr>
          <w:p>
            <w:pPr>
              <w:spacing w:before="0" w:after="40"/>
            </w:pPr>
            <w:r>
              <w:rPr>
                <w:rFonts w:ascii="Calibri" w:hAnsi="Calibri" w:eastAsia="Calibri"/>
                <w:b w:val="0"/>
                <w:color w:val="000000"/>
                <w:sz w:val="20"/>
              </w:rPr>
              <w:t>martyns_packs</w:t>
            </w:r>
          </w:p>
        </w:tc>
        <w:tc>
          <w:tcPr>
            <w:tcW w:type="dxa" w:w="3888"/>
            <w:tcMar>
              <w:top w:w="80" w:type="dxa"/>
              <w:left w:w="120" w:type="dxa"/>
              <w:bottom w:w="80" w:type="dxa"/>
              <w:right w:w="120" w:type="dxa"/>
            </w:tcMar>
          </w:tcPr>
          <w:p>
            <w:pPr>
              <w:spacing w:before="0" w:after="40"/>
            </w:pPr>
            <w:r>
              <w:rPr>
                <w:rFonts w:ascii="Calibri" w:hAnsi="Calibri" w:eastAsia="Calibri"/>
                <w:b w:val="0"/>
                <w:color w:val="000000"/>
                <w:sz w:val="20"/>
              </w:rPr>
              <w:t>id, access_token, venue_name, responsible_person, contact, status, tier_outcome, created_at</w:t>
            </w:r>
          </w:p>
        </w:tc>
        <w:tc>
          <w:tcPr>
            <w:tcW w:type="dxa" w:w="3024"/>
            <w:tcMar>
              <w:top w:w="80" w:type="dxa"/>
              <w:left w:w="120" w:type="dxa"/>
              <w:bottom w:w="80" w:type="dxa"/>
              <w:right w:w="120" w:type="dxa"/>
            </w:tcMar>
          </w:tcPr>
          <w:p>
            <w:pPr>
              <w:spacing w:before="0" w:after="40"/>
            </w:pPr>
            <w:r>
              <w:rPr>
                <w:rFonts w:ascii="Calibri" w:hAnsi="Calibri" w:eastAsia="Calibri"/>
                <w:b w:val="0"/>
                <w:color w:val="000000"/>
                <w:sz w:val="20"/>
              </w:rPr>
              <w:t>Mirrors assessment_packs pattern</w:t>
            </w:r>
          </w:p>
        </w:tc>
      </w:tr>
      <w:tr>
        <w:tc>
          <w:tcPr>
            <w:tcW w:type="dxa" w:w="2448"/>
            <w:tcMar>
              <w:top w:w="80" w:type="dxa"/>
              <w:left w:w="120" w:type="dxa"/>
              <w:bottom w:w="80" w:type="dxa"/>
              <w:right w:w="120" w:type="dxa"/>
            </w:tcMar>
          </w:tcPr>
          <w:p>
            <w:pPr>
              <w:spacing w:before="0" w:after="40"/>
            </w:pPr>
            <w:r>
              <w:rPr>
                <w:rFonts w:ascii="Calibri" w:hAnsi="Calibri" w:eastAsia="Calibri"/>
                <w:b w:val="0"/>
                <w:color w:val="000000"/>
                <w:sz w:val="20"/>
              </w:rPr>
              <w:t>martyns_domains</w:t>
            </w:r>
          </w:p>
        </w:tc>
        <w:tc>
          <w:tcPr>
            <w:tcW w:type="dxa" w:w="3888"/>
            <w:tcMar>
              <w:top w:w="80" w:type="dxa"/>
              <w:left w:w="120" w:type="dxa"/>
              <w:bottom w:w="80" w:type="dxa"/>
              <w:right w:w="120" w:type="dxa"/>
            </w:tcMar>
          </w:tcPr>
          <w:p>
            <w:pPr>
              <w:spacing w:before="0" w:after="40"/>
            </w:pPr>
            <w:r>
              <w:rPr>
                <w:rFonts w:ascii="Calibri" w:hAnsi="Calibri" w:eastAsia="Calibri"/>
                <w:b w:val="0"/>
                <w:color w:val="000000"/>
                <w:sz w:val="20"/>
              </w:rPr>
              <w:t>pack_id, domain_id, rag, checklist_json, evidence_notes, updated_at</w:t>
            </w:r>
          </w:p>
        </w:tc>
        <w:tc>
          <w:tcPr>
            <w:tcW w:type="dxa" w:w="3024"/>
            <w:tcMar>
              <w:top w:w="80" w:type="dxa"/>
              <w:left w:w="120" w:type="dxa"/>
              <w:bottom w:w="80" w:type="dxa"/>
              <w:right w:w="120" w:type="dxa"/>
            </w:tcMar>
          </w:tcPr>
          <w:p>
            <w:pPr>
              <w:spacing w:before="0" w:after="40"/>
            </w:pPr>
            <w:r>
              <w:rPr>
                <w:rFonts w:ascii="Calibri" w:hAnsi="Calibri" w:eastAsia="Calibri"/>
                <w:b w:val="0"/>
                <w:color w:val="000000"/>
                <w:sz w:val="20"/>
              </w:rPr>
              <w:t>RAG + checklist completion</w:t>
            </w:r>
          </w:p>
        </w:tc>
      </w:tr>
      <w:tr>
        <w:tc>
          <w:tcPr>
            <w:tcW w:type="dxa" w:w="2448"/>
            <w:tcMar>
              <w:top w:w="80" w:type="dxa"/>
              <w:left w:w="120" w:type="dxa"/>
              <w:bottom w:w="80" w:type="dxa"/>
              <w:right w:w="120" w:type="dxa"/>
            </w:tcMar>
          </w:tcPr>
          <w:p>
            <w:pPr>
              <w:spacing w:before="0" w:after="40"/>
            </w:pPr>
            <w:r>
              <w:rPr>
                <w:rFonts w:ascii="Calibri" w:hAnsi="Calibri" w:eastAsia="Calibri"/>
                <w:b w:val="0"/>
                <w:color w:val="000000"/>
                <w:sz w:val="20"/>
              </w:rPr>
              <w:t>martyns_procedures</w:t>
            </w:r>
          </w:p>
        </w:tc>
        <w:tc>
          <w:tcPr>
            <w:tcW w:type="dxa" w:w="3888"/>
            <w:tcMar>
              <w:top w:w="80" w:type="dxa"/>
              <w:left w:w="120" w:type="dxa"/>
              <w:bottom w:w="80" w:type="dxa"/>
              <w:right w:w="120" w:type="dxa"/>
            </w:tcMar>
          </w:tcPr>
          <w:p>
            <w:pPr>
              <w:spacing w:before="0" w:after="40"/>
            </w:pPr>
            <w:r>
              <w:rPr>
                <w:rFonts w:ascii="Calibri" w:hAnsi="Calibri" w:eastAsia="Calibri"/>
                <w:b w:val="0"/>
                <w:color w:val="000000"/>
                <w:sz w:val="20"/>
              </w:rPr>
              <w:t>pack_id, procedure_type, steps_json, owners_json, last_drill_at, status</w:t>
            </w:r>
          </w:p>
        </w:tc>
        <w:tc>
          <w:tcPr>
            <w:tcW w:type="dxa" w:w="3024"/>
            <w:tcMar>
              <w:top w:w="80" w:type="dxa"/>
              <w:left w:w="120" w:type="dxa"/>
              <w:bottom w:w="80" w:type="dxa"/>
              <w:right w:w="120" w:type="dxa"/>
            </w:tcMar>
          </w:tcPr>
          <w:p>
            <w:pPr>
              <w:spacing w:before="0" w:after="40"/>
            </w:pPr>
            <w:r>
              <w:rPr>
                <w:rFonts w:ascii="Calibri" w:hAnsi="Calibri" w:eastAsia="Calibri"/>
                <w:b w:val="0"/>
                <w:color w:val="000000"/>
                <w:sz w:val="20"/>
              </w:rPr>
              <w:t>evacuate / invacuate / lockdown / communicate</w:t>
            </w:r>
          </w:p>
        </w:tc>
      </w:tr>
      <w:tr>
        <w:tc>
          <w:tcPr>
            <w:tcW w:type="dxa" w:w="2448"/>
            <w:tcMar>
              <w:top w:w="80" w:type="dxa"/>
              <w:left w:w="120" w:type="dxa"/>
              <w:bottom w:w="80" w:type="dxa"/>
              <w:right w:w="120" w:type="dxa"/>
            </w:tcMar>
          </w:tcPr>
          <w:p>
            <w:pPr>
              <w:spacing w:before="0" w:after="40"/>
            </w:pPr>
            <w:r>
              <w:rPr>
                <w:rFonts w:ascii="Calibri" w:hAnsi="Calibri" w:eastAsia="Calibri"/>
                <w:b w:val="0"/>
                <w:color w:val="000000"/>
                <w:sz w:val="20"/>
              </w:rPr>
              <w:t>martyns_events</w:t>
            </w:r>
          </w:p>
        </w:tc>
        <w:tc>
          <w:tcPr>
            <w:tcW w:type="dxa" w:w="3888"/>
            <w:tcMar>
              <w:top w:w="80" w:type="dxa"/>
              <w:left w:w="120" w:type="dxa"/>
              <w:bottom w:w="80" w:type="dxa"/>
              <w:right w:w="120" w:type="dxa"/>
            </w:tcMar>
          </w:tcPr>
          <w:p>
            <w:pPr>
              <w:spacing w:before="0" w:after="40"/>
            </w:pPr>
            <w:r>
              <w:rPr>
                <w:rFonts w:ascii="Calibri" w:hAnsi="Calibri" w:eastAsia="Calibri"/>
                <w:b w:val="0"/>
                <w:color w:val="000000"/>
                <w:sz w:val="20"/>
              </w:rPr>
              <w:t>id, pack_id, name, expected_capacity, date_label, tier_flags, status</w:t>
            </w:r>
          </w:p>
        </w:tc>
        <w:tc>
          <w:tcPr>
            <w:tcW w:type="dxa" w:w="3024"/>
            <w:tcMar>
              <w:top w:w="80" w:type="dxa"/>
              <w:left w:w="120" w:type="dxa"/>
              <w:bottom w:w="80" w:type="dxa"/>
              <w:right w:w="120" w:type="dxa"/>
            </w:tcMar>
          </w:tcPr>
          <w:p>
            <w:pPr>
              <w:spacing w:before="0" w:after="40"/>
            </w:pPr>
            <w:r>
              <w:rPr>
                <w:rFonts w:ascii="Calibri" w:hAnsi="Calibri" w:eastAsia="Calibri"/>
                <w:b w:val="0"/>
                <w:color w:val="000000"/>
                <w:sz w:val="20"/>
              </w:rPr>
              <w:t>Qualifying event overlays</w:t>
            </w:r>
          </w:p>
        </w:tc>
      </w:tr>
      <w:tr>
        <w:tc>
          <w:tcPr>
            <w:tcW w:type="dxa" w:w="2448"/>
            <w:tcMar>
              <w:top w:w="80" w:type="dxa"/>
              <w:left w:w="120" w:type="dxa"/>
              <w:bottom w:w="80" w:type="dxa"/>
              <w:right w:w="120" w:type="dxa"/>
            </w:tcMar>
          </w:tcPr>
          <w:p>
            <w:pPr>
              <w:spacing w:before="0" w:after="40"/>
            </w:pPr>
            <w:r>
              <w:rPr>
                <w:rFonts w:ascii="Calibri" w:hAnsi="Calibri" w:eastAsia="Calibri"/>
                <w:b w:val="0"/>
                <w:color w:val="000000"/>
                <w:sz w:val="20"/>
              </w:rPr>
              <w:t>martyns_actions</w:t>
            </w:r>
          </w:p>
        </w:tc>
        <w:tc>
          <w:tcPr>
            <w:tcW w:type="dxa" w:w="3888"/>
            <w:tcMar>
              <w:top w:w="80" w:type="dxa"/>
              <w:left w:w="120" w:type="dxa"/>
              <w:bottom w:w="80" w:type="dxa"/>
              <w:right w:w="120" w:type="dxa"/>
            </w:tcMar>
          </w:tcPr>
          <w:p>
            <w:pPr>
              <w:spacing w:before="0" w:after="40"/>
            </w:pPr>
            <w:r>
              <w:rPr>
                <w:rFonts w:ascii="Calibri" w:hAnsi="Calibri" w:eastAsia="Calibri"/>
                <w:b w:val="0"/>
                <w:color w:val="000000"/>
                <w:sz w:val="20"/>
              </w:rPr>
              <w:t>id, pack_id, domain_id, title, owner_role, due_label, status</w:t>
            </w:r>
          </w:p>
        </w:tc>
        <w:tc>
          <w:tcPr>
            <w:tcW w:type="dxa" w:w="3024"/>
            <w:tcMar>
              <w:top w:w="80" w:type="dxa"/>
              <w:left w:w="120" w:type="dxa"/>
              <w:bottom w:w="80" w:type="dxa"/>
              <w:right w:w="120" w:type="dxa"/>
            </w:tcMar>
          </w:tcPr>
          <w:p>
            <w:pPr>
              <w:spacing w:before="0" w:after="40"/>
            </w:pPr>
            <w:r>
              <w:rPr>
                <w:rFonts w:ascii="Calibri" w:hAnsi="Calibri" w:eastAsia="Calibri"/>
                <w:b w:val="0"/>
                <w:color w:val="000000"/>
                <w:sz w:val="20"/>
              </w:rPr>
              <w:t>Improvement backlog</w:t>
            </w:r>
          </w:p>
        </w:tc>
      </w:tr>
      <w:tr>
        <w:tc>
          <w:tcPr>
            <w:tcW w:type="dxa" w:w="2448"/>
            <w:tcMar>
              <w:top w:w="80" w:type="dxa"/>
              <w:left w:w="120" w:type="dxa"/>
              <w:bottom w:w="80" w:type="dxa"/>
              <w:right w:w="120" w:type="dxa"/>
            </w:tcMar>
          </w:tcPr>
          <w:p>
            <w:pPr>
              <w:spacing w:before="0" w:after="40"/>
            </w:pPr>
            <w:r>
              <w:rPr>
                <w:rFonts w:ascii="Calibri" w:hAnsi="Calibri" w:eastAsia="Calibri"/>
                <w:b w:val="0"/>
                <w:color w:val="000000"/>
                <w:sz w:val="20"/>
              </w:rPr>
              <w:t>martyns_training</w:t>
            </w:r>
          </w:p>
        </w:tc>
        <w:tc>
          <w:tcPr>
            <w:tcW w:type="dxa" w:w="3888"/>
            <w:tcMar>
              <w:top w:w="80" w:type="dxa"/>
              <w:left w:w="120" w:type="dxa"/>
              <w:bottom w:w="80" w:type="dxa"/>
              <w:right w:w="120" w:type="dxa"/>
            </w:tcMar>
          </w:tcPr>
          <w:p>
            <w:pPr>
              <w:spacing w:before="0" w:after="40"/>
            </w:pPr>
            <w:r>
              <w:rPr>
                <w:rFonts w:ascii="Calibri" w:hAnsi="Calibri" w:eastAsia="Calibri"/>
                <w:b w:val="0"/>
                <w:color w:val="000000"/>
                <w:sz w:val="20"/>
              </w:rPr>
              <w:t>id, pack_id, person_label, role, module_id, completed_at</w:t>
            </w:r>
          </w:p>
        </w:tc>
        <w:tc>
          <w:tcPr>
            <w:tcW w:type="dxa" w:w="3024"/>
            <w:tcMar>
              <w:top w:w="80" w:type="dxa"/>
              <w:left w:w="120" w:type="dxa"/>
              <w:bottom w:w="80" w:type="dxa"/>
              <w:right w:w="120" w:type="dxa"/>
            </w:tcMar>
          </w:tcPr>
          <w:p>
            <w:pPr>
              <w:spacing w:before="0" w:after="40"/>
            </w:pPr>
            <w:r>
              <w:rPr>
                <w:rFonts w:ascii="Calibri" w:hAnsi="Calibri" w:eastAsia="Calibri"/>
                <w:b w:val="0"/>
                <w:color w:val="000000"/>
                <w:sz w:val="20"/>
              </w:rPr>
              <w:t>Awareness completions</w:t>
            </w:r>
          </w:p>
        </w:tc>
      </w:tr>
    </w:tbl>
    <w:p/>
    <w:p>
      <w:pPr>
        <w:pStyle w:val="Heading2"/>
        <w:spacing w:before="240" w:after="120"/>
      </w:pPr>
      <w:r>
        <w:rPr>
          <w:rFonts w:ascii="Calibri" w:hAnsi="Calibri" w:eastAsia="Calibri"/>
          <w:b/>
          <w:color w:val="2E74B5"/>
          <w:sz w:val="26"/>
        </w:rPr>
        <w:t>7.4 Duty &amp; assurance flow</w:t>
      </w:r>
    </w:p>
    <w:p>
      <w:pPr>
        <w:pStyle w:val="ListBullet"/>
        <w:spacing w:after="80" w:line="276" w:lineRule="auto"/>
      </w:pPr>
      <w:r>
        <w:rPr>
          <w:rFonts w:ascii="Calibri" w:hAnsi="Calibri" w:eastAsia="Calibri"/>
          <w:b w:val="0"/>
          <w:color w:val="000000"/>
          <w:sz w:val="22"/>
        </w:rPr>
        <w:t>1. Create pack → capture venue/event profile.</w:t>
      </w:r>
    </w:p>
    <w:p>
      <w:pPr>
        <w:pStyle w:val="ListBullet"/>
        <w:spacing w:after="80" w:line="276" w:lineRule="auto"/>
      </w:pPr>
      <w:r>
        <w:rPr>
          <w:rFonts w:ascii="Calibri" w:hAnsi="Calibri" w:eastAsia="Calibri"/>
          <w:b w:val="0"/>
          <w:color w:val="000000"/>
          <w:sz w:val="22"/>
        </w:rPr>
        <w:t>2. Tier engine → Out of scope / Standard / Enhanced (with rationale stored).</w:t>
      </w:r>
    </w:p>
    <w:p>
      <w:pPr>
        <w:pStyle w:val="ListBullet"/>
        <w:spacing w:after="80" w:line="276" w:lineRule="auto"/>
      </w:pPr>
      <w:r>
        <w:rPr>
          <w:rFonts w:ascii="Calibri" w:hAnsi="Calibri" w:eastAsia="Calibri"/>
          <w:b w:val="0"/>
          <w:color w:val="000000"/>
          <w:sz w:val="22"/>
        </w:rPr>
        <w:t>3. Procedure builder → four public protection procedures completed and owned.</w:t>
      </w:r>
    </w:p>
    <w:p>
      <w:pPr>
        <w:pStyle w:val="ListBullet"/>
        <w:spacing w:after="80" w:line="276" w:lineRule="auto"/>
      </w:pPr>
      <w:r>
        <w:rPr>
          <w:rFonts w:ascii="Calibri" w:hAnsi="Calibri" w:eastAsia="Calibri"/>
          <w:b w:val="0"/>
          <w:color w:val="000000"/>
          <w:sz w:val="22"/>
        </w:rPr>
        <w:t>4. If Enhanced → public protection plan + security measures checklist.</w:t>
      </w:r>
    </w:p>
    <w:p>
      <w:pPr>
        <w:pStyle w:val="ListBullet"/>
        <w:spacing w:after="80" w:line="276" w:lineRule="auto"/>
      </w:pPr>
      <w:r>
        <w:rPr>
          <w:rFonts w:ascii="Calibri" w:hAnsi="Calibri" w:eastAsia="Calibri"/>
          <w:b w:val="0"/>
          <w:color w:val="000000"/>
          <w:sz w:val="22"/>
        </w:rPr>
        <w:t>5. People readiness → assign modules and record drills.</w:t>
      </w:r>
    </w:p>
    <w:p>
      <w:pPr>
        <w:pStyle w:val="ListBullet"/>
        <w:spacing w:after="80" w:line="276" w:lineRule="auto"/>
      </w:pPr>
      <w:r>
        <w:rPr>
          <w:rFonts w:ascii="Calibri" w:hAnsi="Calibri" w:eastAsia="Calibri"/>
          <w:b w:val="0"/>
          <w:color w:val="000000"/>
          <w:sz w:val="22"/>
        </w:rPr>
        <w:t>6. RAG summary → actions → trustee review → monitoring / annual refresh.</w:t>
      </w:r>
    </w:p>
    <w:p>
      <w:pPr>
        <w:pStyle w:val="Heading2"/>
        <w:spacing w:before="240" w:after="120"/>
      </w:pPr>
      <w:r>
        <w:rPr>
          <w:rFonts w:ascii="Calibri" w:hAnsi="Calibri" w:eastAsia="Calibri"/>
          <w:b/>
          <w:color w:val="2E74B5"/>
          <w:sz w:val="26"/>
        </w:rPr>
        <w:t>7.5 Relationship to safeguarding portal</w:t>
      </w:r>
    </w:p>
    <w:p>
      <w:pPr>
        <w:spacing w:before="0" w:after="120" w:line="264" w:lineRule="auto"/>
      </w:pPr>
      <w:r>
        <w:rPr>
          <w:rFonts w:ascii="Calibri" w:hAnsi="Calibri" w:eastAsia="Calibri"/>
          <w:b w:val="0"/>
          <w:color w:val="000000"/>
          <w:sz w:val="22"/>
        </w:rPr>
        <w:t>Keep Martyn’s Law as a sibling product domain to the safeguarding self-assessment, not a buried subsection. Share platform primitives (pack tokens, RAG, actions, admin list) but keep catalogues, copy and legal framing separate so neither duty is diluted. Cross-links from Premises &amp; Security / Hate Crime domains in the safeguarding pack can deep-link into the Martyn’s Law pack for the same mosque.</w:t>
      </w:r>
    </w:p>
    <w:p>
      <w:pPr>
        <w:pStyle w:val="Heading1"/>
        <w:spacing w:before="320" w:after="160"/>
      </w:pPr>
      <w:r>
        <w:rPr>
          <w:rFonts w:ascii="Calibri" w:hAnsi="Calibri" w:eastAsia="Calibri"/>
          <w:b/>
          <w:color w:val="2E74B5"/>
          <w:sz w:val="32"/>
        </w:rPr>
        <w:t>8. Training pathway design</w:t>
      </w:r>
    </w:p>
    <w:p>
      <w:pPr>
        <w:spacing w:before="0" w:after="120" w:line="264" w:lineRule="auto"/>
      </w:pPr>
      <w:r>
        <w:rPr>
          <w:rFonts w:ascii="Calibri" w:hAnsi="Calibri" w:eastAsia="Calibri"/>
          <w:b w:val="0"/>
          <w:color w:val="000000"/>
          <w:sz w:val="22"/>
        </w:rPr>
        <w:t>Training follows the assessment. Amber/red procedure domains recommend the modules that close the gap. Completions feed the People readiness layer.</w:t>
      </w:r>
    </w:p>
    <w:tbl>
      <w:tblPr>
        <w:tblStyle w:val="TableGrid"/>
        <w:tblW w:type="dxa" w:w="9360"/>
        <w:tblLook w:firstColumn="1" w:firstRow="1" w:lastColumn="0" w:lastRow="0" w:noHBand="0" w:noVBand="1" w:val="04A0"/>
        <w:tblInd w:w="120" w:type="dxa"/>
        <w:tblLayout w:type="fixed"/>
      </w:tblPr>
      <w:tblGrid>
        <w:gridCol w:w="3024"/>
        <w:gridCol w:w="2592"/>
        <w:gridCol w:w="3744"/>
      </w:tblGrid>
      <w:tr>
        <w:tc>
          <w:tcPr>
            <w:tcW w:type="dxa" w:w="3024"/>
            <w:tcMar>
              <w:top w:w="80" w:type="dxa"/>
              <w:left w:w="120" w:type="dxa"/>
              <w:bottom w:w="80" w:type="dxa"/>
              <w:right w:w="120" w:type="dxa"/>
            </w:tcMar>
            <w:shd w:fill="F2F4F7" w:val="clear"/>
          </w:tcPr>
          <w:p>
            <w:r>
              <w:rPr>
                <w:rFonts w:ascii="Calibri" w:hAnsi="Calibri" w:eastAsia="Calibri"/>
                <w:b/>
                <w:color w:val="0B2545"/>
                <w:sz w:val="20"/>
              </w:rPr>
              <w:t>Module</w:t>
            </w:r>
          </w:p>
        </w:tc>
        <w:tc>
          <w:tcPr>
            <w:tcW w:type="dxa" w:w="2592"/>
            <w:tcMar>
              <w:top w:w="80" w:type="dxa"/>
              <w:left w:w="120" w:type="dxa"/>
              <w:bottom w:w="80" w:type="dxa"/>
              <w:right w:w="120" w:type="dxa"/>
            </w:tcMar>
            <w:shd w:fill="F2F4F7" w:val="clear"/>
          </w:tcPr>
          <w:p>
            <w:r>
              <w:rPr>
                <w:rFonts w:ascii="Calibri" w:hAnsi="Calibri" w:eastAsia="Calibri"/>
                <w:b/>
                <w:color w:val="0B2545"/>
                <w:sz w:val="20"/>
              </w:rPr>
              <w:t>Audience</w:t>
            </w:r>
          </w:p>
        </w:tc>
        <w:tc>
          <w:tcPr>
            <w:tcW w:type="dxa" w:w="3744"/>
            <w:tcMar>
              <w:top w:w="80" w:type="dxa"/>
              <w:left w:w="120" w:type="dxa"/>
              <w:bottom w:w="80" w:type="dxa"/>
              <w:right w:w="120" w:type="dxa"/>
            </w:tcMar>
            <w:shd w:fill="F2F4F7" w:val="clear"/>
          </w:tcPr>
          <w:p>
            <w:r>
              <w:rPr>
                <w:rFonts w:ascii="Calibri" w:hAnsi="Calibri" w:eastAsia="Calibri"/>
                <w:b/>
                <w:color w:val="0B2545"/>
                <w:sz w:val="20"/>
              </w:rPr>
              <w:t>Outcome</w:t>
            </w:r>
          </w:p>
        </w:tc>
      </w:tr>
      <w:tr>
        <w:tc>
          <w:tcPr>
            <w:tcW w:type="dxa" w:w="3024"/>
            <w:tcMar>
              <w:top w:w="80" w:type="dxa"/>
              <w:left w:w="120" w:type="dxa"/>
              <w:bottom w:w="80" w:type="dxa"/>
              <w:right w:w="120" w:type="dxa"/>
            </w:tcMar>
          </w:tcPr>
          <w:p>
            <w:pPr>
              <w:spacing w:before="0" w:after="40"/>
            </w:pPr>
            <w:r>
              <w:rPr>
                <w:rFonts w:ascii="Calibri" w:hAnsi="Calibri" w:eastAsia="Calibri"/>
                <w:b w:val="0"/>
                <w:color w:val="000000"/>
                <w:sz w:val="20"/>
              </w:rPr>
              <w:t>Martyn’s Law awareness</w:t>
            </w:r>
          </w:p>
        </w:tc>
        <w:tc>
          <w:tcPr>
            <w:tcW w:type="dxa" w:w="2592"/>
            <w:tcMar>
              <w:top w:w="80" w:type="dxa"/>
              <w:left w:w="120" w:type="dxa"/>
              <w:bottom w:w="80" w:type="dxa"/>
              <w:right w:w="120" w:type="dxa"/>
            </w:tcMar>
          </w:tcPr>
          <w:p>
            <w:pPr>
              <w:spacing w:before="0" w:after="40"/>
            </w:pPr>
            <w:r>
              <w:rPr>
                <w:rFonts w:ascii="Calibri" w:hAnsi="Calibri" w:eastAsia="Calibri"/>
                <w:b w:val="0"/>
                <w:color w:val="000000"/>
                <w:sz w:val="20"/>
              </w:rPr>
              <w:t>All staff &amp; stewards</w:t>
            </w:r>
          </w:p>
        </w:tc>
        <w:tc>
          <w:tcPr>
            <w:tcW w:type="dxa" w:w="3744"/>
            <w:tcMar>
              <w:top w:w="80" w:type="dxa"/>
              <w:left w:w="120" w:type="dxa"/>
              <w:bottom w:w="80" w:type="dxa"/>
              <w:right w:w="120" w:type="dxa"/>
            </w:tcMar>
          </w:tcPr>
          <w:p>
            <w:pPr>
              <w:spacing w:before="0" w:after="40"/>
            </w:pPr>
            <w:r>
              <w:rPr>
                <w:rFonts w:ascii="Calibri" w:hAnsi="Calibri" w:eastAsia="Calibri"/>
                <w:b w:val="0"/>
                <w:color w:val="000000"/>
                <w:sz w:val="20"/>
              </w:rPr>
              <w:t>Understand why procedures exist and personal role</w:t>
            </w:r>
          </w:p>
        </w:tc>
      </w:tr>
      <w:tr>
        <w:tc>
          <w:tcPr>
            <w:tcW w:type="dxa" w:w="3024"/>
            <w:tcMar>
              <w:top w:w="80" w:type="dxa"/>
              <w:left w:w="120" w:type="dxa"/>
              <w:bottom w:w="80" w:type="dxa"/>
              <w:right w:w="120" w:type="dxa"/>
            </w:tcMar>
          </w:tcPr>
          <w:p>
            <w:pPr>
              <w:spacing w:before="0" w:after="40"/>
            </w:pPr>
            <w:r>
              <w:rPr>
                <w:rFonts w:ascii="Calibri" w:hAnsi="Calibri" w:eastAsia="Calibri"/>
                <w:b w:val="0"/>
                <w:color w:val="000000"/>
                <w:sz w:val="20"/>
              </w:rPr>
              <w:t>Responsible Person briefing</w:t>
            </w:r>
          </w:p>
        </w:tc>
        <w:tc>
          <w:tcPr>
            <w:tcW w:type="dxa" w:w="2592"/>
            <w:tcMar>
              <w:top w:w="80" w:type="dxa"/>
              <w:left w:w="120" w:type="dxa"/>
              <w:bottom w:w="80" w:type="dxa"/>
              <w:right w:w="120" w:type="dxa"/>
            </w:tcMar>
          </w:tcPr>
          <w:p>
            <w:pPr>
              <w:spacing w:before="0" w:after="40"/>
            </w:pPr>
            <w:r>
              <w:rPr>
                <w:rFonts w:ascii="Calibri" w:hAnsi="Calibri" w:eastAsia="Calibri"/>
                <w:b w:val="0"/>
                <w:color w:val="000000"/>
                <w:sz w:val="20"/>
              </w:rPr>
              <w:t>Named RP / deputies</w:t>
            </w:r>
          </w:p>
        </w:tc>
        <w:tc>
          <w:tcPr>
            <w:tcW w:type="dxa" w:w="3744"/>
            <w:tcMar>
              <w:top w:w="80" w:type="dxa"/>
              <w:left w:w="120" w:type="dxa"/>
              <w:bottom w:w="80" w:type="dxa"/>
              <w:right w:w="120" w:type="dxa"/>
            </w:tcMar>
          </w:tcPr>
          <w:p>
            <w:pPr>
              <w:spacing w:before="0" w:after="40"/>
            </w:pPr>
            <w:r>
              <w:rPr>
                <w:rFonts w:ascii="Calibri" w:hAnsi="Calibri" w:eastAsia="Calibri"/>
                <w:b w:val="0"/>
                <w:color w:val="000000"/>
                <w:sz w:val="20"/>
              </w:rPr>
              <w:t>Own tier outcome, procedures/plan and review cycle</w:t>
            </w:r>
          </w:p>
        </w:tc>
      </w:tr>
      <w:tr>
        <w:tc>
          <w:tcPr>
            <w:tcW w:type="dxa" w:w="3024"/>
            <w:tcMar>
              <w:top w:w="80" w:type="dxa"/>
              <w:left w:w="120" w:type="dxa"/>
              <w:bottom w:w="80" w:type="dxa"/>
              <w:right w:w="120" w:type="dxa"/>
            </w:tcMar>
          </w:tcPr>
          <w:p>
            <w:pPr>
              <w:spacing w:before="0" w:after="40"/>
            </w:pPr>
            <w:r>
              <w:rPr>
                <w:rFonts w:ascii="Calibri" w:hAnsi="Calibri" w:eastAsia="Calibri"/>
                <w:b w:val="0"/>
                <w:color w:val="000000"/>
                <w:sz w:val="20"/>
              </w:rPr>
              <w:t>Trustee oversight</w:t>
            </w:r>
          </w:p>
        </w:tc>
        <w:tc>
          <w:tcPr>
            <w:tcW w:type="dxa" w:w="2592"/>
            <w:tcMar>
              <w:top w:w="80" w:type="dxa"/>
              <w:left w:w="120" w:type="dxa"/>
              <w:bottom w:w="80" w:type="dxa"/>
              <w:right w:w="120" w:type="dxa"/>
            </w:tcMar>
          </w:tcPr>
          <w:p>
            <w:pPr>
              <w:spacing w:before="0" w:after="40"/>
            </w:pPr>
            <w:r>
              <w:rPr>
                <w:rFonts w:ascii="Calibri" w:hAnsi="Calibri" w:eastAsia="Calibri"/>
                <w:b w:val="0"/>
                <w:color w:val="000000"/>
                <w:sz w:val="20"/>
              </w:rPr>
              <w:t>Trustees</w:t>
            </w:r>
          </w:p>
        </w:tc>
        <w:tc>
          <w:tcPr>
            <w:tcW w:type="dxa" w:w="3744"/>
            <w:tcMar>
              <w:top w:w="80" w:type="dxa"/>
              <w:left w:w="120" w:type="dxa"/>
              <w:bottom w:w="80" w:type="dxa"/>
              <w:right w:w="120" w:type="dxa"/>
            </w:tcMar>
          </w:tcPr>
          <w:p>
            <w:pPr>
              <w:spacing w:before="0" w:after="40"/>
            </w:pPr>
            <w:r>
              <w:rPr>
                <w:rFonts w:ascii="Calibri" w:hAnsi="Calibri" w:eastAsia="Calibri"/>
                <w:b w:val="0"/>
                <w:color w:val="000000"/>
                <w:sz w:val="20"/>
              </w:rPr>
              <w:t>Ask the right readiness questions and resource gaps</w:t>
            </w:r>
          </w:p>
        </w:tc>
      </w:tr>
      <w:tr>
        <w:tc>
          <w:tcPr>
            <w:tcW w:type="dxa" w:w="3024"/>
            <w:tcMar>
              <w:top w:w="80" w:type="dxa"/>
              <w:left w:w="120" w:type="dxa"/>
              <w:bottom w:w="80" w:type="dxa"/>
              <w:right w:w="120" w:type="dxa"/>
            </w:tcMar>
          </w:tcPr>
          <w:p>
            <w:pPr>
              <w:spacing w:before="0" w:after="40"/>
            </w:pPr>
            <w:r>
              <w:rPr>
                <w:rFonts w:ascii="Calibri" w:hAnsi="Calibri" w:eastAsia="Calibri"/>
                <w:b w:val="0"/>
                <w:color w:val="000000"/>
                <w:sz w:val="20"/>
              </w:rPr>
              <w:t>Procedure drill facilitation</w:t>
            </w:r>
          </w:p>
        </w:tc>
        <w:tc>
          <w:tcPr>
            <w:tcW w:type="dxa" w:w="2592"/>
            <w:tcMar>
              <w:top w:w="80" w:type="dxa"/>
              <w:left w:w="120" w:type="dxa"/>
              <w:bottom w:w="80" w:type="dxa"/>
              <w:right w:w="120" w:type="dxa"/>
            </w:tcMar>
          </w:tcPr>
          <w:p>
            <w:pPr>
              <w:spacing w:before="0" w:after="40"/>
            </w:pPr>
            <w:r>
              <w:rPr>
                <w:rFonts w:ascii="Calibri" w:hAnsi="Calibri" w:eastAsia="Calibri"/>
                <w:b w:val="0"/>
                <w:color w:val="000000"/>
                <w:sz w:val="20"/>
              </w:rPr>
              <w:t>Operations / security leads</w:t>
            </w:r>
          </w:p>
        </w:tc>
        <w:tc>
          <w:tcPr>
            <w:tcW w:type="dxa" w:w="3744"/>
            <w:tcMar>
              <w:top w:w="80" w:type="dxa"/>
              <w:left w:w="120" w:type="dxa"/>
              <w:bottom w:w="80" w:type="dxa"/>
              <w:right w:w="120" w:type="dxa"/>
            </w:tcMar>
          </w:tcPr>
          <w:p>
            <w:pPr>
              <w:spacing w:before="0" w:after="40"/>
            </w:pPr>
            <w:r>
              <w:rPr>
                <w:rFonts w:ascii="Calibri" w:hAnsi="Calibri" w:eastAsia="Calibri"/>
                <w:b w:val="0"/>
                <w:color w:val="000000"/>
                <w:sz w:val="20"/>
              </w:rPr>
              <w:t>Run short rehearsals and capture lessons learned</w:t>
            </w:r>
          </w:p>
        </w:tc>
      </w:tr>
      <w:tr>
        <w:tc>
          <w:tcPr>
            <w:tcW w:type="dxa" w:w="3024"/>
            <w:tcMar>
              <w:top w:w="80" w:type="dxa"/>
              <w:left w:w="120" w:type="dxa"/>
              <w:bottom w:w="80" w:type="dxa"/>
              <w:right w:w="120" w:type="dxa"/>
            </w:tcMar>
          </w:tcPr>
          <w:p>
            <w:pPr>
              <w:spacing w:before="0" w:after="40"/>
            </w:pPr>
            <w:r>
              <w:rPr>
                <w:rFonts w:ascii="Calibri" w:hAnsi="Calibri" w:eastAsia="Calibri"/>
                <w:b w:val="0"/>
                <w:color w:val="000000"/>
                <w:sz w:val="20"/>
              </w:rPr>
              <w:t>Large-event stewardship</w:t>
            </w:r>
          </w:p>
        </w:tc>
        <w:tc>
          <w:tcPr>
            <w:tcW w:type="dxa" w:w="2592"/>
            <w:tcMar>
              <w:top w:w="80" w:type="dxa"/>
              <w:left w:w="120" w:type="dxa"/>
              <w:bottom w:w="80" w:type="dxa"/>
              <w:right w:w="120" w:type="dxa"/>
            </w:tcMar>
          </w:tcPr>
          <w:p>
            <w:pPr>
              <w:spacing w:before="0" w:after="40"/>
            </w:pPr>
            <w:r>
              <w:rPr>
                <w:rFonts w:ascii="Calibri" w:hAnsi="Calibri" w:eastAsia="Calibri"/>
                <w:b w:val="0"/>
                <w:color w:val="000000"/>
                <w:sz w:val="20"/>
              </w:rPr>
              <w:t>Event stewards</w:t>
            </w:r>
          </w:p>
        </w:tc>
        <w:tc>
          <w:tcPr>
            <w:tcW w:type="dxa" w:w="3744"/>
            <w:tcMar>
              <w:top w:w="80" w:type="dxa"/>
              <w:left w:w="120" w:type="dxa"/>
              <w:bottom w:w="80" w:type="dxa"/>
              <w:right w:w="120" w:type="dxa"/>
            </w:tcMar>
          </w:tcPr>
          <w:p>
            <w:pPr>
              <w:spacing w:before="0" w:after="40"/>
            </w:pPr>
            <w:r>
              <w:rPr>
                <w:rFonts w:ascii="Calibri" w:hAnsi="Calibri" w:eastAsia="Calibri"/>
                <w:b w:val="0"/>
                <w:color w:val="000000"/>
                <w:sz w:val="20"/>
              </w:rPr>
              <w:t>Entry flow, observation, escalation and calm communication</w:t>
            </w:r>
          </w:p>
        </w:tc>
      </w:tr>
      <w:tr>
        <w:tc>
          <w:tcPr>
            <w:tcW w:type="dxa" w:w="3024"/>
            <w:tcMar>
              <w:top w:w="80" w:type="dxa"/>
              <w:left w:w="120" w:type="dxa"/>
              <w:bottom w:w="80" w:type="dxa"/>
              <w:right w:w="120" w:type="dxa"/>
            </w:tcMar>
          </w:tcPr>
          <w:p>
            <w:pPr>
              <w:spacing w:before="0" w:after="40"/>
            </w:pPr>
            <w:r>
              <w:rPr>
                <w:rFonts w:ascii="Calibri" w:hAnsi="Calibri" w:eastAsia="Calibri"/>
                <w:b w:val="0"/>
                <w:color w:val="000000"/>
                <w:sz w:val="20"/>
              </w:rPr>
              <w:t>Annual refresher</w:t>
            </w:r>
          </w:p>
        </w:tc>
        <w:tc>
          <w:tcPr>
            <w:tcW w:type="dxa" w:w="2592"/>
            <w:tcMar>
              <w:top w:w="80" w:type="dxa"/>
              <w:left w:w="120" w:type="dxa"/>
              <w:bottom w:w="80" w:type="dxa"/>
              <w:right w:w="120" w:type="dxa"/>
            </w:tcMar>
          </w:tcPr>
          <w:p>
            <w:pPr>
              <w:spacing w:before="0" w:after="40"/>
            </w:pPr>
            <w:r>
              <w:rPr>
                <w:rFonts w:ascii="Calibri" w:hAnsi="Calibri" w:eastAsia="Calibri"/>
                <w:b w:val="0"/>
                <w:color w:val="000000"/>
                <w:sz w:val="20"/>
              </w:rPr>
              <w:t>All relevant roles</w:t>
            </w:r>
          </w:p>
        </w:tc>
        <w:tc>
          <w:tcPr>
            <w:tcW w:type="dxa" w:w="3744"/>
            <w:tcMar>
              <w:top w:w="80" w:type="dxa"/>
              <w:left w:w="120" w:type="dxa"/>
              <w:bottom w:w="80" w:type="dxa"/>
              <w:right w:w="120" w:type="dxa"/>
            </w:tcMar>
          </w:tcPr>
          <w:p>
            <w:pPr>
              <w:spacing w:before="0" w:after="40"/>
            </w:pPr>
            <w:r>
              <w:rPr>
                <w:rFonts w:ascii="Calibri" w:hAnsi="Calibri" w:eastAsia="Calibri"/>
                <w:b w:val="0"/>
                <w:color w:val="000000"/>
                <w:sz w:val="20"/>
              </w:rPr>
              <w:t>Keep knowledge current on a scheduled cycle</w:t>
            </w:r>
          </w:p>
        </w:tc>
      </w:tr>
    </w:tbl>
    <w:p/>
    <w:p>
      <w:pPr>
        <w:pStyle w:val="Heading1"/>
        <w:spacing w:before="320" w:after="160"/>
      </w:pPr>
      <w:r>
        <w:rPr>
          <w:rFonts w:ascii="Calibri" w:hAnsi="Calibri" w:eastAsia="Calibri"/>
          <w:b/>
          <w:color w:val="2E74B5"/>
          <w:sz w:val="32"/>
        </w:rPr>
        <w:t>9. End-to-end user journey</w:t>
      </w:r>
    </w:p>
    <w:p>
      <w:pPr>
        <w:pStyle w:val="ListBullet"/>
        <w:spacing w:after="80" w:line="276" w:lineRule="auto"/>
      </w:pPr>
      <w:r>
        <w:rPr>
          <w:rFonts w:ascii="Calibri" w:hAnsi="Calibri" w:eastAsia="Calibri"/>
          <w:b w:val="0"/>
          <w:color w:val="000000"/>
          <w:sz w:val="22"/>
        </w:rPr>
        <w:t>Beacon Mosque creates a Martyn’s Law pack and shares a secure link.</w:t>
      </w:r>
    </w:p>
    <w:p>
      <w:pPr>
        <w:pStyle w:val="ListBullet"/>
        <w:spacing w:after="80" w:line="276" w:lineRule="auto"/>
      </w:pPr>
      <w:r>
        <w:rPr>
          <w:rFonts w:ascii="Calibri" w:hAnsi="Calibri" w:eastAsia="Calibri"/>
          <w:b w:val="0"/>
          <w:color w:val="000000"/>
          <w:sz w:val="22"/>
        </w:rPr>
        <w:t>Mosque confirms venue details and names the Responsible Person.</w:t>
      </w:r>
    </w:p>
    <w:p>
      <w:pPr>
        <w:pStyle w:val="ListBullet"/>
        <w:spacing w:after="80" w:line="276" w:lineRule="auto"/>
      </w:pPr>
      <w:r>
        <w:rPr>
          <w:rFonts w:ascii="Calibri" w:hAnsi="Calibri" w:eastAsia="Calibri"/>
          <w:b w:val="0"/>
          <w:color w:val="000000"/>
          <w:sz w:val="22"/>
        </w:rPr>
        <w:t>Tier wizard records capacity/use and returns Standard, Enhanced or Out of scope.</w:t>
      </w:r>
    </w:p>
    <w:p>
      <w:pPr>
        <w:pStyle w:val="ListBullet"/>
        <w:spacing w:after="80" w:line="276" w:lineRule="auto"/>
      </w:pPr>
      <w:r>
        <w:rPr>
          <w:rFonts w:ascii="Calibri" w:hAnsi="Calibri" w:eastAsia="Calibri"/>
          <w:b w:val="0"/>
          <w:color w:val="000000"/>
          <w:sz w:val="22"/>
        </w:rPr>
        <w:t>Leads complete procedure domains (and plan domains if Enhanced).</w:t>
      </w:r>
    </w:p>
    <w:p>
      <w:pPr>
        <w:pStyle w:val="ListBullet"/>
        <w:spacing w:after="80" w:line="276" w:lineRule="auto"/>
      </w:pPr>
      <w:r>
        <w:rPr>
          <w:rFonts w:ascii="Calibri" w:hAnsi="Calibri" w:eastAsia="Calibri"/>
          <w:b w:val="0"/>
          <w:color w:val="000000"/>
          <w:sz w:val="22"/>
        </w:rPr>
        <w:t>Portal recommends actions and training from amber/red domains.</w:t>
      </w:r>
    </w:p>
    <w:p>
      <w:pPr>
        <w:pStyle w:val="ListBullet"/>
        <w:spacing w:after="80" w:line="276" w:lineRule="auto"/>
      </w:pPr>
      <w:r>
        <w:rPr>
          <w:rFonts w:ascii="Calibri" w:hAnsi="Calibri" w:eastAsia="Calibri"/>
          <w:b w:val="0"/>
          <w:color w:val="000000"/>
          <w:sz w:val="22"/>
        </w:rPr>
        <w:t>Qualifying events are registered against the pack before large gatherings.</w:t>
      </w:r>
    </w:p>
    <w:p>
      <w:pPr>
        <w:pStyle w:val="ListBullet"/>
        <w:spacing w:after="80" w:line="276" w:lineRule="auto"/>
      </w:pPr>
      <w:r>
        <w:rPr>
          <w:rFonts w:ascii="Calibri" w:hAnsi="Calibri" w:eastAsia="Calibri"/>
          <w:b w:val="0"/>
          <w:color w:val="000000"/>
          <w:sz w:val="22"/>
        </w:rPr>
        <w:t>Trustees review summary; open actions are owned with due dates.</w:t>
      </w:r>
    </w:p>
    <w:p>
      <w:pPr>
        <w:pStyle w:val="ListBullet"/>
        <w:spacing w:after="80" w:line="276" w:lineRule="auto"/>
      </w:pPr>
      <w:r>
        <w:rPr>
          <w:rFonts w:ascii="Calibri" w:hAnsi="Calibri" w:eastAsia="Calibri"/>
          <w:b w:val="0"/>
          <w:color w:val="000000"/>
          <w:sz w:val="22"/>
        </w:rPr>
        <w:t>Stewards complete awareness modules; drills update readiness.</w:t>
      </w:r>
    </w:p>
    <w:p>
      <w:pPr>
        <w:pStyle w:val="ListBullet"/>
        <w:spacing w:after="80" w:line="276" w:lineRule="auto"/>
      </w:pPr>
      <w:r>
        <w:rPr>
          <w:rFonts w:ascii="Calibri" w:hAnsi="Calibri" w:eastAsia="Calibri"/>
          <w:b w:val="0"/>
          <w:color w:val="000000"/>
          <w:sz w:val="22"/>
        </w:rPr>
        <w:t>Pack moves draft → in review → monitoring; annual refresh begins.</w:t>
      </w:r>
    </w:p>
    <w:p>
      <w:pPr>
        <w:pStyle w:val="Heading1"/>
        <w:spacing w:before="320" w:after="160"/>
      </w:pPr>
      <w:r>
        <w:rPr>
          <w:rFonts w:ascii="Calibri" w:hAnsi="Calibri" w:eastAsia="Calibri"/>
          <w:b/>
          <w:color w:val="2E74B5"/>
          <w:sz w:val="32"/>
        </w:rPr>
        <w:t>10. Product surfaces</w:t>
      </w:r>
    </w:p>
    <w:tbl>
      <w:tblPr>
        <w:tblStyle w:val="TableGrid"/>
        <w:tblW w:type="dxa" w:w="9360"/>
        <w:tblLook w:firstColumn="1" w:firstRow="1" w:lastColumn="0" w:lastRow="0" w:noHBand="0" w:noVBand="1" w:val="04A0"/>
        <w:tblInd w:w="120" w:type="dxa"/>
        <w:tblLayout w:type="fixed"/>
      </w:tblPr>
      <w:tblGrid>
        <w:gridCol w:w="3168"/>
        <w:gridCol w:w="6192"/>
      </w:tblGrid>
      <w:tr>
        <w:tc>
          <w:tcPr>
            <w:tcW w:type="dxa" w:w="3168"/>
            <w:tcMar>
              <w:top w:w="80" w:type="dxa"/>
              <w:left w:w="120" w:type="dxa"/>
              <w:bottom w:w="80" w:type="dxa"/>
              <w:right w:w="120" w:type="dxa"/>
            </w:tcMar>
            <w:shd w:fill="F2F4F7" w:val="clear"/>
          </w:tcPr>
          <w:p>
            <w:r>
              <w:rPr>
                <w:rFonts w:ascii="Calibri" w:hAnsi="Calibri" w:eastAsia="Calibri"/>
                <w:b/>
                <w:color w:val="0B2545"/>
                <w:sz w:val="20"/>
              </w:rPr>
              <w:t>Surface</w:t>
            </w:r>
          </w:p>
        </w:tc>
        <w:tc>
          <w:tcPr>
            <w:tcW w:type="dxa" w:w="6192"/>
            <w:tcMar>
              <w:top w:w="80" w:type="dxa"/>
              <w:left w:w="120" w:type="dxa"/>
              <w:bottom w:w="80" w:type="dxa"/>
              <w:right w:w="120" w:type="dxa"/>
            </w:tcMar>
            <w:shd w:fill="F2F4F7" w:val="clear"/>
          </w:tcPr>
          <w:p>
            <w:r>
              <w:rPr>
                <w:rFonts w:ascii="Calibri" w:hAnsi="Calibri" w:eastAsia="Calibri"/>
                <w:b/>
                <w:color w:val="0B2545"/>
                <w:sz w:val="20"/>
              </w:rPr>
              <w:t>Purpose</w:t>
            </w:r>
          </w:p>
        </w:tc>
      </w:tr>
      <w:tr>
        <w:tc>
          <w:tcPr>
            <w:tcW w:type="dxa" w:w="3168"/>
            <w:tcMar>
              <w:top w:w="80" w:type="dxa"/>
              <w:left w:w="120" w:type="dxa"/>
              <w:bottom w:w="80" w:type="dxa"/>
              <w:right w:w="120" w:type="dxa"/>
            </w:tcMar>
          </w:tcPr>
          <w:p>
            <w:pPr>
              <w:spacing w:before="0" w:after="40"/>
            </w:pPr>
            <w:r>
              <w:rPr>
                <w:rFonts w:ascii="Calibri" w:hAnsi="Calibri" w:eastAsia="Calibri"/>
                <w:b w:val="0"/>
                <w:color w:val="000000"/>
                <w:sz w:val="20"/>
              </w:rPr>
              <w:t>Pack home</w:t>
            </w:r>
          </w:p>
        </w:tc>
        <w:tc>
          <w:tcPr>
            <w:tcW w:type="dxa" w:w="6192"/>
            <w:tcMar>
              <w:top w:w="80" w:type="dxa"/>
              <w:left w:w="120" w:type="dxa"/>
              <w:bottom w:w="80" w:type="dxa"/>
              <w:right w:w="120" w:type="dxa"/>
            </w:tcMar>
          </w:tcPr>
          <w:p>
            <w:pPr>
              <w:spacing w:before="0" w:after="40"/>
            </w:pPr>
            <w:r>
              <w:rPr>
                <w:rFonts w:ascii="Calibri" w:hAnsi="Calibri" w:eastAsia="Calibri"/>
                <w:b w:val="0"/>
                <w:color w:val="000000"/>
                <w:sz w:val="20"/>
              </w:rPr>
              <w:t>Tier outcome, RAG overview, open actions, training progress</w:t>
            </w:r>
          </w:p>
        </w:tc>
      </w:tr>
      <w:tr>
        <w:tc>
          <w:tcPr>
            <w:tcW w:type="dxa" w:w="3168"/>
            <w:tcMar>
              <w:top w:w="80" w:type="dxa"/>
              <w:left w:w="120" w:type="dxa"/>
              <w:bottom w:w="80" w:type="dxa"/>
              <w:right w:w="120" w:type="dxa"/>
            </w:tcMar>
          </w:tcPr>
          <w:p>
            <w:pPr>
              <w:spacing w:before="0" w:after="40"/>
            </w:pPr>
            <w:r>
              <w:rPr>
                <w:rFonts w:ascii="Calibri" w:hAnsi="Calibri" w:eastAsia="Calibri"/>
                <w:b w:val="0"/>
                <w:color w:val="000000"/>
                <w:sz w:val="20"/>
              </w:rPr>
              <w:t>Tier wizard</w:t>
            </w:r>
          </w:p>
        </w:tc>
        <w:tc>
          <w:tcPr>
            <w:tcW w:type="dxa" w:w="6192"/>
            <w:tcMar>
              <w:top w:w="80" w:type="dxa"/>
              <w:left w:w="120" w:type="dxa"/>
              <w:bottom w:w="80" w:type="dxa"/>
              <w:right w:w="120" w:type="dxa"/>
            </w:tcMar>
          </w:tcPr>
          <w:p>
            <w:pPr>
              <w:spacing w:before="0" w:after="40"/>
            </w:pPr>
            <w:r>
              <w:rPr>
                <w:rFonts w:ascii="Calibri" w:hAnsi="Calibri" w:eastAsia="Calibri"/>
                <w:b w:val="0"/>
                <w:color w:val="000000"/>
                <w:sz w:val="20"/>
              </w:rPr>
              <w:t>Capacity/use questionnaire with stored rationale</w:t>
            </w:r>
          </w:p>
        </w:tc>
      </w:tr>
      <w:tr>
        <w:tc>
          <w:tcPr>
            <w:tcW w:type="dxa" w:w="3168"/>
            <w:tcMar>
              <w:top w:w="80" w:type="dxa"/>
              <w:left w:w="120" w:type="dxa"/>
              <w:bottom w:w="80" w:type="dxa"/>
              <w:right w:w="120" w:type="dxa"/>
            </w:tcMar>
          </w:tcPr>
          <w:p>
            <w:pPr>
              <w:spacing w:before="0" w:after="40"/>
            </w:pPr>
            <w:r>
              <w:rPr>
                <w:rFonts w:ascii="Calibri" w:hAnsi="Calibri" w:eastAsia="Calibri"/>
                <w:b w:val="0"/>
                <w:color w:val="000000"/>
                <w:sz w:val="20"/>
              </w:rPr>
              <w:t>Procedure builder</w:t>
            </w:r>
          </w:p>
        </w:tc>
        <w:tc>
          <w:tcPr>
            <w:tcW w:type="dxa" w:w="6192"/>
            <w:tcMar>
              <w:top w:w="80" w:type="dxa"/>
              <w:left w:w="120" w:type="dxa"/>
              <w:bottom w:w="80" w:type="dxa"/>
              <w:right w:w="120" w:type="dxa"/>
            </w:tcMar>
          </w:tcPr>
          <w:p>
            <w:pPr>
              <w:spacing w:before="0" w:after="40"/>
            </w:pPr>
            <w:r>
              <w:rPr>
                <w:rFonts w:ascii="Calibri" w:hAnsi="Calibri" w:eastAsia="Calibri"/>
                <w:b w:val="0"/>
                <w:color w:val="000000"/>
                <w:sz w:val="20"/>
              </w:rPr>
              <w:t>Step-by-step evacuate / invacuate / lockdown / communicate</w:t>
            </w:r>
          </w:p>
        </w:tc>
      </w:tr>
      <w:tr>
        <w:tc>
          <w:tcPr>
            <w:tcW w:type="dxa" w:w="3168"/>
            <w:tcMar>
              <w:top w:w="80" w:type="dxa"/>
              <w:left w:w="120" w:type="dxa"/>
              <w:bottom w:w="80" w:type="dxa"/>
              <w:right w:w="120" w:type="dxa"/>
            </w:tcMar>
          </w:tcPr>
          <w:p>
            <w:pPr>
              <w:spacing w:before="0" w:after="40"/>
            </w:pPr>
            <w:r>
              <w:rPr>
                <w:rFonts w:ascii="Calibri" w:hAnsi="Calibri" w:eastAsia="Calibri"/>
                <w:b w:val="0"/>
                <w:color w:val="000000"/>
                <w:sz w:val="20"/>
              </w:rPr>
              <w:t>Enhanced plan workspace</w:t>
            </w:r>
          </w:p>
        </w:tc>
        <w:tc>
          <w:tcPr>
            <w:tcW w:type="dxa" w:w="6192"/>
            <w:tcMar>
              <w:top w:w="80" w:type="dxa"/>
              <w:left w:w="120" w:type="dxa"/>
              <w:bottom w:w="80" w:type="dxa"/>
              <w:right w:w="120" w:type="dxa"/>
            </w:tcMar>
          </w:tcPr>
          <w:p>
            <w:pPr>
              <w:spacing w:before="0" w:after="40"/>
            </w:pPr>
            <w:r>
              <w:rPr>
                <w:rFonts w:ascii="Calibri" w:hAnsi="Calibri" w:eastAsia="Calibri"/>
                <w:b w:val="0"/>
                <w:color w:val="000000"/>
                <w:sz w:val="20"/>
              </w:rPr>
              <w:t>Plan sections + security measures checklist</w:t>
            </w:r>
          </w:p>
        </w:tc>
      </w:tr>
      <w:tr>
        <w:tc>
          <w:tcPr>
            <w:tcW w:type="dxa" w:w="3168"/>
            <w:tcMar>
              <w:top w:w="80" w:type="dxa"/>
              <w:left w:w="120" w:type="dxa"/>
              <w:bottom w:w="80" w:type="dxa"/>
              <w:right w:w="120" w:type="dxa"/>
            </w:tcMar>
          </w:tcPr>
          <w:p>
            <w:pPr>
              <w:spacing w:before="0" w:after="40"/>
            </w:pPr>
            <w:r>
              <w:rPr>
                <w:rFonts w:ascii="Calibri" w:hAnsi="Calibri" w:eastAsia="Calibri"/>
                <w:b w:val="0"/>
                <w:color w:val="000000"/>
                <w:sz w:val="20"/>
              </w:rPr>
              <w:t>Event pack pages</w:t>
            </w:r>
          </w:p>
        </w:tc>
        <w:tc>
          <w:tcPr>
            <w:tcW w:type="dxa" w:w="6192"/>
            <w:tcMar>
              <w:top w:w="80" w:type="dxa"/>
              <w:left w:w="120" w:type="dxa"/>
              <w:bottom w:w="80" w:type="dxa"/>
              <w:right w:w="120" w:type="dxa"/>
            </w:tcMar>
          </w:tcPr>
          <w:p>
            <w:pPr>
              <w:spacing w:before="0" w:after="40"/>
            </w:pPr>
            <w:r>
              <w:rPr>
                <w:rFonts w:ascii="Calibri" w:hAnsi="Calibri" w:eastAsia="Calibri"/>
                <w:b w:val="0"/>
                <w:color w:val="000000"/>
                <w:sz w:val="20"/>
              </w:rPr>
              <w:t>Large gathering readiness linked to parent venue</w:t>
            </w:r>
          </w:p>
        </w:tc>
      </w:tr>
      <w:tr>
        <w:tc>
          <w:tcPr>
            <w:tcW w:type="dxa" w:w="3168"/>
            <w:tcMar>
              <w:top w:w="80" w:type="dxa"/>
              <w:left w:w="120" w:type="dxa"/>
              <w:bottom w:w="80" w:type="dxa"/>
              <w:right w:w="120" w:type="dxa"/>
            </w:tcMar>
          </w:tcPr>
          <w:p>
            <w:pPr>
              <w:spacing w:before="0" w:after="40"/>
            </w:pPr>
            <w:r>
              <w:rPr>
                <w:rFonts w:ascii="Calibri" w:hAnsi="Calibri" w:eastAsia="Calibri"/>
                <w:b w:val="0"/>
                <w:color w:val="000000"/>
                <w:sz w:val="20"/>
              </w:rPr>
              <w:t>Training / learner view</w:t>
            </w:r>
          </w:p>
        </w:tc>
        <w:tc>
          <w:tcPr>
            <w:tcW w:type="dxa" w:w="6192"/>
            <w:tcMar>
              <w:top w:w="80" w:type="dxa"/>
              <w:left w:w="120" w:type="dxa"/>
              <w:bottom w:w="80" w:type="dxa"/>
              <w:right w:w="120" w:type="dxa"/>
            </w:tcMar>
          </w:tcPr>
          <w:p>
            <w:pPr>
              <w:spacing w:before="0" w:after="40"/>
            </w:pPr>
            <w:r>
              <w:rPr>
                <w:rFonts w:ascii="Calibri" w:hAnsi="Calibri" w:eastAsia="Calibri"/>
                <w:b w:val="0"/>
                <w:color w:val="000000"/>
                <w:sz w:val="20"/>
              </w:rPr>
              <w:t>Assigned modules, status, refreshers</w:t>
            </w:r>
          </w:p>
        </w:tc>
      </w:tr>
      <w:tr>
        <w:tc>
          <w:tcPr>
            <w:tcW w:type="dxa" w:w="3168"/>
            <w:tcMar>
              <w:top w:w="80" w:type="dxa"/>
              <w:left w:w="120" w:type="dxa"/>
              <w:bottom w:w="80" w:type="dxa"/>
              <w:right w:w="120" w:type="dxa"/>
            </w:tcMar>
          </w:tcPr>
          <w:p>
            <w:pPr>
              <w:spacing w:before="0" w:after="40"/>
            </w:pPr>
            <w:r>
              <w:rPr>
                <w:rFonts w:ascii="Calibri" w:hAnsi="Calibri" w:eastAsia="Calibri"/>
                <w:b w:val="0"/>
                <w:color w:val="000000"/>
                <w:sz w:val="20"/>
              </w:rPr>
              <w:t>Trustee summary</w:t>
            </w:r>
          </w:p>
        </w:tc>
        <w:tc>
          <w:tcPr>
            <w:tcW w:type="dxa" w:w="6192"/>
            <w:tcMar>
              <w:top w:w="80" w:type="dxa"/>
              <w:left w:w="120" w:type="dxa"/>
              <w:bottom w:w="80" w:type="dxa"/>
              <w:right w:w="120" w:type="dxa"/>
            </w:tcMar>
          </w:tcPr>
          <w:p>
            <w:pPr>
              <w:spacing w:before="0" w:after="40"/>
            </w:pPr>
            <w:r>
              <w:rPr>
                <w:rFonts w:ascii="Calibri" w:hAnsi="Calibri" w:eastAsia="Calibri"/>
                <w:b w:val="0"/>
                <w:color w:val="000000"/>
                <w:sz w:val="20"/>
              </w:rPr>
              <w:t>High-level readiness and priority risks</w:t>
            </w:r>
          </w:p>
        </w:tc>
      </w:tr>
      <w:tr>
        <w:tc>
          <w:tcPr>
            <w:tcW w:type="dxa" w:w="3168"/>
            <w:tcMar>
              <w:top w:w="80" w:type="dxa"/>
              <w:left w:w="120" w:type="dxa"/>
              <w:bottom w:w="80" w:type="dxa"/>
              <w:right w:w="120" w:type="dxa"/>
            </w:tcMar>
          </w:tcPr>
          <w:p>
            <w:pPr>
              <w:spacing w:before="0" w:after="40"/>
            </w:pPr>
            <w:r>
              <w:rPr>
                <w:rFonts w:ascii="Calibri" w:hAnsi="Calibri" w:eastAsia="Calibri"/>
                <w:b w:val="0"/>
                <w:color w:val="000000"/>
                <w:sz w:val="20"/>
              </w:rPr>
              <w:t>Admin / programme console</w:t>
            </w:r>
          </w:p>
        </w:tc>
        <w:tc>
          <w:tcPr>
            <w:tcW w:type="dxa" w:w="6192"/>
            <w:tcMar>
              <w:top w:w="80" w:type="dxa"/>
              <w:left w:w="120" w:type="dxa"/>
              <w:bottom w:w="80" w:type="dxa"/>
              <w:right w:w="120" w:type="dxa"/>
            </w:tcMar>
          </w:tcPr>
          <w:p>
            <w:pPr>
              <w:spacing w:before="0" w:after="40"/>
            </w:pPr>
            <w:r>
              <w:rPr>
                <w:rFonts w:ascii="Calibri" w:hAnsi="Calibri" w:eastAsia="Calibri"/>
                <w:b w:val="0"/>
                <w:color w:val="000000"/>
                <w:sz w:val="20"/>
              </w:rPr>
              <w:t>Create packs, support mosques, export metrics</w:t>
            </w:r>
          </w:p>
        </w:tc>
      </w:tr>
    </w:tbl>
    <w:p/>
    <w:p>
      <w:pPr>
        <w:pStyle w:val="Heading1"/>
        <w:spacing w:before="320" w:after="160"/>
      </w:pPr>
      <w:r>
        <w:rPr>
          <w:rFonts w:ascii="Calibri" w:hAnsi="Calibri" w:eastAsia="Calibri"/>
          <w:b/>
          <w:color w:val="2E74B5"/>
          <w:sz w:val="32"/>
        </w:rPr>
        <w:t>11. Delivery phases</w:t>
      </w:r>
    </w:p>
    <w:tbl>
      <w:tblPr>
        <w:tblStyle w:val="TableGrid"/>
        <w:tblW w:type="dxa" w:w="9360"/>
        <w:tblLook w:firstColumn="1" w:firstRow="1" w:lastColumn="0" w:lastRow="0" w:noHBand="0" w:noVBand="1" w:val="04A0"/>
        <w:tblInd w:w="120" w:type="dxa"/>
        <w:tblLayout w:type="fixed"/>
      </w:tblPr>
      <w:tblGrid>
        <w:gridCol w:w="2880"/>
        <w:gridCol w:w="2015"/>
        <w:gridCol w:w="4464"/>
      </w:tblGrid>
      <w:tr>
        <w:tc>
          <w:tcPr>
            <w:tcW w:type="dxa" w:w="2880"/>
            <w:tcMar>
              <w:top w:w="80" w:type="dxa"/>
              <w:left w:w="120" w:type="dxa"/>
              <w:bottom w:w="80" w:type="dxa"/>
              <w:right w:w="120" w:type="dxa"/>
            </w:tcMar>
            <w:shd w:fill="F2F4F7" w:val="clear"/>
          </w:tcPr>
          <w:p>
            <w:r>
              <w:rPr>
                <w:rFonts w:ascii="Calibri" w:hAnsi="Calibri" w:eastAsia="Calibri"/>
                <w:b/>
                <w:color w:val="0B2545"/>
                <w:sz w:val="20"/>
              </w:rPr>
              <w:t>Phase</w:t>
            </w:r>
          </w:p>
        </w:tc>
        <w:tc>
          <w:tcPr>
            <w:tcW w:type="dxa" w:w="2015"/>
            <w:tcMar>
              <w:top w:w="80" w:type="dxa"/>
              <w:left w:w="120" w:type="dxa"/>
              <w:bottom w:w="80" w:type="dxa"/>
              <w:right w:w="120" w:type="dxa"/>
            </w:tcMar>
            <w:shd w:fill="F2F4F7" w:val="clear"/>
          </w:tcPr>
          <w:p>
            <w:r>
              <w:rPr>
                <w:rFonts w:ascii="Calibri" w:hAnsi="Calibri" w:eastAsia="Calibri"/>
                <w:b/>
                <w:color w:val="0B2545"/>
                <w:sz w:val="20"/>
              </w:rPr>
              <w:t>When</w:t>
            </w:r>
          </w:p>
        </w:tc>
        <w:tc>
          <w:tcPr>
            <w:tcW w:type="dxa" w:w="4464"/>
            <w:tcMar>
              <w:top w:w="80" w:type="dxa"/>
              <w:left w:w="120" w:type="dxa"/>
              <w:bottom w:w="80" w:type="dxa"/>
              <w:right w:w="120" w:type="dxa"/>
            </w:tcMar>
            <w:shd w:fill="F2F4F7" w:val="clear"/>
          </w:tcPr>
          <w:p>
            <w:r>
              <w:rPr>
                <w:rFonts w:ascii="Calibri" w:hAnsi="Calibri" w:eastAsia="Calibri"/>
                <w:b/>
                <w:color w:val="0B2545"/>
                <w:sz w:val="20"/>
              </w:rPr>
              <w:t>Outcome</w:t>
            </w:r>
          </w:p>
        </w:tc>
      </w:tr>
      <w:tr>
        <w:tc>
          <w:tcPr>
            <w:tcW w:type="dxa" w:w="2880"/>
            <w:tcMar>
              <w:top w:w="80" w:type="dxa"/>
              <w:left w:w="120" w:type="dxa"/>
              <w:bottom w:w="80" w:type="dxa"/>
              <w:right w:w="120" w:type="dxa"/>
            </w:tcMar>
          </w:tcPr>
          <w:p>
            <w:pPr>
              <w:spacing w:before="0" w:after="40"/>
            </w:pPr>
            <w:r>
              <w:rPr>
                <w:rFonts w:ascii="Calibri" w:hAnsi="Calibri" w:eastAsia="Calibri"/>
                <w:b w:val="0"/>
                <w:color w:val="000000"/>
                <w:sz w:val="20"/>
              </w:rPr>
              <w:t>0 — Align</w:t>
            </w:r>
          </w:p>
        </w:tc>
        <w:tc>
          <w:tcPr>
            <w:tcW w:type="dxa" w:w="2015"/>
            <w:tcMar>
              <w:top w:w="80" w:type="dxa"/>
              <w:left w:w="120" w:type="dxa"/>
              <w:bottom w:w="80" w:type="dxa"/>
              <w:right w:w="120" w:type="dxa"/>
            </w:tcMar>
          </w:tcPr>
          <w:p>
            <w:pPr>
              <w:spacing w:before="0" w:after="40"/>
            </w:pPr>
            <w:r>
              <w:rPr>
                <w:rFonts w:ascii="Calibri" w:hAnsi="Calibri" w:eastAsia="Calibri"/>
                <w:b w:val="0"/>
                <w:color w:val="000000"/>
                <w:sz w:val="20"/>
              </w:rPr>
              <w:t>Week 1–2</w:t>
            </w:r>
          </w:p>
        </w:tc>
        <w:tc>
          <w:tcPr>
            <w:tcW w:type="dxa" w:w="4464"/>
            <w:tcMar>
              <w:top w:w="80" w:type="dxa"/>
              <w:left w:w="120" w:type="dxa"/>
              <w:bottom w:w="80" w:type="dxa"/>
              <w:right w:w="120" w:type="dxa"/>
            </w:tcMar>
          </w:tcPr>
          <w:p>
            <w:pPr>
              <w:spacing w:before="0" w:after="40"/>
            </w:pPr>
            <w:r>
              <w:rPr>
                <w:rFonts w:ascii="Calibri" w:hAnsi="Calibri" w:eastAsia="Calibri"/>
                <w:b w:val="0"/>
                <w:color w:val="000000"/>
                <w:sz w:val="20"/>
              </w:rPr>
              <w:t>Confirm legal content owners, pilot mosques, success metrics</w:t>
            </w:r>
          </w:p>
        </w:tc>
      </w:tr>
      <w:tr>
        <w:tc>
          <w:tcPr>
            <w:tcW w:type="dxa" w:w="2880"/>
            <w:tcMar>
              <w:top w:w="80" w:type="dxa"/>
              <w:left w:w="120" w:type="dxa"/>
              <w:bottom w:w="80" w:type="dxa"/>
              <w:right w:w="120" w:type="dxa"/>
            </w:tcMar>
          </w:tcPr>
          <w:p>
            <w:pPr>
              <w:spacing w:before="0" w:after="40"/>
            </w:pPr>
            <w:r>
              <w:rPr>
                <w:rFonts w:ascii="Calibri" w:hAnsi="Calibri" w:eastAsia="Calibri"/>
                <w:b w:val="0"/>
                <w:color w:val="000000"/>
                <w:sz w:val="20"/>
              </w:rPr>
              <w:t>1 — Tier + procedures MVP</w:t>
            </w:r>
          </w:p>
        </w:tc>
        <w:tc>
          <w:tcPr>
            <w:tcW w:type="dxa" w:w="2015"/>
            <w:tcMar>
              <w:top w:w="80" w:type="dxa"/>
              <w:left w:w="120" w:type="dxa"/>
              <w:bottom w:w="80" w:type="dxa"/>
              <w:right w:w="120" w:type="dxa"/>
            </w:tcMar>
          </w:tcPr>
          <w:p>
            <w:pPr>
              <w:spacing w:before="0" w:after="40"/>
            </w:pPr>
            <w:r>
              <w:rPr>
                <w:rFonts w:ascii="Calibri" w:hAnsi="Calibri" w:eastAsia="Calibri"/>
                <w:b w:val="0"/>
                <w:color w:val="000000"/>
                <w:sz w:val="20"/>
              </w:rPr>
              <w:t>Week 3–9</w:t>
            </w:r>
          </w:p>
        </w:tc>
        <w:tc>
          <w:tcPr>
            <w:tcW w:type="dxa" w:w="4464"/>
            <w:tcMar>
              <w:top w:w="80" w:type="dxa"/>
              <w:left w:w="120" w:type="dxa"/>
              <w:bottom w:w="80" w:type="dxa"/>
              <w:right w:w="120" w:type="dxa"/>
            </w:tcMar>
          </w:tcPr>
          <w:p>
            <w:pPr>
              <w:spacing w:before="0" w:after="40"/>
            </w:pPr>
            <w:r>
              <w:rPr>
                <w:rFonts w:ascii="Calibri" w:hAnsi="Calibri" w:eastAsia="Calibri"/>
                <w:b w:val="0"/>
                <w:color w:val="000000"/>
                <w:sz w:val="20"/>
              </w:rPr>
              <w:t>Packs, tier wizard, four procedures, RAG, actions, admin list</w:t>
            </w:r>
          </w:p>
        </w:tc>
      </w:tr>
      <w:tr>
        <w:tc>
          <w:tcPr>
            <w:tcW w:type="dxa" w:w="2880"/>
            <w:tcMar>
              <w:top w:w="80" w:type="dxa"/>
              <w:left w:w="120" w:type="dxa"/>
              <w:bottom w:w="80" w:type="dxa"/>
              <w:right w:w="120" w:type="dxa"/>
            </w:tcMar>
          </w:tcPr>
          <w:p>
            <w:pPr>
              <w:spacing w:before="0" w:after="40"/>
            </w:pPr>
            <w:r>
              <w:rPr>
                <w:rFonts w:ascii="Calibri" w:hAnsi="Calibri" w:eastAsia="Calibri"/>
                <w:b w:val="0"/>
                <w:color w:val="000000"/>
                <w:sz w:val="20"/>
              </w:rPr>
              <w:t>2 — Enhanced + events</w:t>
            </w:r>
          </w:p>
        </w:tc>
        <w:tc>
          <w:tcPr>
            <w:tcW w:type="dxa" w:w="2015"/>
            <w:tcMar>
              <w:top w:w="80" w:type="dxa"/>
              <w:left w:w="120" w:type="dxa"/>
              <w:bottom w:w="80" w:type="dxa"/>
              <w:right w:w="120" w:type="dxa"/>
            </w:tcMar>
          </w:tcPr>
          <w:p>
            <w:pPr>
              <w:spacing w:before="0" w:after="40"/>
            </w:pPr>
            <w:r>
              <w:rPr>
                <w:rFonts w:ascii="Calibri" w:hAnsi="Calibri" w:eastAsia="Calibri"/>
                <w:b w:val="0"/>
                <w:color w:val="000000"/>
                <w:sz w:val="20"/>
              </w:rPr>
              <w:t>Week 10–15</w:t>
            </w:r>
          </w:p>
        </w:tc>
        <w:tc>
          <w:tcPr>
            <w:tcW w:type="dxa" w:w="4464"/>
            <w:tcMar>
              <w:top w:w="80" w:type="dxa"/>
              <w:left w:w="120" w:type="dxa"/>
              <w:bottom w:w="80" w:type="dxa"/>
              <w:right w:w="120" w:type="dxa"/>
            </w:tcMar>
          </w:tcPr>
          <w:p>
            <w:pPr>
              <w:spacing w:before="0" w:after="40"/>
            </w:pPr>
            <w:r>
              <w:rPr>
                <w:rFonts w:ascii="Calibri" w:hAnsi="Calibri" w:eastAsia="Calibri"/>
                <w:b w:val="0"/>
                <w:color w:val="000000"/>
                <w:sz w:val="20"/>
              </w:rPr>
              <w:t>Public protection plan workspace; qualifying event packs</w:t>
            </w:r>
          </w:p>
        </w:tc>
      </w:tr>
      <w:tr>
        <w:tc>
          <w:tcPr>
            <w:tcW w:type="dxa" w:w="2880"/>
            <w:tcMar>
              <w:top w:w="80" w:type="dxa"/>
              <w:left w:w="120" w:type="dxa"/>
              <w:bottom w:w="80" w:type="dxa"/>
              <w:right w:w="120" w:type="dxa"/>
            </w:tcMar>
          </w:tcPr>
          <w:p>
            <w:pPr>
              <w:spacing w:before="0" w:after="40"/>
            </w:pPr>
            <w:r>
              <w:rPr>
                <w:rFonts w:ascii="Calibri" w:hAnsi="Calibri" w:eastAsia="Calibri"/>
                <w:b w:val="0"/>
                <w:color w:val="000000"/>
                <w:sz w:val="20"/>
              </w:rPr>
              <w:t>3 — Training &amp; report</w:t>
            </w:r>
          </w:p>
        </w:tc>
        <w:tc>
          <w:tcPr>
            <w:tcW w:type="dxa" w:w="2015"/>
            <w:tcMar>
              <w:top w:w="80" w:type="dxa"/>
              <w:left w:w="120" w:type="dxa"/>
              <w:bottom w:w="80" w:type="dxa"/>
              <w:right w:w="120" w:type="dxa"/>
            </w:tcMar>
          </w:tcPr>
          <w:p>
            <w:pPr>
              <w:spacing w:before="0" w:after="40"/>
            </w:pPr>
            <w:r>
              <w:rPr>
                <w:rFonts w:ascii="Calibri" w:hAnsi="Calibri" w:eastAsia="Calibri"/>
                <w:b w:val="0"/>
                <w:color w:val="000000"/>
                <w:sz w:val="20"/>
              </w:rPr>
              <w:t>Week 16–20</w:t>
            </w:r>
          </w:p>
        </w:tc>
        <w:tc>
          <w:tcPr>
            <w:tcW w:type="dxa" w:w="4464"/>
            <w:tcMar>
              <w:top w:w="80" w:type="dxa"/>
              <w:left w:w="120" w:type="dxa"/>
              <w:bottom w:w="80" w:type="dxa"/>
              <w:right w:w="120" w:type="dxa"/>
            </w:tcMar>
          </w:tcPr>
          <w:p>
            <w:pPr>
              <w:spacing w:before="0" w:after="40"/>
            </w:pPr>
            <w:r>
              <w:rPr>
                <w:rFonts w:ascii="Calibri" w:hAnsi="Calibri" w:eastAsia="Calibri"/>
                <w:b w:val="0"/>
                <w:color w:val="000000"/>
                <w:sz w:val="20"/>
              </w:rPr>
              <w:t>Awareness modules, recommendations, trustee summary export</w:t>
            </w:r>
          </w:p>
        </w:tc>
      </w:tr>
      <w:tr>
        <w:tc>
          <w:tcPr>
            <w:tcW w:type="dxa" w:w="2880"/>
            <w:tcMar>
              <w:top w:w="80" w:type="dxa"/>
              <w:left w:w="120" w:type="dxa"/>
              <w:bottom w:w="80" w:type="dxa"/>
              <w:right w:w="120" w:type="dxa"/>
            </w:tcMar>
          </w:tcPr>
          <w:p>
            <w:pPr>
              <w:spacing w:before="0" w:after="40"/>
            </w:pPr>
            <w:r>
              <w:rPr>
                <w:rFonts w:ascii="Calibri" w:hAnsi="Calibri" w:eastAsia="Calibri"/>
                <w:b w:val="0"/>
                <w:color w:val="000000"/>
                <w:sz w:val="20"/>
              </w:rPr>
              <w:t>4 — Scale</w:t>
            </w:r>
          </w:p>
        </w:tc>
        <w:tc>
          <w:tcPr>
            <w:tcW w:type="dxa" w:w="2015"/>
            <w:tcMar>
              <w:top w:w="80" w:type="dxa"/>
              <w:left w:w="120" w:type="dxa"/>
              <w:bottom w:w="80" w:type="dxa"/>
              <w:right w:w="120" w:type="dxa"/>
            </w:tcMar>
          </w:tcPr>
          <w:p>
            <w:pPr>
              <w:spacing w:before="0" w:after="40"/>
            </w:pPr>
            <w:r>
              <w:rPr>
                <w:rFonts w:ascii="Calibri" w:hAnsi="Calibri" w:eastAsia="Calibri"/>
                <w:b w:val="0"/>
                <w:color w:val="000000"/>
                <w:sz w:val="20"/>
              </w:rPr>
              <w:t>Week 21+</w:t>
            </w:r>
          </w:p>
        </w:tc>
        <w:tc>
          <w:tcPr>
            <w:tcW w:type="dxa" w:w="4464"/>
            <w:tcMar>
              <w:top w:w="80" w:type="dxa"/>
              <w:left w:w="120" w:type="dxa"/>
              <w:bottom w:w="80" w:type="dxa"/>
              <w:right w:w="120" w:type="dxa"/>
            </w:tcMar>
          </w:tcPr>
          <w:p>
            <w:pPr>
              <w:spacing w:before="0" w:after="40"/>
            </w:pPr>
            <w:r>
              <w:rPr>
                <w:rFonts w:ascii="Calibri" w:hAnsi="Calibri" w:eastAsia="Calibri"/>
                <w:b w:val="0"/>
                <w:color w:val="000000"/>
                <w:sz w:val="20"/>
              </w:rPr>
              <w:t>Evidence uploads, refreshers, multi-language, broader rollout</w:t>
            </w:r>
          </w:p>
        </w:tc>
      </w:tr>
    </w:tbl>
    <w:p/>
    <w:p>
      <w:pPr>
        <w:pStyle w:val="Heading2"/>
        <w:spacing w:before="240" w:after="120"/>
      </w:pPr>
      <w:r>
        <w:rPr>
          <w:rFonts w:ascii="Calibri" w:hAnsi="Calibri" w:eastAsia="Calibri"/>
          <w:b/>
          <w:color w:val="2E74B5"/>
          <w:sz w:val="26"/>
        </w:rPr>
        <w:t>11.1 Pilot success criteria</w:t>
      </w:r>
    </w:p>
    <w:p>
      <w:pPr>
        <w:pStyle w:val="ListBullet"/>
        <w:spacing w:after="80" w:line="276" w:lineRule="auto"/>
      </w:pPr>
      <w:r>
        <w:rPr>
          <w:rFonts w:ascii="Calibri" w:hAnsi="Calibri" w:eastAsia="Calibri"/>
          <w:b w:val="0"/>
          <w:color w:val="000000"/>
          <w:sz w:val="22"/>
        </w:rPr>
        <w:t>At least 5 pilot mosques complete tier determination with stored rationale.</w:t>
      </w:r>
    </w:p>
    <w:p>
      <w:pPr>
        <w:pStyle w:val="ListBullet"/>
        <w:spacing w:after="80" w:line="276" w:lineRule="auto"/>
      </w:pPr>
      <w:r>
        <w:rPr>
          <w:rFonts w:ascii="Calibri" w:hAnsi="Calibri" w:eastAsia="Calibri"/>
          <w:b w:val="0"/>
          <w:color w:val="000000"/>
          <w:sz w:val="22"/>
        </w:rPr>
        <w:t>Each Standard-tier pilot has all four procedures rated (not unset) after walkthrough.</w:t>
      </w:r>
    </w:p>
    <w:p>
      <w:pPr>
        <w:pStyle w:val="ListBullet"/>
        <w:spacing w:after="80" w:line="276" w:lineRule="auto"/>
      </w:pPr>
      <w:r>
        <w:rPr>
          <w:rFonts w:ascii="Calibri" w:hAnsi="Calibri" w:eastAsia="Calibri"/>
          <w:b w:val="0"/>
          <w:color w:val="000000"/>
          <w:sz w:val="22"/>
        </w:rPr>
        <w:t>Enhanced-tier pilots (if any) have a draft public protection plan section set.</w:t>
      </w:r>
    </w:p>
    <w:p>
      <w:pPr>
        <w:pStyle w:val="ListBullet"/>
        <w:spacing w:after="80" w:line="276" w:lineRule="auto"/>
      </w:pPr>
      <w:r>
        <w:rPr>
          <w:rFonts w:ascii="Calibri" w:hAnsi="Calibri" w:eastAsia="Calibri"/>
          <w:b w:val="0"/>
          <w:color w:val="000000"/>
          <w:sz w:val="22"/>
        </w:rPr>
        <w:t>80% of named Responsible Persons finish the RP briefing within 4 weeks.</w:t>
      </w:r>
    </w:p>
    <w:p>
      <w:pPr>
        <w:pStyle w:val="ListBullet"/>
        <w:spacing w:after="80" w:line="276" w:lineRule="auto"/>
      </w:pPr>
      <w:r>
        <w:rPr>
          <w:rFonts w:ascii="Calibri" w:hAnsi="Calibri" w:eastAsia="Calibri"/>
          <w:b w:val="0"/>
          <w:color w:val="000000"/>
          <w:sz w:val="22"/>
        </w:rPr>
        <w:t>Trustees can state their tier outcome and top 3 residual risks from the summary.</w:t>
      </w:r>
    </w:p>
    <w:p>
      <w:pPr>
        <w:pStyle w:val="Heading1"/>
        <w:spacing w:before="320" w:after="160"/>
      </w:pPr>
      <w:r>
        <w:rPr>
          <w:rFonts w:ascii="Calibri" w:hAnsi="Calibri" w:eastAsia="Calibri"/>
          <w:b/>
          <w:color w:val="2E74B5"/>
          <w:sz w:val="32"/>
        </w:rPr>
        <w:t>12. Data, privacy and duty boundaries</w:t>
      </w:r>
    </w:p>
    <w:p>
      <w:pPr>
        <w:pStyle w:val="ListBullet"/>
        <w:spacing w:after="80" w:line="276" w:lineRule="auto"/>
      </w:pPr>
      <w:r>
        <w:rPr>
          <w:rFonts w:ascii="Calibri" w:hAnsi="Calibri" w:eastAsia="Calibri"/>
          <w:b w:val="0"/>
          <w:color w:val="000000"/>
          <w:sz w:val="22"/>
        </w:rPr>
        <w:t>Store venue contacts, assessment answers, procedure text, action logs and training completions only.</w:t>
      </w:r>
    </w:p>
    <w:p>
      <w:pPr>
        <w:pStyle w:val="ListBullet"/>
        <w:spacing w:after="80" w:line="276" w:lineRule="auto"/>
      </w:pPr>
      <w:r>
        <w:rPr>
          <w:rFonts w:ascii="Calibri" w:hAnsi="Calibri" w:eastAsia="Calibri"/>
          <w:b w:val="0"/>
          <w:color w:val="000000"/>
          <w:sz w:val="22"/>
        </w:rPr>
        <w:t>Do not store sensitive personal intelligence, watchlists or individual threat reports.</w:t>
      </w:r>
    </w:p>
    <w:p>
      <w:pPr>
        <w:pStyle w:val="ListBullet"/>
        <w:spacing w:after="80" w:line="276" w:lineRule="auto"/>
      </w:pPr>
      <w:r>
        <w:rPr>
          <w:rFonts w:ascii="Calibri" w:hAnsi="Calibri" w:eastAsia="Calibri"/>
          <w:b w:val="0"/>
          <w:color w:val="000000"/>
          <w:sz w:val="22"/>
        </w:rPr>
        <w:t>Use secure pack tokens / authenticated access; do not publish mosque scores publicly.</w:t>
      </w:r>
    </w:p>
    <w:p>
      <w:pPr>
        <w:pStyle w:val="ListBullet"/>
        <w:spacing w:after="80" w:line="276" w:lineRule="auto"/>
      </w:pPr>
      <w:r>
        <w:rPr>
          <w:rFonts w:ascii="Calibri" w:hAnsi="Calibri" w:eastAsia="Calibri"/>
          <w:b w:val="0"/>
          <w:color w:val="000000"/>
          <w:sz w:val="22"/>
        </w:rPr>
        <w:t>Define retention periods for packs, procedure versions and drill logs.</w:t>
      </w:r>
    </w:p>
    <w:p>
      <w:pPr>
        <w:pStyle w:val="ListBullet"/>
        <w:spacing w:after="80" w:line="276" w:lineRule="auto"/>
      </w:pPr>
      <w:r>
        <w:rPr>
          <w:rFonts w:ascii="Calibri" w:hAnsi="Calibri" w:eastAsia="Calibri"/>
          <w:b w:val="0"/>
          <w:color w:val="000000"/>
          <w:sz w:val="22"/>
        </w:rPr>
        <w:t>Provide a clear privacy notice for mosque users and programme administrators.</w:t>
      </w:r>
    </w:p>
    <w:p>
      <w:pPr>
        <w:pStyle w:val="ListBullet"/>
        <w:spacing w:after="80" w:line="276" w:lineRule="auto"/>
      </w:pPr>
      <w:r>
        <w:rPr>
          <w:rFonts w:ascii="Calibri" w:hAnsi="Calibri" w:eastAsia="Calibri"/>
          <w:b w:val="0"/>
          <w:color w:val="000000"/>
          <w:sz w:val="22"/>
        </w:rPr>
        <w:t>Label content as readiness support, not legal advice or regulatory certification.</w:t>
      </w:r>
    </w:p>
    <w:p>
      <w:pPr>
        <w:pStyle w:val="Heading1"/>
        <w:spacing w:before="320" w:after="160"/>
      </w:pPr>
      <w:r>
        <w:rPr>
          <w:rFonts w:ascii="Calibri" w:hAnsi="Calibri" w:eastAsia="Calibri"/>
          <w:b/>
          <w:color w:val="2E74B5"/>
          <w:sz w:val="32"/>
        </w:rPr>
        <w:t>13. Risks and mitigations</w:t>
      </w:r>
    </w:p>
    <w:tbl>
      <w:tblPr>
        <w:tblStyle w:val="TableGrid"/>
        <w:tblW w:type="dxa" w:w="9360"/>
        <w:tblLook w:firstColumn="1" w:firstRow="1" w:lastColumn="0" w:lastRow="0" w:noHBand="0" w:noVBand="1" w:val="04A0"/>
        <w:tblInd w:w="120" w:type="dxa"/>
        <w:tblLayout w:type="fixed"/>
      </w:tblPr>
      <w:tblGrid>
        <w:gridCol w:w="3456"/>
        <w:gridCol w:w="5903"/>
      </w:tblGrid>
      <w:tr>
        <w:tc>
          <w:tcPr>
            <w:tcW w:type="dxa" w:w="3456"/>
            <w:tcMar>
              <w:top w:w="80" w:type="dxa"/>
              <w:left w:w="120" w:type="dxa"/>
              <w:bottom w:w="80" w:type="dxa"/>
              <w:right w:w="120" w:type="dxa"/>
            </w:tcMar>
            <w:shd w:fill="F2F4F7" w:val="clear"/>
          </w:tcPr>
          <w:p>
            <w:r>
              <w:rPr>
                <w:rFonts w:ascii="Calibri" w:hAnsi="Calibri" w:eastAsia="Calibri"/>
                <w:b/>
                <w:color w:val="0B2545"/>
                <w:sz w:val="20"/>
              </w:rPr>
              <w:t>Risk</w:t>
            </w:r>
          </w:p>
        </w:tc>
        <w:tc>
          <w:tcPr>
            <w:tcW w:type="dxa" w:w="5903"/>
            <w:tcMar>
              <w:top w:w="80" w:type="dxa"/>
              <w:left w:w="120" w:type="dxa"/>
              <w:bottom w:w="80" w:type="dxa"/>
              <w:right w:w="120" w:type="dxa"/>
            </w:tcMar>
            <w:shd w:fill="F2F4F7" w:val="clear"/>
          </w:tcPr>
          <w:p>
            <w:r>
              <w:rPr>
                <w:rFonts w:ascii="Calibri" w:hAnsi="Calibri" w:eastAsia="Calibri"/>
                <w:b/>
                <w:color w:val="0B2545"/>
                <w:sz w:val="20"/>
              </w:rPr>
              <w:t>Mitigation</w:t>
            </w:r>
          </w:p>
        </w:tc>
      </w:tr>
      <w:tr>
        <w:tc>
          <w:tcPr>
            <w:tcW w:type="dxa" w:w="3456"/>
            <w:tcMar>
              <w:top w:w="80" w:type="dxa"/>
              <w:left w:w="120" w:type="dxa"/>
              <w:bottom w:w="80" w:type="dxa"/>
              <w:right w:w="120" w:type="dxa"/>
            </w:tcMar>
          </w:tcPr>
          <w:p>
            <w:pPr>
              <w:spacing w:before="0" w:after="40"/>
            </w:pPr>
            <w:r>
              <w:rPr>
                <w:rFonts w:ascii="Calibri" w:hAnsi="Calibri" w:eastAsia="Calibri"/>
                <w:b w:val="0"/>
                <w:color w:val="000000"/>
                <w:sz w:val="20"/>
              </w:rPr>
              <w:t>Portal mistaken for legal certification</w:t>
            </w:r>
          </w:p>
        </w:tc>
        <w:tc>
          <w:tcPr>
            <w:tcW w:type="dxa" w:w="5903"/>
            <w:tcMar>
              <w:top w:w="80" w:type="dxa"/>
              <w:left w:w="120" w:type="dxa"/>
              <w:bottom w:w="80" w:type="dxa"/>
              <w:right w:w="120" w:type="dxa"/>
            </w:tcMar>
          </w:tcPr>
          <w:p>
            <w:pPr>
              <w:spacing w:before="0" w:after="40"/>
            </w:pPr>
            <w:r>
              <w:rPr>
                <w:rFonts w:ascii="Calibri" w:hAnsi="Calibri" w:eastAsia="Calibri"/>
                <w:b w:val="0"/>
                <w:color w:val="000000"/>
                <w:sz w:val="20"/>
              </w:rPr>
              <w:t>Onboarding disclaimer; trustee summary language reviewed by content owner</w:t>
            </w:r>
          </w:p>
        </w:tc>
      </w:tr>
      <w:tr>
        <w:tc>
          <w:tcPr>
            <w:tcW w:type="dxa" w:w="3456"/>
            <w:tcMar>
              <w:top w:w="80" w:type="dxa"/>
              <w:left w:w="120" w:type="dxa"/>
              <w:bottom w:w="80" w:type="dxa"/>
              <w:right w:w="120" w:type="dxa"/>
            </w:tcMar>
          </w:tcPr>
          <w:p>
            <w:pPr>
              <w:spacing w:before="0" w:after="40"/>
            </w:pPr>
            <w:r>
              <w:rPr>
                <w:rFonts w:ascii="Calibri" w:hAnsi="Calibri" w:eastAsia="Calibri"/>
                <w:b w:val="0"/>
                <w:color w:val="000000"/>
                <w:sz w:val="20"/>
              </w:rPr>
              <w:t>Guidance changes after build</w:t>
            </w:r>
          </w:p>
        </w:tc>
        <w:tc>
          <w:tcPr>
            <w:tcW w:type="dxa" w:w="5903"/>
            <w:tcMar>
              <w:top w:w="80" w:type="dxa"/>
              <w:left w:w="120" w:type="dxa"/>
              <w:bottom w:w="80" w:type="dxa"/>
              <w:right w:w="120" w:type="dxa"/>
            </w:tcMar>
          </w:tcPr>
          <w:p>
            <w:pPr>
              <w:spacing w:before="0" w:after="40"/>
            </w:pPr>
            <w:r>
              <w:rPr>
                <w:rFonts w:ascii="Calibri" w:hAnsi="Calibri" w:eastAsia="Calibri"/>
                <w:b w:val="0"/>
                <w:color w:val="000000"/>
                <w:sz w:val="20"/>
              </w:rPr>
              <w:t>Versioned catalogue; named legal/content owner; change log</w:t>
            </w:r>
          </w:p>
        </w:tc>
      </w:tr>
      <w:tr>
        <w:tc>
          <w:tcPr>
            <w:tcW w:type="dxa" w:w="3456"/>
            <w:tcMar>
              <w:top w:w="80" w:type="dxa"/>
              <w:left w:w="120" w:type="dxa"/>
              <w:bottom w:w="80" w:type="dxa"/>
              <w:right w:w="120" w:type="dxa"/>
            </w:tcMar>
          </w:tcPr>
          <w:p>
            <w:pPr>
              <w:spacing w:before="0" w:after="40"/>
            </w:pPr>
            <w:r>
              <w:rPr>
                <w:rFonts w:ascii="Calibri" w:hAnsi="Calibri" w:eastAsia="Calibri"/>
                <w:b w:val="0"/>
                <w:color w:val="000000"/>
                <w:sz w:val="20"/>
              </w:rPr>
              <w:t>Low completion by busy volunteers</w:t>
            </w:r>
          </w:p>
        </w:tc>
        <w:tc>
          <w:tcPr>
            <w:tcW w:type="dxa" w:w="5903"/>
            <w:tcMar>
              <w:top w:w="80" w:type="dxa"/>
              <w:left w:w="120" w:type="dxa"/>
              <w:bottom w:w="80" w:type="dxa"/>
              <w:right w:w="120" w:type="dxa"/>
            </w:tcMar>
          </w:tcPr>
          <w:p>
            <w:pPr>
              <w:spacing w:before="0" w:after="40"/>
            </w:pPr>
            <w:r>
              <w:rPr>
                <w:rFonts w:ascii="Calibri" w:hAnsi="Calibri" w:eastAsia="Calibri"/>
                <w:b w:val="0"/>
                <w:color w:val="000000"/>
                <w:sz w:val="20"/>
              </w:rPr>
              <w:t>Short modules; mobile-friendly builders; facilitator support</w:t>
            </w:r>
          </w:p>
        </w:tc>
      </w:tr>
      <w:tr>
        <w:tc>
          <w:tcPr>
            <w:tcW w:type="dxa" w:w="3456"/>
            <w:tcMar>
              <w:top w:w="80" w:type="dxa"/>
              <w:left w:w="120" w:type="dxa"/>
              <w:bottom w:w="80" w:type="dxa"/>
              <w:right w:w="120" w:type="dxa"/>
            </w:tcMar>
          </w:tcPr>
          <w:p>
            <w:pPr>
              <w:spacing w:before="0" w:after="40"/>
            </w:pPr>
            <w:r>
              <w:rPr>
                <w:rFonts w:ascii="Calibri" w:hAnsi="Calibri" w:eastAsia="Calibri"/>
                <w:b w:val="0"/>
                <w:color w:val="000000"/>
                <w:sz w:val="20"/>
              </w:rPr>
              <w:t>Inconsistent tier self-assessment</w:t>
            </w:r>
          </w:p>
        </w:tc>
        <w:tc>
          <w:tcPr>
            <w:tcW w:type="dxa" w:w="5903"/>
            <w:tcMar>
              <w:top w:w="80" w:type="dxa"/>
              <w:left w:w="120" w:type="dxa"/>
              <w:bottom w:w="80" w:type="dxa"/>
              <w:right w:w="120" w:type="dxa"/>
            </w:tcMar>
          </w:tcPr>
          <w:p>
            <w:pPr>
              <w:spacing w:before="0" w:after="40"/>
            </w:pPr>
            <w:r>
              <w:rPr>
                <w:rFonts w:ascii="Calibri" w:hAnsi="Calibri" w:eastAsia="Calibri"/>
                <w:b w:val="0"/>
                <w:color w:val="000000"/>
                <w:sz w:val="20"/>
              </w:rPr>
              <w:t>Clear threshold prompts; rationale required; admin spot-checks</w:t>
            </w:r>
          </w:p>
        </w:tc>
      </w:tr>
      <w:tr>
        <w:tc>
          <w:tcPr>
            <w:tcW w:type="dxa" w:w="3456"/>
            <w:tcMar>
              <w:top w:w="80" w:type="dxa"/>
              <w:left w:w="120" w:type="dxa"/>
              <w:bottom w:w="80" w:type="dxa"/>
              <w:right w:w="120" w:type="dxa"/>
            </w:tcMar>
          </w:tcPr>
          <w:p>
            <w:pPr>
              <w:spacing w:before="0" w:after="40"/>
            </w:pPr>
            <w:r>
              <w:rPr>
                <w:rFonts w:ascii="Calibri" w:hAnsi="Calibri" w:eastAsia="Calibri"/>
                <w:b w:val="0"/>
                <w:color w:val="000000"/>
                <w:sz w:val="20"/>
              </w:rPr>
              <w:t>Overlap confusion with safeguarding pack</w:t>
            </w:r>
          </w:p>
        </w:tc>
        <w:tc>
          <w:tcPr>
            <w:tcW w:type="dxa" w:w="5903"/>
            <w:tcMar>
              <w:top w:w="80" w:type="dxa"/>
              <w:left w:w="120" w:type="dxa"/>
              <w:bottom w:w="80" w:type="dxa"/>
              <w:right w:w="120" w:type="dxa"/>
            </w:tcMar>
          </w:tcPr>
          <w:p>
            <w:pPr>
              <w:spacing w:before="0" w:after="40"/>
            </w:pPr>
            <w:r>
              <w:rPr>
                <w:rFonts w:ascii="Calibri" w:hAnsi="Calibri" w:eastAsia="Calibri"/>
                <w:b w:val="0"/>
                <w:color w:val="000000"/>
                <w:sz w:val="20"/>
              </w:rPr>
              <w:t>Sibling navigation; shared mosque identity; distinct catalogues</w:t>
            </w:r>
          </w:p>
        </w:tc>
      </w:tr>
      <w:tr>
        <w:tc>
          <w:tcPr>
            <w:tcW w:type="dxa" w:w="3456"/>
            <w:tcMar>
              <w:top w:w="80" w:type="dxa"/>
              <w:left w:w="120" w:type="dxa"/>
              <w:bottom w:w="80" w:type="dxa"/>
              <w:right w:w="120" w:type="dxa"/>
            </w:tcMar>
          </w:tcPr>
          <w:p>
            <w:pPr>
              <w:spacing w:before="0" w:after="40"/>
            </w:pPr>
            <w:r>
              <w:rPr>
                <w:rFonts w:ascii="Calibri" w:hAnsi="Calibri" w:eastAsia="Calibri"/>
                <w:b w:val="0"/>
                <w:color w:val="000000"/>
                <w:sz w:val="20"/>
              </w:rPr>
              <w:t>Access link sharing too widely</w:t>
            </w:r>
          </w:p>
        </w:tc>
        <w:tc>
          <w:tcPr>
            <w:tcW w:type="dxa" w:w="5903"/>
            <w:tcMar>
              <w:top w:w="80" w:type="dxa"/>
              <w:left w:w="120" w:type="dxa"/>
              <w:bottom w:w="80" w:type="dxa"/>
              <w:right w:w="120" w:type="dxa"/>
            </w:tcMar>
          </w:tcPr>
          <w:p>
            <w:pPr>
              <w:spacing w:before="0" w:after="40"/>
            </w:pPr>
            <w:r>
              <w:rPr>
                <w:rFonts w:ascii="Calibri" w:hAnsi="Calibri" w:eastAsia="Calibri"/>
                <w:b w:val="0"/>
                <w:color w:val="000000"/>
                <w:sz w:val="20"/>
              </w:rPr>
              <w:t>Token rotation; contact verification; update audit trail</w:t>
            </w:r>
          </w:p>
        </w:tc>
      </w:tr>
    </w:tbl>
    <w:p/>
    <w:p>
      <w:pPr>
        <w:pStyle w:val="Heading1"/>
        <w:spacing w:before="320" w:after="160"/>
      </w:pPr>
      <w:r>
        <w:rPr>
          <w:rFonts w:ascii="Calibri" w:hAnsi="Calibri" w:eastAsia="Calibri"/>
          <w:b/>
          <w:color w:val="2E74B5"/>
          <w:sz w:val="32"/>
        </w:rPr>
        <w:t>14. Open decisions</w:t>
      </w:r>
    </w:p>
    <w:tbl>
      <w:tblPr>
        <w:tblStyle w:val="TableGrid"/>
        <w:tblW w:type="dxa" w:w="9360"/>
        <w:tblLook w:firstColumn="1" w:firstRow="1" w:lastColumn="0" w:lastRow="0" w:noHBand="0" w:noVBand="1" w:val="04A0"/>
        <w:tblInd w:w="120" w:type="dxa"/>
        <w:tblLayout w:type="fixed"/>
      </w:tblPr>
      <w:tblGrid>
        <w:gridCol w:w="3024"/>
        <w:gridCol w:w="6336"/>
      </w:tblGrid>
      <w:tr>
        <w:tc>
          <w:tcPr>
            <w:tcW w:type="dxa" w:w="3024"/>
            <w:tcMar>
              <w:top w:w="80" w:type="dxa"/>
              <w:left w:w="120" w:type="dxa"/>
              <w:bottom w:w="80" w:type="dxa"/>
              <w:right w:w="120" w:type="dxa"/>
            </w:tcMar>
            <w:shd w:fill="F2F4F7" w:val="clear"/>
          </w:tcPr>
          <w:p>
            <w:r>
              <w:rPr>
                <w:rFonts w:ascii="Calibri" w:hAnsi="Calibri" w:eastAsia="Calibri"/>
                <w:b/>
                <w:color w:val="0B2545"/>
                <w:sz w:val="20"/>
              </w:rPr>
              <w:t>Decision</w:t>
            </w:r>
          </w:p>
        </w:tc>
        <w:tc>
          <w:tcPr>
            <w:tcW w:type="dxa" w:w="6336"/>
            <w:tcMar>
              <w:top w:w="80" w:type="dxa"/>
              <w:left w:w="120" w:type="dxa"/>
              <w:bottom w:w="80" w:type="dxa"/>
              <w:right w:w="120" w:type="dxa"/>
            </w:tcMar>
            <w:shd w:fill="F2F4F7" w:val="clear"/>
          </w:tcPr>
          <w:p>
            <w:r>
              <w:rPr>
                <w:rFonts w:ascii="Calibri" w:hAnsi="Calibri" w:eastAsia="Calibri"/>
                <w:b/>
                <w:color w:val="0B2545"/>
                <w:sz w:val="20"/>
              </w:rPr>
              <w:t>Options / notes</w:t>
            </w:r>
          </w:p>
        </w:tc>
      </w:tr>
      <w:tr>
        <w:tc>
          <w:tcPr>
            <w:tcW w:type="dxa" w:w="3024"/>
            <w:tcMar>
              <w:top w:w="80" w:type="dxa"/>
              <w:left w:w="120" w:type="dxa"/>
              <w:bottom w:w="80" w:type="dxa"/>
              <w:right w:w="120" w:type="dxa"/>
            </w:tcMar>
          </w:tcPr>
          <w:p>
            <w:pPr>
              <w:spacing w:before="0" w:after="40"/>
            </w:pPr>
            <w:r>
              <w:rPr>
                <w:rFonts w:ascii="Calibri" w:hAnsi="Calibri" w:eastAsia="Calibri"/>
                <w:b w:val="0"/>
                <w:color w:val="000000"/>
                <w:sz w:val="20"/>
              </w:rPr>
              <w:t>Product packaging</w:t>
            </w:r>
          </w:p>
        </w:tc>
        <w:tc>
          <w:tcPr>
            <w:tcW w:type="dxa" w:w="6336"/>
            <w:tcMar>
              <w:top w:w="80" w:type="dxa"/>
              <w:left w:w="120" w:type="dxa"/>
              <w:bottom w:w="80" w:type="dxa"/>
              <w:right w:w="120" w:type="dxa"/>
            </w:tcMar>
          </w:tcPr>
          <w:p>
            <w:pPr>
              <w:spacing w:before="0" w:after="40"/>
            </w:pPr>
            <w:r>
              <w:rPr>
                <w:rFonts w:ascii="Calibri" w:hAnsi="Calibri" w:eastAsia="Calibri"/>
                <w:b w:val="0"/>
                <w:color w:val="000000"/>
                <w:sz w:val="20"/>
              </w:rPr>
              <w:t>Standalone /martyns routes vs tab inside a unified mosque readiness hub</w:t>
            </w:r>
          </w:p>
        </w:tc>
      </w:tr>
      <w:tr>
        <w:tc>
          <w:tcPr>
            <w:tcW w:type="dxa" w:w="3024"/>
            <w:tcMar>
              <w:top w:w="80" w:type="dxa"/>
              <w:left w:w="120" w:type="dxa"/>
              <w:bottom w:w="80" w:type="dxa"/>
              <w:right w:w="120" w:type="dxa"/>
            </w:tcMar>
          </w:tcPr>
          <w:p>
            <w:pPr>
              <w:spacing w:before="0" w:after="40"/>
            </w:pPr>
            <w:r>
              <w:rPr>
                <w:rFonts w:ascii="Calibri" w:hAnsi="Calibri" w:eastAsia="Calibri"/>
                <w:b w:val="0"/>
                <w:color w:val="000000"/>
                <w:sz w:val="20"/>
              </w:rPr>
              <w:t>Identity model</w:t>
            </w:r>
          </w:p>
        </w:tc>
        <w:tc>
          <w:tcPr>
            <w:tcW w:type="dxa" w:w="6336"/>
            <w:tcMar>
              <w:top w:w="80" w:type="dxa"/>
              <w:left w:w="120" w:type="dxa"/>
              <w:bottom w:w="80" w:type="dxa"/>
              <w:right w:w="120" w:type="dxa"/>
            </w:tcMar>
          </w:tcPr>
          <w:p>
            <w:pPr>
              <w:spacing w:before="0" w:after="40"/>
            </w:pPr>
            <w:r>
              <w:rPr>
                <w:rFonts w:ascii="Calibri" w:hAnsi="Calibri" w:eastAsia="Calibri"/>
                <w:b w:val="0"/>
                <w:color w:val="000000"/>
                <w:sz w:val="20"/>
              </w:rPr>
              <w:t>Magic-link packs vs accounts for Responsible Person + stewards</w:t>
            </w:r>
          </w:p>
        </w:tc>
      </w:tr>
      <w:tr>
        <w:tc>
          <w:tcPr>
            <w:tcW w:type="dxa" w:w="3024"/>
            <w:tcMar>
              <w:top w:w="80" w:type="dxa"/>
              <w:left w:w="120" w:type="dxa"/>
              <w:bottom w:w="80" w:type="dxa"/>
              <w:right w:w="120" w:type="dxa"/>
            </w:tcMar>
          </w:tcPr>
          <w:p>
            <w:pPr>
              <w:spacing w:before="0" w:after="40"/>
            </w:pPr>
            <w:r>
              <w:rPr>
                <w:rFonts w:ascii="Calibri" w:hAnsi="Calibri" w:eastAsia="Calibri"/>
                <w:b w:val="0"/>
                <w:color w:val="000000"/>
                <w:sz w:val="20"/>
              </w:rPr>
              <w:t>Tier engine strictness</w:t>
            </w:r>
          </w:p>
        </w:tc>
        <w:tc>
          <w:tcPr>
            <w:tcW w:type="dxa" w:w="6336"/>
            <w:tcMar>
              <w:top w:w="80" w:type="dxa"/>
              <w:left w:w="120" w:type="dxa"/>
              <w:bottom w:w="80" w:type="dxa"/>
              <w:right w:w="120" w:type="dxa"/>
            </w:tcMar>
          </w:tcPr>
          <w:p>
            <w:pPr>
              <w:spacing w:before="0" w:after="40"/>
            </w:pPr>
            <w:r>
              <w:rPr>
                <w:rFonts w:ascii="Calibri" w:hAnsi="Calibri" w:eastAsia="Calibri"/>
                <w:b w:val="0"/>
                <w:color w:val="000000"/>
                <w:sz w:val="20"/>
              </w:rPr>
              <w:t>Advisory questionnaire vs hard-gated workflow before procedures unlock</w:t>
            </w:r>
          </w:p>
        </w:tc>
      </w:tr>
      <w:tr>
        <w:tc>
          <w:tcPr>
            <w:tcW w:type="dxa" w:w="3024"/>
            <w:tcMar>
              <w:top w:w="80" w:type="dxa"/>
              <w:left w:w="120" w:type="dxa"/>
              <w:bottom w:w="80" w:type="dxa"/>
              <w:right w:w="120" w:type="dxa"/>
            </w:tcMar>
          </w:tcPr>
          <w:p>
            <w:pPr>
              <w:spacing w:before="0" w:after="40"/>
            </w:pPr>
            <w:r>
              <w:rPr>
                <w:rFonts w:ascii="Calibri" w:hAnsi="Calibri" w:eastAsia="Calibri"/>
                <w:b w:val="0"/>
                <w:color w:val="000000"/>
                <w:sz w:val="20"/>
              </w:rPr>
              <w:t>Evidence uploads</w:t>
            </w:r>
          </w:p>
        </w:tc>
        <w:tc>
          <w:tcPr>
            <w:tcW w:type="dxa" w:w="6336"/>
            <w:tcMar>
              <w:top w:w="80" w:type="dxa"/>
              <w:left w:w="120" w:type="dxa"/>
              <w:bottom w:w="80" w:type="dxa"/>
              <w:right w:w="120" w:type="dxa"/>
            </w:tcMar>
          </w:tcPr>
          <w:p>
            <w:pPr>
              <w:spacing w:before="0" w:after="40"/>
            </w:pPr>
            <w:r>
              <w:rPr>
                <w:rFonts w:ascii="Calibri" w:hAnsi="Calibri" w:eastAsia="Calibri"/>
                <w:b w:val="0"/>
                <w:color w:val="000000"/>
                <w:sz w:val="20"/>
              </w:rPr>
              <w:t>Notes only in MVP vs file uploads (plans, site maps, drill logs)</w:t>
            </w:r>
          </w:p>
        </w:tc>
      </w:tr>
      <w:tr>
        <w:tc>
          <w:tcPr>
            <w:tcW w:type="dxa" w:w="3024"/>
            <w:tcMar>
              <w:top w:w="80" w:type="dxa"/>
              <w:left w:w="120" w:type="dxa"/>
              <w:bottom w:w="80" w:type="dxa"/>
              <w:right w:w="120" w:type="dxa"/>
            </w:tcMar>
          </w:tcPr>
          <w:p>
            <w:pPr>
              <w:spacing w:before="0" w:after="40"/>
            </w:pPr>
            <w:r>
              <w:rPr>
                <w:rFonts w:ascii="Calibri" w:hAnsi="Calibri" w:eastAsia="Calibri"/>
                <w:b w:val="0"/>
                <w:color w:val="000000"/>
                <w:sz w:val="20"/>
              </w:rPr>
              <w:t>Event model</w:t>
            </w:r>
          </w:p>
        </w:tc>
        <w:tc>
          <w:tcPr>
            <w:tcW w:type="dxa" w:w="6336"/>
            <w:tcMar>
              <w:top w:w="80" w:type="dxa"/>
              <w:left w:w="120" w:type="dxa"/>
              <w:bottom w:w="80" w:type="dxa"/>
              <w:right w:w="120" w:type="dxa"/>
            </w:tcMar>
          </w:tcPr>
          <w:p>
            <w:pPr>
              <w:spacing w:before="0" w:after="40"/>
            </w:pPr>
            <w:r>
              <w:rPr>
                <w:rFonts w:ascii="Calibri" w:hAnsi="Calibri" w:eastAsia="Calibri"/>
                <w:b w:val="0"/>
                <w:color w:val="000000"/>
                <w:sz w:val="20"/>
              </w:rPr>
              <w:t>Child packs vs lightweight event records on the parent pack</w:t>
            </w:r>
          </w:p>
        </w:tc>
      </w:tr>
      <w:tr>
        <w:tc>
          <w:tcPr>
            <w:tcW w:type="dxa" w:w="3024"/>
            <w:tcMar>
              <w:top w:w="80" w:type="dxa"/>
              <w:left w:w="120" w:type="dxa"/>
              <w:bottom w:w="80" w:type="dxa"/>
              <w:right w:w="120" w:type="dxa"/>
            </w:tcMar>
          </w:tcPr>
          <w:p>
            <w:pPr>
              <w:spacing w:before="0" w:after="40"/>
            </w:pPr>
            <w:r>
              <w:rPr>
                <w:rFonts w:ascii="Calibri" w:hAnsi="Calibri" w:eastAsia="Calibri"/>
                <w:b w:val="0"/>
                <w:color w:val="000000"/>
                <w:sz w:val="20"/>
              </w:rPr>
              <w:t>Content authority</w:t>
            </w:r>
          </w:p>
        </w:tc>
        <w:tc>
          <w:tcPr>
            <w:tcW w:type="dxa" w:w="6336"/>
            <w:tcMar>
              <w:top w:w="80" w:type="dxa"/>
              <w:left w:w="120" w:type="dxa"/>
              <w:bottom w:w="80" w:type="dxa"/>
              <w:right w:w="120" w:type="dxa"/>
            </w:tcMar>
          </w:tcPr>
          <w:p>
            <w:pPr>
              <w:spacing w:before="0" w:after="40"/>
            </w:pPr>
            <w:r>
              <w:rPr>
                <w:rFonts w:ascii="Calibri" w:hAnsi="Calibri" w:eastAsia="Calibri"/>
                <w:b w:val="0"/>
                <w:color w:val="000000"/>
                <w:sz w:val="20"/>
              </w:rPr>
              <w:t>Beacon Mosque editorial vs external CT/security partner review</w:t>
            </w:r>
          </w:p>
        </w:tc>
      </w:tr>
    </w:tbl>
    <w:p/>
    <w:p>
      <w:pPr>
        <w:pStyle w:val="Heading1"/>
        <w:spacing w:before="320" w:after="160"/>
      </w:pPr>
      <w:r>
        <w:rPr>
          <w:rFonts w:ascii="Calibri" w:hAnsi="Calibri" w:eastAsia="Calibri"/>
          <w:b/>
          <w:color w:val="2E74B5"/>
          <w:sz w:val="32"/>
        </w:rPr>
        <w:t>15. Workstreams and owners</w:t>
      </w:r>
    </w:p>
    <w:tbl>
      <w:tblPr>
        <w:tblStyle w:val="TableGrid"/>
        <w:tblW w:type="dxa" w:w="9360"/>
        <w:tblLook w:firstColumn="1" w:firstRow="1" w:lastColumn="0" w:lastRow="0" w:noHBand="0" w:noVBand="1" w:val="04A0"/>
        <w:tblInd w:w="120" w:type="dxa"/>
        <w:tblLayout w:type="fixed"/>
      </w:tblPr>
      <w:tblGrid>
        <w:gridCol w:w="2448"/>
        <w:gridCol w:w="1728"/>
        <w:gridCol w:w="5184"/>
      </w:tblGrid>
      <w:tr>
        <w:tc>
          <w:tcPr>
            <w:tcW w:type="dxa" w:w="2448"/>
            <w:tcMar>
              <w:top w:w="80" w:type="dxa"/>
              <w:left w:w="120" w:type="dxa"/>
              <w:bottom w:w="80" w:type="dxa"/>
              <w:right w:w="120" w:type="dxa"/>
            </w:tcMar>
            <w:shd w:fill="F2F4F7" w:val="clear"/>
          </w:tcPr>
          <w:p>
            <w:r>
              <w:rPr>
                <w:rFonts w:ascii="Calibri" w:hAnsi="Calibri" w:eastAsia="Calibri"/>
                <w:b/>
                <w:color w:val="0B2545"/>
                <w:sz w:val="20"/>
              </w:rPr>
              <w:t>Workstream</w:t>
            </w:r>
          </w:p>
        </w:tc>
        <w:tc>
          <w:tcPr>
            <w:tcW w:type="dxa" w:w="1728"/>
            <w:tcMar>
              <w:top w:w="80" w:type="dxa"/>
              <w:left w:w="120" w:type="dxa"/>
              <w:bottom w:w="80" w:type="dxa"/>
              <w:right w:w="120" w:type="dxa"/>
            </w:tcMar>
            <w:shd w:fill="F2F4F7" w:val="clear"/>
          </w:tcPr>
          <w:p>
            <w:r>
              <w:rPr>
                <w:rFonts w:ascii="Calibri" w:hAnsi="Calibri" w:eastAsia="Calibri"/>
                <w:b/>
                <w:color w:val="0B2545"/>
                <w:sz w:val="20"/>
              </w:rPr>
              <w:t>Owner</w:t>
            </w:r>
          </w:p>
        </w:tc>
        <w:tc>
          <w:tcPr>
            <w:tcW w:type="dxa" w:w="5184"/>
            <w:tcMar>
              <w:top w:w="80" w:type="dxa"/>
              <w:left w:w="120" w:type="dxa"/>
              <w:bottom w:w="80" w:type="dxa"/>
              <w:right w:w="120" w:type="dxa"/>
            </w:tcMar>
            <w:shd w:fill="F2F4F7" w:val="clear"/>
          </w:tcPr>
          <w:p>
            <w:r>
              <w:rPr>
                <w:rFonts w:ascii="Calibri" w:hAnsi="Calibri" w:eastAsia="Calibri"/>
                <w:b/>
                <w:color w:val="0B2545"/>
                <w:sz w:val="20"/>
              </w:rPr>
              <w:t>Key deliverables</w:t>
            </w:r>
          </w:p>
        </w:tc>
      </w:tr>
      <w:tr>
        <w:tc>
          <w:tcPr>
            <w:tcW w:type="dxa" w:w="2448"/>
            <w:tcMar>
              <w:top w:w="80" w:type="dxa"/>
              <w:left w:w="120" w:type="dxa"/>
              <w:bottom w:w="80" w:type="dxa"/>
              <w:right w:w="120" w:type="dxa"/>
            </w:tcMar>
          </w:tcPr>
          <w:p>
            <w:pPr>
              <w:spacing w:before="0" w:after="40"/>
            </w:pPr>
            <w:r>
              <w:rPr>
                <w:rFonts w:ascii="Calibri" w:hAnsi="Calibri" w:eastAsia="Calibri"/>
                <w:b w:val="0"/>
                <w:color w:val="000000"/>
                <w:sz w:val="20"/>
              </w:rPr>
              <w:t>Product / UX</w:t>
            </w:r>
          </w:p>
        </w:tc>
        <w:tc>
          <w:tcPr>
            <w:tcW w:type="dxa" w:w="1728"/>
            <w:tcMar>
              <w:top w:w="80" w:type="dxa"/>
              <w:left w:w="120" w:type="dxa"/>
              <w:bottom w:w="80" w:type="dxa"/>
              <w:right w:w="120" w:type="dxa"/>
            </w:tcMar>
          </w:tcPr>
          <w:p>
            <w:pPr>
              <w:spacing w:before="0" w:after="40"/>
            </w:pPr>
            <w:r>
              <w:rPr>
                <w:rFonts w:ascii="Calibri" w:hAnsi="Calibri" w:eastAsia="Calibri"/>
                <w:b w:val="0"/>
                <w:color w:val="000000"/>
                <w:sz w:val="20"/>
              </w:rPr>
              <w:t>TBC</w:t>
            </w:r>
          </w:p>
        </w:tc>
        <w:tc>
          <w:tcPr>
            <w:tcW w:type="dxa" w:w="5184"/>
            <w:tcMar>
              <w:top w:w="80" w:type="dxa"/>
              <w:left w:w="120" w:type="dxa"/>
              <w:bottom w:w="80" w:type="dxa"/>
              <w:right w:w="120" w:type="dxa"/>
            </w:tcMar>
          </w:tcPr>
          <w:p>
            <w:pPr>
              <w:spacing w:before="0" w:after="40"/>
            </w:pPr>
            <w:r>
              <w:rPr>
                <w:rFonts w:ascii="Calibri" w:hAnsi="Calibri" w:eastAsia="Calibri"/>
                <w:b w:val="0"/>
                <w:color w:val="000000"/>
                <w:sz w:val="20"/>
              </w:rPr>
              <w:t>Tier wizard, procedure builder, event + trustee views</w:t>
            </w:r>
          </w:p>
        </w:tc>
      </w:tr>
      <w:tr>
        <w:tc>
          <w:tcPr>
            <w:tcW w:type="dxa" w:w="2448"/>
            <w:tcMar>
              <w:top w:w="80" w:type="dxa"/>
              <w:left w:w="120" w:type="dxa"/>
              <w:bottom w:w="80" w:type="dxa"/>
              <w:right w:w="120" w:type="dxa"/>
            </w:tcMar>
          </w:tcPr>
          <w:p>
            <w:pPr>
              <w:spacing w:before="0" w:after="40"/>
            </w:pPr>
            <w:r>
              <w:rPr>
                <w:rFonts w:ascii="Calibri" w:hAnsi="Calibri" w:eastAsia="Calibri"/>
                <w:b w:val="0"/>
                <w:color w:val="000000"/>
                <w:sz w:val="20"/>
              </w:rPr>
              <w:t>Duty content</w:t>
            </w:r>
          </w:p>
        </w:tc>
        <w:tc>
          <w:tcPr>
            <w:tcW w:type="dxa" w:w="1728"/>
            <w:tcMar>
              <w:top w:w="80" w:type="dxa"/>
              <w:left w:w="120" w:type="dxa"/>
              <w:bottom w:w="80" w:type="dxa"/>
              <w:right w:w="120" w:type="dxa"/>
            </w:tcMar>
          </w:tcPr>
          <w:p>
            <w:pPr>
              <w:spacing w:before="0" w:after="40"/>
            </w:pPr>
            <w:r>
              <w:rPr>
                <w:rFonts w:ascii="Calibri" w:hAnsi="Calibri" w:eastAsia="Calibri"/>
                <w:b w:val="0"/>
                <w:color w:val="000000"/>
                <w:sz w:val="20"/>
              </w:rPr>
              <w:t>TBC</w:t>
            </w:r>
          </w:p>
        </w:tc>
        <w:tc>
          <w:tcPr>
            <w:tcW w:type="dxa" w:w="5184"/>
            <w:tcMar>
              <w:top w:w="80" w:type="dxa"/>
              <w:left w:w="120" w:type="dxa"/>
              <w:bottom w:w="80" w:type="dxa"/>
              <w:right w:w="120" w:type="dxa"/>
            </w:tcMar>
          </w:tcPr>
          <w:p>
            <w:pPr>
              <w:spacing w:before="0" w:after="40"/>
            </w:pPr>
            <w:r>
              <w:rPr>
                <w:rFonts w:ascii="Calibri" w:hAnsi="Calibri" w:eastAsia="Calibri"/>
                <w:b w:val="0"/>
                <w:color w:val="000000"/>
                <w:sz w:val="20"/>
              </w:rPr>
              <w:t>Checklist wording, procedure templates, disclaimers</w:t>
            </w:r>
          </w:p>
        </w:tc>
      </w:tr>
      <w:tr>
        <w:tc>
          <w:tcPr>
            <w:tcW w:type="dxa" w:w="2448"/>
            <w:tcMar>
              <w:top w:w="80" w:type="dxa"/>
              <w:left w:w="120" w:type="dxa"/>
              <w:bottom w:w="80" w:type="dxa"/>
              <w:right w:w="120" w:type="dxa"/>
            </w:tcMar>
          </w:tcPr>
          <w:p>
            <w:pPr>
              <w:spacing w:before="0" w:after="40"/>
            </w:pPr>
            <w:r>
              <w:rPr>
                <w:rFonts w:ascii="Calibri" w:hAnsi="Calibri" w:eastAsia="Calibri"/>
                <w:b w:val="0"/>
                <w:color w:val="000000"/>
                <w:sz w:val="20"/>
              </w:rPr>
              <w:t>Training content</w:t>
            </w:r>
          </w:p>
        </w:tc>
        <w:tc>
          <w:tcPr>
            <w:tcW w:type="dxa" w:w="1728"/>
            <w:tcMar>
              <w:top w:w="80" w:type="dxa"/>
              <w:left w:w="120" w:type="dxa"/>
              <w:bottom w:w="80" w:type="dxa"/>
              <w:right w:w="120" w:type="dxa"/>
            </w:tcMar>
          </w:tcPr>
          <w:p>
            <w:pPr>
              <w:spacing w:before="0" w:after="40"/>
            </w:pPr>
            <w:r>
              <w:rPr>
                <w:rFonts w:ascii="Calibri" w:hAnsi="Calibri" w:eastAsia="Calibri"/>
                <w:b w:val="0"/>
                <w:color w:val="000000"/>
                <w:sz w:val="20"/>
              </w:rPr>
              <w:t>TBC</w:t>
            </w:r>
          </w:p>
        </w:tc>
        <w:tc>
          <w:tcPr>
            <w:tcW w:type="dxa" w:w="5184"/>
            <w:tcMar>
              <w:top w:w="80" w:type="dxa"/>
              <w:left w:w="120" w:type="dxa"/>
              <w:bottom w:w="80" w:type="dxa"/>
              <w:right w:w="120" w:type="dxa"/>
            </w:tcMar>
          </w:tcPr>
          <w:p>
            <w:pPr>
              <w:spacing w:before="0" w:after="40"/>
            </w:pPr>
            <w:r>
              <w:rPr>
                <w:rFonts w:ascii="Calibri" w:hAnsi="Calibri" w:eastAsia="Calibri"/>
                <w:b w:val="0"/>
                <w:color w:val="000000"/>
                <w:sz w:val="20"/>
              </w:rPr>
              <w:t>Awareness + RP + trustee modules</w:t>
            </w:r>
          </w:p>
        </w:tc>
      </w:tr>
      <w:tr>
        <w:tc>
          <w:tcPr>
            <w:tcW w:type="dxa" w:w="2448"/>
            <w:tcMar>
              <w:top w:w="80" w:type="dxa"/>
              <w:left w:w="120" w:type="dxa"/>
              <w:bottom w:w="80" w:type="dxa"/>
              <w:right w:w="120" w:type="dxa"/>
            </w:tcMar>
          </w:tcPr>
          <w:p>
            <w:pPr>
              <w:spacing w:before="0" w:after="40"/>
            </w:pPr>
            <w:r>
              <w:rPr>
                <w:rFonts w:ascii="Calibri" w:hAnsi="Calibri" w:eastAsia="Calibri"/>
                <w:b w:val="0"/>
                <w:color w:val="000000"/>
                <w:sz w:val="20"/>
              </w:rPr>
              <w:t>Engineering</w:t>
            </w:r>
          </w:p>
        </w:tc>
        <w:tc>
          <w:tcPr>
            <w:tcW w:type="dxa" w:w="1728"/>
            <w:tcMar>
              <w:top w:w="80" w:type="dxa"/>
              <w:left w:w="120" w:type="dxa"/>
              <w:bottom w:w="80" w:type="dxa"/>
              <w:right w:w="120" w:type="dxa"/>
            </w:tcMar>
          </w:tcPr>
          <w:p>
            <w:pPr>
              <w:spacing w:before="0" w:after="40"/>
            </w:pPr>
            <w:r>
              <w:rPr>
                <w:rFonts w:ascii="Calibri" w:hAnsi="Calibri" w:eastAsia="Calibri"/>
                <w:b w:val="0"/>
                <w:color w:val="000000"/>
                <w:sz w:val="20"/>
              </w:rPr>
              <w:t>TBC</w:t>
            </w:r>
          </w:p>
        </w:tc>
        <w:tc>
          <w:tcPr>
            <w:tcW w:type="dxa" w:w="5184"/>
            <w:tcMar>
              <w:top w:w="80" w:type="dxa"/>
              <w:left w:w="120" w:type="dxa"/>
              <w:bottom w:w="80" w:type="dxa"/>
              <w:right w:w="120" w:type="dxa"/>
            </w:tcMar>
          </w:tcPr>
          <w:p>
            <w:pPr>
              <w:spacing w:before="0" w:after="40"/>
            </w:pPr>
            <w:r>
              <w:rPr>
                <w:rFonts w:ascii="Calibri" w:hAnsi="Calibri" w:eastAsia="Calibri"/>
                <w:b w:val="0"/>
                <w:color w:val="000000"/>
                <w:sz w:val="20"/>
              </w:rPr>
              <w:t>Packs API, tier fields, procedures schema, admin</w:t>
            </w:r>
          </w:p>
        </w:tc>
      </w:tr>
      <w:tr>
        <w:tc>
          <w:tcPr>
            <w:tcW w:type="dxa" w:w="2448"/>
            <w:tcMar>
              <w:top w:w="80" w:type="dxa"/>
              <w:left w:w="120" w:type="dxa"/>
              <w:bottom w:w="80" w:type="dxa"/>
              <w:right w:w="120" w:type="dxa"/>
            </w:tcMar>
          </w:tcPr>
          <w:p>
            <w:pPr>
              <w:spacing w:before="0" w:after="40"/>
            </w:pPr>
            <w:r>
              <w:rPr>
                <w:rFonts w:ascii="Calibri" w:hAnsi="Calibri" w:eastAsia="Calibri"/>
                <w:b w:val="0"/>
                <w:color w:val="000000"/>
                <w:sz w:val="20"/>
              </w:rPr>
              <w:t>Pilot support</w:t>
            </w:r>
          </w:p>
        </w:tc>
        <w:tc>
          <w:tcPr>
            <w:tcW w:type="dxa" w:w="1728"/>
            <w:tcMar>
              <w:top w:w="80" w:type="dxa"/>
              <w:left w:w="120" w:type="dxa"/>
              <w:bottom w:w="80" w:type="dxa"/>
              <w:right w:w="120" w:type="dxa"/>
            </w:tcMar>
          </w:tcPr>
          <w:p>
            <w:pPr>
              <w:spacing w:before="0" w:after="40"/>
            </w:pPr>
            <w:r>
              <w:rPr>
                <w:rFonts w:ascii="Calibri" w:hAnsi="Calibri" w:eastAsia="Calibri"/>
                <w:b w:val="0"/>
                <w:color w:val="000000"/>
                <w:sz w:val="20"/>
              </w:rPr>
              <w:t>TBC</w:t>
            </w:r>
          </w:p>
        </w:tc>
        <w:tc>
          <w:tcPr>
            <w:tcW w:type="dxa" w:w="5184"/>
            <w:tcMar>
              <w:top w:w="80" w:type="dxa"/>
              <w:left w:w="120" w:type="dxa"/>
              <w:bottom w:w="80" w:type="dxa"/>
              <w:right w:w="120" w:type="dxa"/>
            </w:tcMar>
          </w:tcPr>
          <w:p>
            <w:pPr>
              <w:spacing w:before="0" w:after="40"/>
            </w:pPr>
            <w:r>
              <w:rPr>
                <w:rFonts w:ascii="Calibri" w:hAnsi="Calibri" w:eastAsia="Calibri"/>
                <w:b w:val="0"/>
                <w:color w:val="000000"/>
                <w:sz w:val="20"/>
              </w:rPr>
              <w:t>Mosque onboarding, walkthroughs, feedback loop</w:t>
            </w:r>
          </w:p>
        </w:tc>
      </w:tr>
      <w:tr>
        <w:tc>
          <w:tcPr>
            <w:tcW w:type="dxa" w:w="2448"/>
            <w:tcMar>
              <w:top w:w="80" w:type="dxa"/>
              <w:left w:w="120" w:type="dxa"/>
              <w:bottom w:w="80" w:type="dxa"/>
              <w:right w:w="120" w:type="dxa"/>
            </w:tcMar>
          </w:tcPr>
          <w:p>
            <w:pPr>
              <w:spacing w:before="0" w:after="40"/>
            </w:pPr>
            <w:r>
              <w:rPr>
                <w:rFonts w:ascii="Calibri" w:hAnsi="Calibri" w:eastAsia="Calibri"/>
                <w:b w:val="0"/>
                <w:color w:val="000000"/>
                <w:sz w:val="20"/>
              </w:rPr>
              <w:t>Governance</w:t>
            </w:r>
          </w:p>
        </w:tc>
        <w:tc>
          <w:tcPr>
            <w:tcW w:type="dxa" w:w="1728"/>
            <w:tcMar>
              <w:top w:w="80" w:type="dxa"/>
              <w:left w:w="120" w:type="dxa"/>
              <w:bottom w:w="80" w:type="dxa"/>
              <w:right w:w="120" w:type="dxa"/>
            </w:tcMar>
          </w:tcPr>
          <w:p>
            <w:pPr>
              <w:spacing w:before="0" w:after="40"/>
            </w:pPr>
            <w:r>
              <w:rPr>
                <w:rFonts w:ascii="Calibri" w:hAnsi="Calibri" w:eastAsia="Calibri"/>
                <w:b w:val="0"/>
                <w:color w:val="000000"/>
                <w:sz w:val="20"/>
              </w:rPr>
              <w:t>TBC</w:t>
            </w:r>
          </w:p>
        </w:tc>
        <w:tc>
          <w:tcPr>
            <w:tcW w:type="dxa" w:w="5184"/>
            <w:tcMar>
              <w:top w:w="80" w:type="dxa"/>
              <w:left w:w="120" w:type="dxa"/>
              <w:bottom w:w="80" w:type="dxa"/>
              <w:right w:w="120" w:type="dxa"/>
            </w:tcMar>
          </w:tcPr>
          <w:p>
            <w:pPr>
              <w:spacing w:before="0" w:after="40"/>
            </w:pPr>
            <w:r>
              <w:rPr>
                <w:rFonts w:ascii="Calibri" w:hAnsi="Calibri" w:eastAsia="Calibri"/>
                <w:b w:val="0"/>
                <w:color w:val="000000"/>
                <w:sz w:val="20"/>
              </w:rPr>
              <w:t>Privacy, retention, legal review cadence</w:t>
            </w:r>
          </w:p>
        </w:tc>
      </w:tr>
    </w:tbl>
    <w:p/>
    <w:p>
      <w:pPr>
        <w:pStyle w:val="Heading1"/>
        <w:spacing w:before="320" w:after="160"/>
      </w:pPr>
      <w:r>
        <w:rPr>
          <w:rFonts w:ascii="Calibri" w:hAnsi="Calibri" w:eastAsia="Calibri"/>
          <w:b/>
          <w:color w:val="2E74B5"/>
          <w:sz w:val="32"/>
        </w:rPr>
        <w:t>16. Immediate next steps</w:t>
      </w:r>
    </w:p>
    <w:p>
      <w:pPr>
        <w:pStyle w:val="ListBullet"/>
        <w:spacing w:after="80" w:line="276" w:lineRule="auto"/>
      </w:pPr>
      <w:r>
        <w:rPr>
          <w:rFonts w:ascii="Calibri" w:hAnsi="Calibri" w:eastAsia="Calibri"/>
          <w:b w:val="0"/>
          <w:color w:val="000000"/>
          <w:sz w:val="22"/>
        </w:rPr>
        <w:t>Confirm pilot mosques and named Responsible Persons.</w:t>
      </w:r>
    </w:p>
    <w:p>
      <w:pPr>
        <w:pStyle w:val="ListBullet"/>
        <w:spacing w:after="80" w:line="276" w:lineRule="auto"/>
      </w:pPr>
      <w:r>
        <w:rPr>
          <w:rFonts w:ascii="Calibri" w:hAnsi="Calibri" w:eastAsia="Calibri"/>
          <w:b w:val="0"/>
          <w:color w:val="000000"/>
          <w:sz w:val="22"/>
        </w:rPr>
        <w:t>Approve phase-1 checklist and procedure template wording against current guidance.</w:t>
      </w:r>
    </w:p>
    <w:p>
      <w:pPr>
        <w:pStyle w:val="ListBullet"/>
        <w:spacing w:after="80" w:line="276" w:lineRule="auto"/>
      </w:pPr>
      <w:r>
        <w:rPr>
          <w:rFonts w:ascii="Calibri" w:hAnsi="Calibri" w:eastAsia="Calibri"/>
          <w:b w:val="0"/>
          <w:color w:val="000000"/>
          <w:sz w:val="22"/>
        </w:rPr>
        <w:t>Decide packaging: sibling of safeguarding portal vs unified readiness hub.</w:t>
      </w:r>
    </w:p>
    <w:p>
      <w:pPr>
        <w:pStyle w:val="ListBullet"/>
        <w:spacing w:after="80" w:line="276" w:lineRule="auto"/>
      </w:pPr>
      <w:r>
        <w:rPr>
          <w:rFonts w:ascii="Calibri" w:hAnsi="Calibri" w:eastAsia="Calibri"/>
          <w:b w:val="0"/>
          <w:color w:val="000000"/>
          <w:sz w:val="22"/>
        </w:rPr>
        <w:t>Extend data model (martyns_* tables) beside existing assessment_* schema.</w:t>
      </w:r>
    </w:p>
    <w:p>
      <w:pPr>
        <w:pStyle w:val="ListBullet"/>
        <w:spacing w:after="80" w:line="276" w:lineRule="auto"/>
      </w:pPr>
      <w:r>
        <w:rPr>
          <w:rFonts w:ascii="Calibri" w:hAnsi="Calibri" w:eastAsia="Calibri"/>
          <w:b w:val="0"/>
          <w:color w:val="000000"/>
          <w:sz w:val="22"/>
        </w:rPr>
        <w:t>Prototype tier wizard + four procedure domains on the current pack UX.</w:t>
      </w:r>
    </w:p>
    <w:p>
      <w:pPr>
        <w:pStyle w:val="ListBullet"/>
        <w:spacing w:after="80" w:line="276" w:lineRule="auto"/>
      </w:pPr>
      <w:r>
        <w:rPr>
          <w:rFonts w:ascii="Calibri" w:hAnsi="Calibri" w:eastAsia="Calibri"/>
          <w:b w:val="0"/>
          <w:color w:val="000000"/>
          <w:sz w:val="22"/>
        </w:rPr>
        <w:t>Schedule fortnightly steering check-ins through phase 2.</w:t>
      </w:r>
    </w:p>
    <w:p>
      <w:pPr>
        <w:pStyle w:val="Heading1"/>
        <w:spacing w:before="320" w:after="160"/>
      </w:pPr>
      <w:r>
        <w:rPr>
          <w:rFonts w:ascii="Calibri" w:hAnsi="Calibri" w:eastAsia="Calibri"/>
          <w:b/>
          <w:color w:val="2E74B5"/>
          <w:sz w:val="32"/>
        </w:rPr>
        <w:t>17. Document control</w:t>
      </w:r>
    </w:p>
    <w:tbl>
      <w:tblPr>
        <w:tblStyle w:val="TableGrid"/>
        <w:tblW w:type="dxa" w:w="9360"/>
        <w:tblLook w:firstColumn="1" w:firstRow="1" w:lastColumn="0" w:lastRow="0" w:noHBand="0" w:noVBand="1" w:val="04A0"/>
        <w:tblInd w:w="120" w:type="dxa"/>
        <w:tblLayout w:type="fixed"/>
      </w:tblPr>
      <w:tblGrid>
        <w:gridCol w:w="1728"/>
        <w:gridCol w:w="2160"/>
        <w:gridCol w:w="5472"/>
      </w:tblGrid>
      <w:tr>
        <w:tc>
          <w:tcPr>
            <w:tcW w:type="dxa" w:w="1728"/>
            <w:tcMar>
              <w:top w:w="80" w:type="dxa"/>
              <w:left w:w="120" w:type="dxa"/>
              <w:bottom w:w="80" w:type="dxa"/>
              <w:right w:w="120" w:type="dxa"/>
            </w:tcMar>
            <w:shd w:fill="F2F4F7" w:val="clear"/>
          </w:tcPr>
          <w:p>
            <w:r>
              <w:rPr>
                <w:rFonts w:ascii="Calibri" w:hAnsi="Calibri" w:eastAsia="Calibri"/>
                <w:b/>
                <w:color w:val="0B2545"/>
                <w:sz w:val="20"/>
              </w:rPr>
              <w:t>Version</w:t>
            </w:r>
          </w:p>
        </w:tc>
        <w:tc>
          <w:tcPr>
            <w:tcW w:type="dxa" w:w="2160"/>
            <w:tcMar>
              <w:top w:w="80" w:type="dxa"/>
              <w:left w:w="120" w:type="dxa"/>
              <w:bottom w:w="80" w:type="dxa"/>
              <w:right w:w="120" w:type="dxa"/>
            </w:tcMar>
            <w:shd w:fill="F2F4F7" w:val="clear"/>
          </w:tcPr>
          <w:p>
            <w:r>
              <w:rPr>
                <w:rFonts w:ascii="Calibri" w:hAnsi="Calibri" w:eastAsia="Calibri"/>
                <w:b/>
                <w:color w:val="0B2545"/>
                <w:sz w:val="20"/>
              </w:rPr>
              <w:t>Date</w:t>
            </w:r>
          </w:p>
        </w:tc>
        <w:tc>
          <w:tcPr>
            <w:tcW w:type="dxa" w:w="5472"/>
            <w:tcMar>
              <w:top w:w="80" w:type="dxa"/>
              <w:left w:w="120" w:type="dxa"/>
              <w:bottom w:w="80" w:type="dxa"/>
              <w:right w:w="120" w:type="dxa"/>
            </w:tcMar>
            <w:shd w:fill="F2F4F7" w:val="clear"/>
          </w:tcPr>
          <w:p>
            <w:r>
              <w:rPr>
                <w:rFonts w:ascii="Calibri" w:hAnsi="Calibri" w:eastAsia="Calibri"/>
                <w:b/>
                <w:color w:val="0B2545"/>
                <w:sz w:val="20"/>
              </w:rPr>
              <w:t>Notes</w:t>
            </w:r>
          </w:p>
        </w:tc>
      </w:tr>
      <w:tr>
        <w:tc>
          <w:tcPr>
            <w:tcW w:type="dxa" w:w="1728"/>
            <w:tcMar>
              <w:top w:w="80" w:type="dxa"/>
              <w:left w:w="120" w:type="dxa"/>
              <w:bottom w:w="80" w:type="dxa"/>
              <w:right w:w="120" w:type="dxa"/>
            </w:tcMar>
          </w:tcPr>
          <w:p>
            <w:pPr>
              <w:spacing w:before="0" w:after="40"/>
            </w:pPr>
            <w:r>
              <w:rPr>
                <w:rFonts w:ascii="Calibri" w:hAnsi="Calibri" w:eastAsia="Calibri"/>
                <w:b w:val="0"/>
                <w:color w:val="000000"/>
                <w:sz w:val="20"/>
              </w:rPr>
              <w:t>0.1</w:t>
            </w:r>
          </w:p>
        </w:tc>
        <w:tc>
          <w:tcPr>
            <w:tcW w:type="dxa" w:w="2160"/>
            <w:tcMar>
              <w:top w:w="80" w:type="dxa"/>
              <w:left w:w="120" w:type="dxa"/>
              <w:bottom w:w="80" w:type="dxa"/>
              <w:right w:w="120" w:type="dxa"/>
            </w:tcMar>
          </w:tcPr>
          <w:p>
            <w:pPr>
              <w:spacing w:before="0" w:after="40"/>
            </w:pPr>
            <w:r>
              <w:rPr>
                <w:rFonts w:ascii="Calibri" w:hAnsi="Calibri" w:eastAsia="Calibri"/>
                <w:b w:val="0"/>
                <w:color w:val="000000"/>
                <w:sz w:val="20"/>
              </w:rPr>
              <w:t>31 July 2026</w:t>
            </w:r>
          </w:p>
        </w:tc>
        <w:tc>
          <w:tcPr>
            <w:tcW w:type="dxa" w:w="5472"/>
            <w:tcMar>
              <w:top w:w="80" w:type="dxa"/>
              <w:left w:w="120" w:type="dxa"/>
              <w:bottom w:w="80" w:type="dxa"/>
              <w:right w:w="120" w:type="dxa"/>
            </w:tcMar>
          </w:tcPr>
          <w:p>
            <w:pPr>
              <w:spacing w:before="0" w:after="40"/>
            </w:pPr>
            <w:r>
              <w:rPr>
                <w:rFonts w:ascii="Calibri" w:hAnsi="Calibri" w:eastAsia="Calibri"/>
                <w:b w:val="0"/>
                <w:color w:val="000000"/>
                <w:sz w:val="20"/>
              </w:rPr>
              <w:t>Initial planning brief with architecture for review</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color w:val="555555"/>
        <w:sz w:val="16"/>
      </w:rPr>
      <w:t>Martyn’s Law Portal · Planning brief · Confidential working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