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Rule="auto" w:line="240"/>
      </w:pPr>
      <w:r>
        <w:rPr>
          <w:rFonts w:ascii="Calibri" w:hAnsi="Calibri" w:eastAsia="Calibri" w:cs="Calibri"/>
          <w:b/>
          <w:color w:val="2E74B5"/>
          <w:sz w:val="20"/>
        </w:rPr>
        <w:t>PROJECT PLANNING BRIEF</w:t>
      </w:r>
    </w:p>
    <w:p>
      <w:pPr>
        <w:spacing w:before="0" w:after="80" w:lineRule="auto" w:line="252"/>
      </w:pPr>
      <w:r>
        <w:rPr>
          <w:rFonts w:ascii="Calibri" w:hAnsi="Calibri" w:eastAsia="Calibri" w:cs="Calibri"/>
          <w:b/>
          <w:color w:val="0B2545"/>
          <w:sz w:val="44"/>
        </w:rPr>
        <w:t>Safeguarding Self-Assessment and Training Portal</w:t>
      </w:r>
    </w:p>
    <w:p>
      <w:pPr>
        <w:spacing w:before="0" w:after="200" w:lineRule="auto" w:line="264"/>
      </w:pPr>
      <w:r>
        <w:rPr>
          <w:rFonts w:ascii="Calibri" w:hAnsi="Calibri" w:eastAsia="Calibri" w:cs="Calibri"/>
          <w:i/>
          <w:color w:val="555555"/>
          <w:sz w:val="22"/>
        </w:rPr>
        <w:t>Planning document for a mosque-facing portal that combines structured safeguarding self-assessment with guided training pathways.</w:t>
      </w:r>
    </w:p>
    <w:tbl>
      <w:tblPr>
        <w:tblW w:type="dxa" w:w="9360"/>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120"/>
      </w:tblPr>
      <w:tblGrid>
        <w:gridCol w:w="2700"/>
        <w:gridCol w:w="6660"/>
      </w:tblGrid>
      <w:tr>
        <w:trPr/>
        <w:tc>
          <w:tcPr>
            <w:tcW w:type="dxa" w:w="27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Document type</w:t>
            </w:r>
          </w:p>
        </w:tc>
        <w:tc>
          <w:tcPr>
            <w:tcW w:type="dxa" w:w="66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Planning brief / product scope</w:t>
            </w:r>
          </w:p>
        </w:tc>
      </w:tr>
      <w:tr>
        <w:trPr/>
        <w:tc>
          <w:tcPr>
            <w:tcW w:type="dxa" w:w="27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Audience</w:t>
            </w:r>
          </w:p>
        </w:tc>
        <w:tc>
          <w:tcPr>
            <w:tcW w:type="dxa" w:w="66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Programme leads, trustees, product &amp; content teams</w:t>
            </w:r>
          </w:p>
        </w:tc>
      </w:tr>
      <w:tr>
        <w:trPr/>
        <w:tc>
          <w:tcPr>
            <w:tcW w:type="dxa" w:w="27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Date</w:t>
            </w:r>
          </w:p>
        </w:tc>
        <w:tc>
          <w:tcPr>
            <w:tcW w:type="dxa" w:w="66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31 July 2026</w:t>
            </w:r>
          </w:p>
        </w:tc>
      </w:tr>
      <w:tr>
        <w:trPr/>
        <w:tc>
          <w:tcPr>
            <w:tcW w:type="dxa" w:w="27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Status</w:t>
            </w:r>
          </w:p>
        </w:tc>
        <w:tc>
          <w:tcPr>
            <w:tcW w:type="dxa" w:w="66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Working draft for review</w:t>
            </w:r>
          </w:p>
        </w:tc>
      </w:tr>
    </w:tbl>
    <w:p>
      <w:pPr>
        <w:spacing w:before="160" w:after="160" w:lineRule="auto" w:line="240"/>
        <w:pBdr>
          <w:bottom w:val="single" w:sz="12" w:space="8" w:color="2E74B5"/>
        </w:pBdr>
      </w:pPr>
    </w:p>
    <w:tbl>
      <w:tblPr>
        <w:tblW w:type="dxa" w:w="9360"/>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120"/>
      </w:tblPr>
      <w:tblGrid>
        <w:gridCol w:w="9360"/>
      </w:tblGrid>
      <w:tr>
        <w:trPr/>
        <w:tc>
          <w:tcPr>
            <w:tcW w:type="dxa" w:w="9360"/>
            <w:shd w:val="clear" w:color="auto" w:fill="F4F6F9"/>
            <w:tcMar>
              <w:top w:w="80" w:type="dxa"/>
              <w:bottom w:w="80" w:type="dxa"/>
              <w:start w:w="120" w:type="dxa"/>
              <w:end w:w="120" w:type="dxa"/>
            </w:tcMar>
          </w:tcPr>
          <w:p>
            <w:pPr>
              <w:spacing w:before="40" w:after="40" w:lineRule="auto" w:line="264"/>
            </w:pPr>
            <w:r/>
            <w:r>
              <w:rPr>
                <w:rFonts w:ascii="Calibri" w:hAnsi="Calibri" w:eastAsia="Calibri" w:cs="Calibri"/>
                <w:b/>
                <w:color w:val="1F4D78"/>
                <w:sz w:val="20"/>
              </w:rPr>
              <w:t>Purpose in one line</w:t>
            </w:r>
          </w:p>
          <w:p>
            <w:pPr>
              <w:spacing w:before="0" w:after="40" w:lineRule="auto" w:line="264"/>
            </w:pPr>
            <w:r>
              <w:rPr>
                <w:rFonts w:ascii="Calibri" w:hAnsi="Calibri" w:eastAsia="Calibri" w:cs="Calibri"/>
                <w:sz w:val="20"/>
              </w:rPr>
              <w:t>Help mosque teams understand their safeguarding readiness, close gaps with clear actions, and complete role-appropriate training — in one simple digital portal.</w:t>
            </w:r>
          </w:p>
        </w:tc>
      </w:tr>
    </w:tbl>
    <w:p>
      <w:pPr>
        <w:spacing w:before="0" w:after="80" w:lineRule="auto" w:line="240"/>
      </w:pPr>
    </w:p>
    <w:p>
      <w:pPr>
        <w:pStyle w:val="Heading1"/>
      </w:pPr>
      <w:r>
        <w:t>1. Objectives</w:t>
      </w:r>
    </w:p>
    <w:p>
      <w:pPr>
        <w:spacing w:before="0" w:after="120" w:lineRule="auto" w:line="264"/>
      </w:pPr>
      <w:r>
        <w:rPr>
          <w:rFonts w:ascii="Calibri" w:hAnsi="Calibri" w:eastAsia="Calibri" w:cs="Calibri"/>
          <w:sz w:val="22"/>
        </w:rPr>
        <w:t>The portal should make safeguarding practical for mosque trustees, safeguarding leads, staff and volunteers. It is not a generic LMS; it links self-assessment evidence to training and improvement actions.</w:t>
      </w:r>
    </w:p>
    <w:p>
      <w:pPr>
        <w:spacing w:before="0" w:after="160" w:lineRule="auto" w:line="280"/>
        <w:numPr>
          <w:ilvl w:val="0"/>
          <w:numId w:val="10"/>
        </w:numPr>
      </w:pPr>
      <w:r>
        <w:rPr>
          <w:rFonts w:ascii="Calibri" w:hAnsi="Calibri" w:eastAsia="Calibri" w:cs="Calibri"/>
          <w:sz w:val="22"/>
        </w:rPr>
        <w:t>Give each mosque a clear picture of current safeguarding practice using RAG-rated domains and checklists.</w:t>
      </w:r>
    </w:p>
    <w:p>
      <w:pPr>
        <w:spacing w:before="0" w:after="160" w:lineRule="auto" w:line="280"/>
        <w:numPr>
          <w:ilvl w:val="0"/>
          <w:numId w:val="10"/>
        </w:numPr>
      </w:pPr>
      <w:r>
        <w:rPr>
          <w:rFonts w:ascii="Calibri" w:hAnsi="Calibri" w:eastAsia="Calibri" w:cs="Calibri"/>
          <w:sz w:val="22"/>
        </w:rPr>
        <w:t>Convert gaps into owned actions with due dates and progress tracking.</w:t>
      </w:r>
    </w:p>
    <w:p>
      <w:pPr>
        <w:spacing w:before="0" w:after="160" w:lineRule="auto" w:line="280"/>
        <w:numPr>
          <w:ilvl w:val="0"/>
          <w:numId w:val="10"/>
        </w:numPr>
      </w:pPr>
      <w:r>
        <w:rPr>
          <w:rFonts w:ascii="Calibri" w:hAnsi="Calibri" w:eastAsia="Calibri" w:cs="Calibri"/>
          <w:sz w:val="22"/>
        </w:rPr>
        <w:t>Assign training modules by role (trustee, safeguarding lead, volunteer, madrasa/youth worker).</w:t>
      </w:r>
    </w:p>
    <w:p>
      <w:pPr>
        <w:spacing w:before="0" w:after="160" w:lineRule="auto" w:line="280"/>
        <w:numPr>
          <w:ilvl w:val="0"/>
          <w:numId w:val="10"/>
        </w:numPr>
      </w:pPr>
      <w:r>
        <w:rPr>
          <w:rFonts w:ascii="Calibri" w:hAnsi="Calibri" w:eastAsia="Calibri" w:cs="Calibri"/>
          <w:sz w:val="22"/>
        </w:rPr>
        <w:t>Create a durable evidence trail for trustees, charity reporting and Beacon Mosque standards work.</w:t>
      </w:r>
    </w:p>
    <w:p>
      <w:pPr>
        <w:spacing w:before="0" w:after="160" w:lineRule="auto" w:line="280"/>
        <w:numPr>
          <w:ilvl w:val="0"/>
          <w:numId w:val="10"/>
        </w:numPr>
      </w:pPr>
      <w:r>
        <w:rPr>
          <w:rFonts w:ascii="Calibri" w:hAnsi="Calibri" w:eastAsia="Calibri" w:cs="Calibri"/>
          <w:sz w:val="22"/>
        </w:rPr>
        <w:t>Keep the experience simple enough for volunteers with limited digital confidence.</w:t>
      </w:r>
    </w:p>
    <w:p>
      <w:pPr>
        <w:pStyle w:val="Heading1"/>
      </w:pPr>
      <w:r>
        <w:t>2. Problem statement</w:t>
      </w:r>
    </w:p>
    <w:p>
      <w:pPr>
        <w:spacing w:before="0" w:after="120" w:lineRule="auto" w:line="264"/>
      </w:pPr>
      <w:r>
        <w:rPr>
          <w:rFonts w:ascii="Calibri" w:hAnsi="Calibri" w:eastAsia="Calibri" w:cs="Calibri"/>
          <w:sz w:val="22"/>
        </w:rPr>
        <w:t>Many mosques have goodwill and some policies, but practice is uneven. Policies may exist without training, incident routes, safer recruitment or refresher schedules. Training is often ad hoc and not linked to the risks the mosque has actually identified.</w:t>
      </w:r>
    </w:p>
    <w:p>
      <w:pPr>
        <w:spacing w:before="0" w:after="120" w:lineRule="auto" w:line="264"/>
      </w:pPr>
      <w:r>
        <w:rPr>
          <w:rFonts w:ascii="Calibri" w:hAnsi="Calibri" w:eastAsia="Calibri" w:cs="Calibri"/>
          <w:sz w:val="22"/>
        </w:rPr>
        <w:t>Without a shared self-assessment and training space, readiness stays oral, evidence is scattered, and trustees cannot see what is red, amber or green across the organisation.</w:t>
      </w:r>
    </w:p>
    <w:p>
      <w:pPr>
        <w:pStyle w:val="Heading1"/>
      </w:pPr>
      <w:r>
        <w:t>3. Users and roles</w:t>
      </w:r>
    </w:p>
    <w:tbl>
      <w:tblPr>
        <w:tblW w:type="dxa" w:w="9360"/>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120"/>
      </w:tblPr>
      <w:tblGrid>
        <w:gridCol w:w="2700"/>
        <w:gridCol w:w="6660"/>
      </w:tblGrid>
      <w:tr>
        <w:trPr/>
        <w:tc>
          <w:tcPr>
            <w:tcW w:type="dxa" w:w="27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Role</w:t>
            </w:r>
          </w:p>
        </w:tc>
        <w:tc>
          <w:tcPr>
            <w:tcW w:type="dxa" w:w="666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Primary job in the portal</w:t>
            </w:r>
          </w:p>
        </w:tc>
      </w:tr>
      <w:tr>
        <w:trPr/>
        <w:tc>
          <w:tcPr>
            <w:tcW w:type="dxa" w:w="27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Mosque safeguarding lead</w:t>
            </w:r>
          </w:p>
        </w:tc>
        <w:tc>
          <w:tcPr>
            <w:tcW w:type="dxa" w:w="66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Complete assessment domains, upload/note evidence, assign actions, track training.</w:t>
            </w:r>
          </w:p>
        </w:tc>
      </w:tr>
      <w:tr>
        <w:trPr/>
        <w:tc>
          <w:tcPr>
            <w:tcW w:type="dxa" w:w="27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Trustees / chair</w:t>
            </w:r>
          </w:p>
        </w:tc>
        <w:tc>
          <w:tcPr>
            <w:tcW w:type="dxa" w:w="66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Review RAG summary, approve policies, oversee open actions.</w:t>
            </w:r>
          </w:p>
        </w:tc>
      </w:tr>
      <w:tr>
        <w:trPr/>
        <w:tc>
          <w:tcPr>
            <w:tcW w:type="dxa" w:w="27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Operations / premises leads</w:t>
            </w:r>
          </w:p>
        </w:tc>
        <w:tc>
          <w:tcPr>
            <w:tcW w:type="dxa" w:w="66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Complete linked domains (programmes, site, access, security).</w:t>
            </w:r>
          </w:p>
        </w:tc>
      </w:tr>
      <w:tr>
        <w:trPr/>
        <w:tc>
          <w:tcPr>
            <w:tcW w:type="dxa" w:w="27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Madrasa / youth leads</w:t>
            </w:r>
          </w:p>
        </w:tc>
        <w:tc>
          <w:tcPr>
            <w:tcW w:type="dxa" w:w="66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Complete education and pastoral safeguarding checks.</w:t>
            </w:r>
          </w:p>
        </w:tc>
      </w:tr>
      <w:tr>
        <w:trPr/>
        <w:tc>
          <w:tcPr>
            <w:tcW w:type="dxa" w:w="27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Staff &amp; volunteers</w:t>
            </w:r>
          </w:p>
        </w:tc>
        <w:tc>
          <w:tcPr>
            <w:tcW w:type="dxa" w:w="66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Complete induction and role-based training modules.</w:t>
            </w:r>
          </w:p>
        </w:tc>
      </w:tr>
      <w:tr>
        <w:trPr/>
        <w:tc>
          <w:tcPr>
            <w:tcW w:type="dxa" w:w="27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Beacon Mosque programme team</w:t>
            </w:r>
          </w:p>
        </w:tc>
        <w:tc>
          <w:tcPr>
            <w:tcW w:type="dxa" w:w="66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Issue packs, monitor progress, support improvement, report aggregate readiness.</w:t>
            </w:r>
          </w:p>
        </w:tc>
      </w:tr>
    </w:tbl>
    <w:p>
      <w:pPr>
        <w:spacing w:before="0" w:after="40" w:lineRule="auto" w:line="240"/>
      </w:pPr>
    </w:p>
    <w:p>
      <w:pPr>
        <w:pStyle w:val="Heading1"/>
      </w:pPr>
      <w:r>
        <w:t>4. Scope</w:t>
      </w:r>
    </w:p>
    <w:p>
      <w:pPr>
        <w:pStyle w:val="Heading2"/>
      </w:pPr>
      <w:r>
        <w:t>4.1 In scope</w:t>
      </w:r>
    </w:p>
    <w:p>
      <w:pPr>
        <w:spacing w:before="0" w:after="160" w:lineRule="auto" w:line="280"/>
        <w:numPr>
          <w:ilvl w:val="0"/>
          <w:numId w:val="10"/>
        </w:numPr>
      </w:pPr>
      <w:r>
        <w:rPr>
          <w:rFonts w:ascii="Calibri" w:hAnsi="Calibri" w:eastAsia="Calibri" w:cs="Calibri"/>
          <w:sz w:val="22"/>
        </w:rPr>
        <w:t>Mosque assessment packs with secure access links.</w:t>
      </w:r>
    </w:p>
    <w:p>
      <w:pPr>
        <w:spacing w:before="0" w:after="160" w:lineRule="auto" w:line="280"/>
        <w:numPr>
          <w:ilvl w:val="0"/>
          <w:numId w:val="10"/>
        </w:numPr>
      </w:pPr>
      <w:r>
        <w:rPr>
          <w:rFonts w:ascii="Calibri" w:hAnsi="Calibri" w:eastAsia="Calibri" w:cs="Calibri"/>
          <w:sz w:val="22"/>
        </w:rPr>
        <w:t>Domain checklists with RAG scores, evidence notes and open actions.</w:t>
      </w:r>
    </w:p>
    <w:p>
      <w:pPr>
        <w:spacing w:before="0" w:after="160" w:lineRule="auto" w:line="280"/>
        <w:numPr>
          <w:ilvl w:val="0"/>
          <w:numId w:val="10"/>
        </w:numPr>
      </w:pPr>
      <w:r>
        <w:rPr>
          <w:rFonts w:ascii="Calibri" w:hAnsi="Calibri" w:eastAsia="Calibri" w:cs="Calibri"/>
          <w:sz w:val="22"/>
        </w:rPr>
        <w:t>Safeguarding-first lead area, with linked operations, premises and madrasa domains.</w:t>
      </w:r>
    </w:p>
    <w:p>
      <w:pPr>
        <w:spacing w:before="0" w:after="160" w:lineRule="auto" w:line="280"/>
        <w:numPr>
          <w:ilvl w:val="0"/>
          <w:numId w:val="10"/>
        </w:numPr>
      </w:pPr>
      <w:r>
        <w:rPr>
          <w:rFonts w:ascii="Calibri" w:hAnsi="Calibri" w:eastAsia="Calibri" w:cs="Calibri"/>
          <w:sz w:val="22"/>
        </w:rPr>
        <w:t>Role-based training catalogue with completion status and refresher reminders.</w:t>
      </w:r>
    </w:p>
    <w:p>
      <w:pPr>
        <w:spacing w:before="0" w:after="160" w:lineRule="auto" w:line="280"/>
        <w:numPr>
          <w:ilvl w:val="0"/>
          <w:numId w:val="10"/>
        </w:numPr>
      </w:pPr>
      <w:r>
        <w:rPr>
          <w:rFonts w:ascii="Calibri" w:hAnsi="Calibri" w:eastAsia="Calibri" w:cs="Calibri"/>
          <w:sz w:val="22"/>
        </w:rPr>
        <w:t>Admin view for Beacon Mosque to create packs and monitor mosque progress.</w:t>
      </w:r>
    </w:p>
    <w:p>
      <w:pPr>
        <w:spacing w:before="0" w:after="160" w:lineRule="auto" w:line="280"/>
        <w:numPr>
          <w:ilvl w:val="0"/>
          <w:numId w:val="10"/>
        </w:numPr>
      </w:pPr>
      <w:r>
        <w:rPr>
          <w:rFonts w:ascii="Calibri" w:hAnsi="Calibri" w:eastAsia="Calibri" w:cs="Calibri"/>
          <w:sz w:val="22"/>
        </w:rPr>
        <w:t>Exportable summary for trustees (PDF or printable pack summary in a later phase).</w:t>
      </w:r>
    </w:p>
    <w:p>
      <w:pPr>
        <w:pStyle w:val="Heading2"/>
      </w:pPr>
      <w:r>
        <w:t>4.2 Out of scope (initial release)</w:t>
      </w:r>
    </w:p>
    <w:p>
      <w:pPr>
        <w:spacing w:before="0" w:after="160" w:lineRule="auto" w:line="280"/>
        <w:numPr>
          <w:ilvl w:val="0"/>
          <w:numId w:val="10"/>
        </w:numPr>
      </w:pPr>
      <w:r>
        <w:rPr>
          <w:rFonts w:ascii="Calibri" w:hAnsi="Calibri" w:eastAsia="Calibri" w:cs="Calibri"/>
          <w:sz w:val="22"/>
        </w:rPr>
        <w:t>Case management for individual safeguarding incidents (the portal records that routes exist; it does not replace LADO / statutory systems).</w:t>
      </w:r>
    </w:p>
    <w:p>
      <w:pPr>
        <w:spacing w:before="0" w:after="160" w:lineRule="auto" w:line="280"/>
        <w:numPr>
          <w:ilvl w:val="0"/>
          <w:numId w:val="10"/>
        </w:numPr>
      </w:pPr>
      <w:r>
        <w:rPr>
          <w:rFonts w:ascii="Calibri" w:hAnsi="Calibri" w:eastAsia="Calibri" w:cs="Calibri"/>
          <w:sz w:val="22"/>
        </w:rPr>
        <w:t>Live DBS application processing.</w:t>
      </w:r>
    </w:p>
    <w:p>
      <w:pPr>
        <w:spacing w:before="0" w:after="160" w:lineRule="auto" w:line="280"/>
        <w:numPr>
          <w:ilvl w:val="0"/>
          <w:numId w:val="10"/>
        </w:numPr>
      </w:pPr>
      <w:r>
        <w:rPr>
          <w:rFonts w:ascii="Calibri" w:hAnsi="Calibri" w:eastAsia="Calibri" w:cs="Calibri"/>
          <w:sz w:val="22"/>
        </w:rPr>
        <w:t>Full accreditation scoring for every Beacon Mosque standard beyond safeguarding readiness.</w:t>
      </w:r>
    </w:p>
    <w:p>
      <w:pPr>
        <w:spacing w:before="0" w:after="160" w:lineRule="auto" w:line="280"/>
        <w:numPr>
          <w:ilvl w:val="0"/>
          <w:numId w:val="10"/>
        </w:numPr>
      </w:pPr>
      <w:r>
        <w:rPr>
          <w:rFonts w:ascii="Calibri" w:hAnsi="Calibri" w:eastAsia="Calibri" w:cs="Calibri"/>
          <w:sz w:val="22"/>
        </w:rPr>
        <w:t>Multi-language content beyond English in phase 1 (planned later).</w:t>
      </w:r>
    </w:p>
    <w:p>
      <w:pPr>
        <w:pStyle w:val="Heading1"/>
      </w:pPr>
      <w:r>
        <w:t>5. Self-assessment framework</w:t>
      </w:r>
    </w:p>
    <w:p>
      <w:pPr>
        <w:spacing w:before="0" w:after="120" w:lineRule="auto" w:line="264"/>
      </w:pPr>
      <w:r>
        <w:rPr>
          <w:rFonts w:ascii="Calibri" w:hAnsi="Calibri" w:eastAsia="Calibri" w:cs="Calibri"/>
          <w:sz w:val="22"/>
        </w:rPr>
        <w:t>Assessment is organised by lead areas and domains. Each domain has a short checklist, RAG rating, evidence notes and improvement actions.</w:t>
      </w:r>
    </w:p>
    <w:tbl>
      <w:tblPr>
        <w:tblW w:type="dxa" w:w="9360"/>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120"/>
      </w:tblPr>
      <w:tblGrid>
        <w:gridCol w:w="2200"/>
        <w:gridCol w:w="3600"/>
        <w:gridCol w:w="3560"/>
      </w:tblGrid>
      <w:tr>
        <w:trPr/>
        <w:tc>
          <w:tcPr>
            <w:tcW w:type="dxa" w:w="22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Lead area</w:t>
            </w:r>
          </w:p>
        </w:tc>
        <w:tc>
          <w:tcPr>
            <w:tcW w:type="dxa" w:w="36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Domains</w:t>
            </w:r>
          </w:p>
        </w:tc>
        <w:tc>
          <w:tcPr>
            <w:tcW w:type="dxa" w:w="356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Focus</w:t>
            </w:r>
          </w:p>
        </w:tc>
      </w:tr>
      <w:tr>
        <w:trPr/>
        <w:tc>
          <w:tcPr>
            <w:tcW w:type="dxa" w:w="22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Safeguarding Lead</w:t>
            </w:r>
          </w:p>
        </w:tc>
        <w:tc>
          <w:tcPr>
            <w:tcW w:type="dxa" w:w="3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Policies &amp; Procedures; Incident Reporting &amp; Escalation; Training &amp; Safer Recruitment</w:t>
            </w:r>
          </w:p>
        </w:tc>
        <w:tc>
          <w:tcPr>
            <w:tcW w:type="dxa" w:w="35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Core safeguarding governance</w:t>
            </w:r>
          </w:p>
        </w:tc>
      </w:tr>
      <w:tr>
        <w:trPr/>
        <w:tc>
          <w:tcPr>
            <w:tcW w:type="dxa" w:w="22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Operations Lead</w:t>
            </w:r>
          </w:p>
        </w:tc>
        <w:tc>
          <w:tcPr>
            <w:tcW w:type="dxa" w:w="3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Programmes &amp; Events; Volunteers &amp; Staff; Communications &amp; Records</w:t>
            </w:r>
          </w:p>
        </w:tc>
        <w:tc>
          <w:tcPr>
            <w:tcW w:type="dxa" w:w="35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Day-to-day accountability</w:t>
            </w:r>
          </w:p>
        </w:tc>
      </w:tr>
      <w:tr>
        <w:trPr/>
        <w:tc>
          <w:tcPr>
            <w:tcW w:type="dxa" w:w="22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Premises &amp; Security Lead</w:t>
            </w:r>
          </w:p>
        </w:tc>
        <w:tc>
          <w:tcPr>
            <w:tcW w:type="dxa" w:w="3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Site Safety; Access / CCTV / Large Events; Hate Crime / Protective Security</w:t>
            </w:r>
          </w:p>
        </w:tc>
        <w:tc>
          <w:tcPr>
            <w:tcW w:type="dxa" w:w="35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Physical safety and protective security</w:t>
            </w:r>
          </w:p>
        </w:tc>
      </w:tr>
      <w:tr>
        <w:trPr/>
        <w:tc>
          <w:tcPr>
            <w:tcW w:type="dxa" w:w="22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Madrasa / Youth Lead</w:t>
            </w:r>
          </w:p>
        </w:tc>
        <w:tc>
          <w:tcPr>
            <w:tcW w:type="dxa" w:w="3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Madrasa; Youth Activities; Pastoral / One-to-One Support</w:t>
            </w:r>
          </w:p>
        </w:tc>
        <w:tc>
          <w:tcPr>
            <w:tcW w:type="dxa" w:w="35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Children, youth and pastoral practice</w:t>
            </w:r>
          </w:p>
        </w:tc>
      </w:tr>
    </w:tbl>
    <w:p>
      <w:pPr>
        <w:spacing w:before="80" w:after="40" w:lineRule="auto" w:line="240"/>
      </w:pPr>
    </w:p>
    <w:p>
      <w:pPr>
        <w:pStyle w:val="Heading2"/>
      </w:pPr>
      <w:r>
        <w:t>5.1 Safeguarding lead checklist (core)</w:t>
      </w:r>
    </w:p>
    <w:tbl>
      <w:tblPr>
        <w:tblW w:type="dxa" w:w="9360"/>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120"/>
      </w:tblPr>
      <w:tblGrid>
        <w:gridCol w:w="2800"/>
        <w:gridCol w:w="6560"/>
      </w:tblGrid>
      <w:tr>
        <w:trPr/>
        <w:tc>
          <w:tcPr>
            <w:tcW w:type="dxa" w:w="28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Domain</w:t>
            </w:r>
          </w:p>
        </w:tc>
        <w:tc>
          <w:tcPr>
            <w:tcW w:type="dxa" w:w="656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Checklist items</w:t>
            </w:r>
          </w:p>
        </w:tc>
      </w:tr>
      <w:tr>
        <w:trPr/>
        <w:tc>
          <w:tcPr>
            <w:tcW w:type="dxa" w:w="28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Policies &amp; Procedures</w:t>
            </w:r>
          </w:p>
        </w:tc>
        <w:tc>
          <w:tcPr>
            <w:tcW w:type="dxa" w:w="65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Policy adopted; reviewed in 12 months; accessible; code of conduct</w:t>
            </w:r>
          </w:p>
        </w:tc>
      </w:tr>
      <w:tr>
        <w:trPr/>
        <w:tc>
          <w:tcPr>
            <w:tcW w:type="dxa" w:w="28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Incident Reporting</w:t>
            </w:r>
          </w:p>
        </w:tc>
        <w:tc>
          <w:tcPr>
            <w:tcW w:type="dxa" w:w="65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Named route; concern log; LADO/local contacts; lessons learned</w:t>
            </w:r>
          </w:p>
        </w:tc>
      </w:tr>
      <w:tr>
        <w:trPr/>
        <w:tc>
          <w:tcPr>
            <w:tcW w:type="dxa" w:w="28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Training &amp; Safer Recruitment</w:t>
            </w:r>
          </w:p>
        </w:tc>
        <w:tc>
          <w:tcPr>
            <w:tcW w:type="dxa" w:w="65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Induction; refresher schedule; DBS/vetting; references</w:t>
            </w:r>
          </w:p>
        </w:tc>
      </w:tr>
    </w:tbl>
    <w:p>
      <w:pPr>
        <w:spacing w:before="80" w:after="40" w:lineRule="auto" w:line="240"/>
      </w:pPr>
    </w:p>
    <w:p>
      <w:pPr>
        <w:pStyle w:val="Heading2"/>
      </w:pPr>
      <w:r>
        <w:t>5.2 RAG meaning</w:t>
      </w:r>
    </w:p>
    <w:tbl>
      <w:tblPr>
        <w:tblW w:type="dxa" w:w="9360"/>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120"/>
      </w:tblPr>
      <w:tblGrid>
        <w:gridCol w:w="1800"/>
        <w:gridCol w:w="7560"/>
      </w:tblGrid>
      <w:tr>
        <w:trPr/>
        <w:tc>
          <w:tcPr>
            <w:tcW w:type="dxa" w:w="18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RAG</w:t>
            </w:r>
          </w:p>
        </w:tc>
        <w:tc>
          <w:tcPr>
            <w:tcW w:type="dxa" w:w="756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Meaning</w:t>
            </w:r>
          </w:p>
        </w:tc>
      </w:tr>
      <w:tr>
        <w:trPr/>
        <w:tc>
          <w:tcPr>
            <w:tcW w:type="dxa" w:w="18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Green</w:t>
            </w:r>
          </w:p>
        </w:tc>
        <w:tc>
          <w:tcPr>
            <w:tcW w:type="dxa" w:w="75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Practice is in place, evidenced and reviewed.</w:t>
            </w:r>
          </w:p>
        </w:tc>
      </w:tr>
      <w:tr>
        <w:trPr/>
        <w:tc>
          <w:tcPr>
            <w:tcW w:type="dxa" w:w="18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Amber</w:t>
            </w:r>
          </w:p>
        </w:tc>
        <w:tc>
          <w:tcPr>
            <w:tcW w:type="dxa" w:w="75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Partial practice — gaps known and actions planned.</w:t>
            </w:r>
          </w:p>
        </w:tc>
      </w:tr>
      <w:tr>
        <w:trPr/>
        <w:tc>
          <w:tcPr>
            <w:tcW w:type="dxa" w:w="18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Red</w:t>
            </w:r>
          </w:p>
        </w:tc>
        <w:tc>
          <w:tcPr>
            <w:tcW w:type="dxa" w:w="75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Missing or unsafe — urgent action required.</w:t>
            </w:r>
          </w:p>
        </w:tc>
      </w:tr>
      <w:tr>
        <w:trPr/>
        <w:tc>
          <w:tcPr>
            <w:tcW w:type="dxa" w:w="18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Unset</w:t>
            </w:r>
          </w:p>
        </w:tc>
        <w:tc>
          <w:tcPr>
            <w:tcW w:type="dxa" w:w="7560"/>
            <w:tcMar>
              <w:top w:w="80" w:type="dxa"/>
              <w:bottom w:w="80" w:type="dxa"/>
              <w:start w:w="120" w:type="dxa"/>
              <w:end w:w="120" w:type="dxa"/>
            </w:tcMar>
            <w:vAlign w:val="center"/>
          </w:tcPr>
          <w:p>
            <w:pPr>
              <w:spacing w:before="0" w:after="0" w:lineRule="auto" w:line="264"/>
              <w:jc w:val="center"/>
            </w:pPr>
            <w:r/>
            <w:r>
              <w:rPr>
                <w:rFonts w:ascii="Calibri" w:hAnsi="Calibri" w:eastAsia="Calibri" w:cs="Calibri"/>
                <w:b w:val="0"/>
                <w:sz w:val="20"/>
              </w:rPr>
              <w:t>Not yet reviewed.</w:t>
            </w:r>
          </w:p>
        </w:tc>
      </w:tr>
    </w:tbl>
    <w:p>
      <w:pPr>
        <w:pStyle w:val="Heading1"/>
      </w:pPr>
      <w:r>
        <w:t>6. Training pathway design</w:t>
      </w:r>
    </w:p>
    <w:p>
      <w:pPr>
        <w:spacing w:before="0" w:after="120" w:lineRule="auto" w:line="264"/>
      </w:pPr>
      <w:r>
        <w:rPr>
          <w:rFonts w:ascii="Calibri" w:hAnsi="Calibri" w:eastAsia="Calibri" w:cs="Calibri"/>
          <w:sz w:val="22"/>
        </w:rPr>
        <w:t>Training should follow the assessment. Where a domain is amber or red, the portal recommends the modules that close that gap. Completions feed back into the Training &amp; Safer Recruitment domain.</w:t>
      </w:r>
    </w:p>
    <w:tbl>
      <w:tblPr>
        <w:tblW w:type="dxa" w:w="9360"/>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120"/>
      </w:tblPr>
      <w:tblGrid>
        <w:gridCol w:w="2600"/>
        <w:gridCol w:w="2600"/>
        <w:gridCol w:w="4160"/>
      </w:tblGrid>
      <w:tr>
        <w:trPr/>
        <w:tc>
          <w:tcPr>
            <w:tcW w:type="dxa" w:w="26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Module</w:t>
            </w:r>
          </w:p>
        </w:tc>
        <w:tc>
          <w:tcPr>
            <w:tcW w:type="dxa" w:w="26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Audience</w:t>
            </w:r>
          </w:p>
        </w:tc>
        <w:tc>
          <w:tcPr>
            <w:tcW w:type="dxa" w:w="416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Outcome</w:t>
            </w:r>
          </w:p>
        </w:tc>
      </w:tr>
      <w:tr>
        <w:trPr/>
        <w:tc>
          <w:tcPr>
            <w:tcW w:type="dxa" w:w="2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Safeguarding foundations</w:t>
            </w:r>
          </w:p>
        </w:tc>
        <w:tc>
          <w:tcPr>
            <w:tcW w:type="dxa" w:w="2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All staff &amp; volunteers</w:t>
            </w:r>
          </w:p>
        </w:tc>
        <w:tc>
          <w:tcPr>
            <w:tcW w:type="dxa" w:w="41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Recognise harm, report concerns, know the mosque route</w:t>
            </w:r>
          </w:p>
        </w:tc>
      </w:tr>
      <w:tr>
        <w:trPr/>
        <w:tc>
          <w:tcPr>
            <w:tcW w:type="dxa" w:w="2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Trustee safeguarding duties</w:t>
            </w:r>
          </w:p>
        </w:tc>
        <w:tc>
          <w:tcPr>
            <w:tcW w:type="dxa" w:w="2600"/>
            <w:tcMar>
              <w:top w:w="80" w:type="dxa"/>
              <w:bottom w:w="80" w:type="dxa"/>
              <w:start w:w="120" w:type="dxa"/>
              <w:end w:w="120" w:type="dxa"/>
            </w:tcMar>
            <w:vAlign w:val="center"/>
          </w:tcPr>
          <w:p>
            <w:pPr>
              <w:spacing w:before="0" w:after="0" w:lineRule="auto" w:line="264"/>
              <w:jc w:val="center"/>
            </w:pPr>
            <w:r/>
            <w:r>
              <w:rPr>
                <w:rFonts w:ascii="Calibri" w:hAnsi="Calibri" w:eastAsia="Calibri" w:cs="Calibri"/>
                <w:b w:val="0"/>
                <w:sz w:val="20"/>
              </w:rPr>
              <w:t>Trustees</w:t>
            </w:r>
          </w:p>
        </w:tc>
        <w:tc>
          <w:tcPr>
            <w:tcW w:type="dxa" w:w="41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Understand charity trustee responsibilities and oversight</w:t>
            </w:r>
          </w:p>
        </w:tc>
      </w:tr>
      <w:tr>
        <w:trPr/>
        <w:tc>
          <w:tcPr>
            <w:tcW w:type="dxa" w:w="2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Designated safeguarding lead</w:t>
            </w:r>
          </w:p>
        </w:tc>
        <w:tc>
          <w:tcPr>
            <w:tcW w:type="dxa" w:w="2600"/>
            <w:tcMar>
              <w:top w:w="80" w:type="dxa"/>
              <w:bottom w:w="80" w:type="dxa"/>
              <w:start w:w="120" w:type="dxa"/>
              <w:end w:w="120" w:type="dxa"/>
            </w:tcMar>
            <w:vAlign w:val="center"/>
          </w:tcPr>
          <w:p>
            <w:pPr>
              <w:spacing w:before="0" w:after="0" w:lineRule="auto" w:line="264"/>
              <w:jc w:val="center"/>
            </w:pPr>
            <w:r/>
            <w:r>
              <w:rPr>
                <w:rFonts w:ascii="Calibri" w:hAnsi="Calibri" w:eastAsia="Calibri" w:cs="Calibri"/>
                <w:b w:val="0"/>
                <w:sz w:val="20"/>
              </w:rPr>
              <w:t>Safeguarding leads</w:t>
            </w:r>
          </w:p>
        </w:tc>
        <w:tc>
          <w:tcPr>
            <w:tcW w:type="dxa" w:w="41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Handle concerns, escalate, keep proportionate records</w:t>
            </w:r>
          </w:p>
        </w:tc>
      </w:tr>
      <w:tr>
        <w:trPr/>
        <w:tc>
          <w:tcPr>
            <w:tcW w:type="dxa" w:w="2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Safer recruitment</w:t>
            </w:r>
          </w:p>
        </w:tc>
        <w:tc>
          <w:tcPr>
            <w:tcW w:type="dxa" w:w="2600"/>
            <w:tcMar>
              <w:top w:w="80" w:type="dxa"/>
              <w:bottom w:w="80" w:type="dxa"/>
              <w:start w:w="120" w:type="dxa"/>
              <w:end w:w="120" w:type="dxa"/>
            </w:tcMar>
            <w:vAlign w:val="center"/>
          </w:tcPr>
          <w:p>
            <w:pPr>
              <w:spacing w:before="0" w:after="0" w:lineRule="auto" w:line="264"/>
              <w:jc w:val="center"/>
            </w:pPr>
            <w:r/>
            <w:r>
              <w:rPr>
                <w:rFonts w:ascii="Calibri" w:hAnsi="Calibri" w:eastAsia="Calibri" w:cs="Calibri"/>
                <w:b w:val="0"/>
                <w:sz w:val="20"/>
              </w:rPr>
              <w:t>Recruiters / leads</w:t>
            </w:r>
          </w:p>
        </w:tc>
        <w:tc>
          <w:tcPr>
            <w:tcW w:type="dxa" w:w="41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Apply DBS, references and induction consistently</w:t>
            </w:r>
          </w:p>
        </w:tc>
      </w:tr>
      <w:tr>
        <w:trPr/>
        <w:tc>
          <w:tcPr>
            <w:tcW w:type="dxa" w:w="2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Madrasa &amp; youth practice</w:t>
            </w:r>
          </w:p>
        </w:tc>
        <w:tc>
          <w:tcPr>
            <w:tcW w:type="dxa" w:w="2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Teachers / youth workers</w:t>
            </w:r>
          </w:p>
        </w:tc>
        <w:tc>
          <w:tcPr>
            <w:tcW w:type="dxa" w:w="41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Ratios, consent, pickup, boundaries, activity risk</w:t>
            </w:r>
          </w:p>
        </w:tc>
      </w:tr>
      <w:tr>
        <w:trPr/>
        <w:tc>
          <w:tcPr>
            <w:tcW w:type="dxa" w:w="2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Pastoral boundaries</w:t>
            </w:r>
          </w:p>
        </w:tc>
        <w:tc>
          <w:tcPr>
            <w:tcW w:type="dxa" w:w="2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Imams / pastoral workers</w:t>
            </w:r>
          </w:p>
        </w:tc>
        <w:tc>
          <w:tcPr>
            <w:tcW w:type="dxa" w:w="41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Safe one-to-one practice and referral paths</w:t>
            </w:r>
          </w:p>
        </w:tc>
      </w:tr>
      <w:tr>
        <w:trPr/>
        <w:tc>
          <w:tcPr>
            <w:tcW w:type="dxa" w:w="2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Annual refresher</w:t>
            </w:r>
          </w:p>
        </w:tc>
        <w:tc>
          <w:tcPr>
            <w:tcW w:type="dxa" w:w="2600"/>
            <w:tcMar>
              <w:top w:w="80" w:type="dxa"/>
              <w:bottom w:w="80" w:type="dxa"/>
              <w:start w:w="120" w:type="dxa"/>
              <w:end w:w="120" w:type="dxa"/>
            </w:tcMar>
            <w:vAlign w:val="center"/>
          </w:tcPr>
          <w:p>
            <w:pPr>
              <w:spacing w:before="0" w:after="0" w:lineRule="auto" w:line="264"/>
              <w:jc w:val="center"/>
            </w:pPr>
            <w:r/>
            <w:r>
              <w:rPr>
                <w:rFonts w:ascii="Calibri" w:hAnsi="Calibri" w:eastAsia="Calibri" w:cs="Calibri"/>
                <w:b w:val="0"/>
                <w:sz w:val="20"/>
              </w:rPr>
              <w:t>All relevant roles</w:t>
            </w:r>
          </w:p>
        </w:tc>
        <w:tc>
          <w:tcPr>
            <w:tcW w:type="dxa" w:w="41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Keep knowledge current on a scheduled cycle</w:t>
            </w:r>
          </w:p>
        </w:tc>
      </w:tr>
    </w:tbl>
    <w:p>
      <w:pPr>
        <w:spacing w:before="80" w:after="40" w:lineRule="auto" w:line="240"/>
      </w:pPr>
    </w:p>
    <w:p>
      <w:pPr>
        <w:pStyle w:val="Heading2"/>
      </w:pPr>
      <w:r>
        <w:t>6.1 Training product rules</w:t>
      </w:r>
    </w:p>
    <w:p>
      <w:pPr>
        <w:spacing w:before="0" w:after="160" w:lineRule="auto" w:line="280"/>
        <w:numPr>
          <w:ilvl w:val="0"/>
          <w:numId w:val="10"/>
        </w:numPr>
      </w:pPr>
      <w:r>
        <w:rPr>
          <w:rFonts w:ascii="Calibri" w:hAnsi="Calibri" w:eastAsia="Calibri" w:cs="Calibri"/>
          <w:sz w:val="22"/>
        </w:rPr>
        <w:t>Short modules (15–40 minutes) with plain language and mosque examples.</w:t>
      </w:r>
    </w:p>
    <w:p>
      <w:pPr>
        <w:spacing w:before="0" w:after="160" w:lineRule="auto" w:line="280"/>
        <w:numPr>
          <w:ilvl w:val="0"/>
          <w:numId w:val="10"/>
        </w:numPr>
      </w:pPr>
      <w:r>
        <w:rPr>
          <w:rFonts w:ascii="Calibri" w:hAnsi="Calibri" w:eastAsia="Calibri" w:cs="Calibri"/>
          <w:sz w:val="22"/>
        </w:rPr>
        <w:t>Completion recorded against person, role and mosque pack.</w:t>
      </w:r>
    </w:p>
    <w:p>
      <w:pPr>
        <w:spacing w:before="0" w:after="160" w:lineRule="auto" w:line="280"/>
        <w:numPr>
          <w:ilvl w:val="0"/>
          <w:numId w:val="10"/>
        </w:numPr>
      </w:pPr>
      <w:r>
        <w:rPr>
          <w:rFonts w:ascii="Calibri" w:hAnsi="Calibri" w:eastAsia="Calibri" w:cs="Calibri"/>
          <w:sz w:val="22"/>
        </w:rPr>
        <w:t>Refresher reminders at 12 months (configurable).</w:t>
      </w:r>
    </w:p>
    <w:p>
      <w:pPr>
        <w:spacing w:before="0" w:after="160" w:lineRule="auto" w:line="280"/>
        <w:numPr>
          <w:ilvl w:val="0"/>
          <w:numId w:val="10"/>
        </w:numPr>
      </w:pPr>
      <w:r>
        <w:rPr>
          <w:rFonts w:ascii="Calibri" w:hAnsi="Calibri" w:eastAsia="Calibri" w:cs="Calibri"/>
          <w:sz w:val="22"/>
        </w:rPr>
        <w:t>Optional quiz / acknowledgement at end of each module.</w:t>
      </w:r>
    </w:p>
    <w:p>
      <w:pPr>
        <w:spacing w:before="0" w:after="160" w:lineRule="auto" w:line="280"/>
        <w:numPr>
          <w:ilvl w:val="0"/>
          <w:numId w:val="10"/>
        </w:numPr>
      </w:pPr>
      <w:r>
        <w:rPr>
          <w:rFonts w:ascii="Calibri" w:hAnsi="Calibri" w:eastAsia="Calibri" w:cs="Calibri"/>
          <w:sz w:val="22"/>
        </w:rPr>
        <w:t>Certificates or completion statements available for trustees’ files.</w:t>
      </w:r>
    </w:p>
    <w:p>
      <w:pPr>
        <w:pStyle w:val="Heading1"/>
      </w:pPr>
      <w:r>
        <w:t>7. End-to-end user journey</w:t>
      </w:r>
    </w:p>
    <w:p>
      <w:pPr>
        <w:spacing w:before="0" w:after="120" w:lineRule="auto" w:line="280"/>
        <w:numPr>
          <w:ilvl w:val="0"/>
          <w:numId w:val="11"/>
        </w:numPr>
      </w:pPr>
      <w:r>
        <w:rPr>
          <w:rFonts w:ascii="Calibri" w:hAnsi="Calibri" w:eastAsia="Calibri" w:cs="Calibri"/>
          <w:sz w:val="22"/>
        </w:rPr>
        <w:t>Beacon Mosque creates an assessment pack for a mosque and shares a secure access link.</w:t>
      </w:r>
    </w:p>
    <w:p>
      <w:pPr>
        <w:spacing w:before="0" w:after="120" w:lineRule="auto" w:line="280"/>
        <w:numPr>
          <w:ilvl w:val="0"/>
          <w:numId w:val="11"/>
        </w:numPr>
      </w:pPr>
      <w:r>
        <w:rPr>
          <w:rFonts w:ascii="Calibri" w:hAnsi="Calibri" w:eastAsia="Calibri" w:cs="Calibri"/>
          <w:sz w:val="22"/>
        </w:rPr>
        <w:t>Mosque contact confirms details and assigns lead areas to the right people.</w:t>
      </w:r>
    </w:p>
    <w:p>
      <w:pPr>
        <w:spacing w:before="0" w:after="120" w:lineRule="auto" w:line="280"/>
        <w:numPr>
          <w:ilvl w:val="0"/>
          <w:numId w:val="11"/>
        </w:numPr>
      </w:pPr>
      <w:r>
        <w:rPr>
          <w:rFonts w:ascii="Calibri" w:hAnsi="Calibri" w:eastAsia="Calibri" w:cs="Calibri"/>
          <w:sz w:val="22"/>
        </w:rPr>
        <w:t>Leads complete checklists, set RAG scores and add evidence notes.</w:t>
      </w:r>
    </w:p>
    <w:p>
      <w:pPr>
        <w:spacing w:before="0" w:after="120" w:lineRule="auto" w:line="280"/>
        <w:numPr>
          <w:ilvl w:val="0"/>
          <w:numId w:val="11"/>
        </w:numPr>
      </w:pPr>
      <w:r>
        <w:rPr>
          <w:rFonts w:ascii="Calibri" w:hAnsi="Calibri" w:eastAsia="Calibri" w:cs="Calibri"/>
          <w:sz w:val="22"/>
        </w:rPr>
        <w:t>Portal generates recommended actions and training modules from amber/red domains.</w:t>
      </w:r>
    </w:p>
    <w:p>
      <w:pPr>
        <w:spacing w:before="0" w:after="120" w:lineRule="auto" w:line="280"/>
        <w:numPr>
          <w:ilvl w:val="0"/>
          <w:numId w:val="11"/>
        </w:numPr>
      </w:pPr>
      <w:r>
        <w:rPr>
          <w:rFonts w:ascii="Calibri" w:hAnsi="Calibri" w:eastAsia="Calibri" w:cs="Calibri"/>
          <w:sz w:val="22"/>
        </w:rPr>
        <w:t>Trustees review the summary; open actions are owned with due dates.</w:t>
      </w:r>
    </w:p>
    <w:p>
      <w:pPr>
        <w:spacing w:before="0" w:after="120" w:lineRule="auto" w:line="280"/>
        <w:numPr>
          <w:ilvl w:val="0"/>
          <w:numId w:val="11"/>
        </w:numPr>
      </w:pPr>
      <w:r>
        <w:rPr>
          <w:rFonts w:ascii="Calibri" w:hAnsi="Calibri" w:eastAsia="Calibri" w:cs="Calibri"/>
          <w:sz w:val="22"/>
        </w:rPr>
        <w:t>Staff and volunteers complete assigned training; completions update readiness.</w:t>
      </w:r>
    </w:p>
    <w:p>
      <w:pPr>
        <w:spacing w:before="0" w:after="120" w:lineRule="auto" w:line="280"/>
        <w:numPr>
          <w:ilvl w:val="0"/>
          <w:numId w:val="11"/>
        </w:numPr>
      </w:pPr>
      <w:r>
        <w:rPr>
          <w:rFonts w:ascii="Calibri" w:hAnsi="Calibri" w:eastAsia="Calibri" w:cs="Calibri"/>
          <w:sz w:val="22"/>
        </w:rPr>
        <w:t>Mosque moves from draft → in review → monitoring; annual refresh cycle begins.</w:t>
      </w:r>
    </w:p>
    <w:p>
      <w:pPr>
        <w:pStyle w:val="Heading1"/>
      </w:pPr>
      <w:r>
        <w:t>8. Product surfaces</w:t>
      </w:r>
    </w:p>
    <w:tbl>
      <w:tblPr>
        <w:tblW w:type="dxa" w:w="9360"/>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120"/>
      </w:tblPr>
      <w:tblGrid>
        <w:gridCol w:w="3000"/>
        <w:gridCol w:w="6360"/>
      </w:tblGrid>
      <w:tr>
        <w:trPr/>
        <w:tc>
          <w:tcPr>
            <w:tcW w:type="dxa" w:w="30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Surface</w:t>
            </w:r>
          </w:p>
        </w:tc>
        <w:tc>
          <w:tcPr>
            <w:tcW w:type="dxa" w:w="636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Purpose</w:t>
            </w:r>
          </w:p>
        </w:tc>
      </w:tr>
      <w:tr>
        <w:trPr/>
        <w:tc>
          <w:tcPr>
            <w:tcW w:type="dxa" w:w="30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Mosque pack home</w:t>
            </w:r>
          </w:p>
        </w:tc>
        <w:tc>
          <w:tcPr>
            <w:tcW w:type="dxa" w:w="63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RAG overview, open actions, training progress</w:t>
            </w:r>
          </w:p>
        </w:tc>
      </w:tr>
      <w:tr>
        <w:trPr/>
        <w:tc>
          <w:tcPr>
            <w:tcW w:type="dxa" w:w="30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Domain assessment pages</w:t>
            </w:r>
          </w:p>
        </w:tc>
        <w:tc>
          <w:tcPr>
            <w:tcW w:type="dxa" w:w="63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Checklist, RAG, evidence notes, actions</w:t>
            </w:r>
          </w:p>
        </w:tc>
      </w:tr>
      <w:tr>
        <w:trPr/>
        <w:tc>
          <w:tcPr>
            <w:tcW w:type="dxa" w:w="30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Training catalogue / learner view</w:t>
            </w:r>
          </w:p>
        </w:tc>
        <w:tc>
          <w:tcPr>
            <w:tcW w:type="dxa" w:w="63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Assigned modules, status, refreshers</w:t>
            </w:r>
          </w:p>
        </w:tc>
      </w:tr>
      <w:tr>
        <w:trPr/>
        <w:tc>
          <w:tcPr>
            <w:tcW w:type="dxa" w:w="30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Trustee summary</w:t>
            </w:r>
          </w:p>
        </w:tc>
        <w:tc>
          <w:tcPr>
            <w:tcW w:type="dxa" w:w="63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High-level readiness and priority risks</w:t>
            </w:r>
          </w:p>
        </w:tc>
      </w:tr>
      <w:tr>
        <w:trPr/>
        <w:tc>
          <w:tcPr>
            <w:tcW w:type="dxa" w:w="30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Admin / programme console</w:t>
            </w:r>
          </w:p>
        </w:tc>
        <w:tc>
          <w:tcPr>
            <w:tcW w:type="dxa" w:w="63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Create packs, support mosques, export metrics</w:t>
            </w:r>
          </w:p>
        </w:tc>
      </w:tr>
    </w:tbl>
    <w:p>
      <w:pPr>
        <w:pStyle w:val="Heading1"/>
      </w:pPr>
      <w:r>
        <w:t>9. Delivery phases</w:t>
      </w:r>
    </w:p>
    <w:tbl>
      <w:tblPr>
        <w:tblW w:type="dxa" w:w="9360"/>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120"/>
      </w:tblPr>
      <w:tblGrid>
        <w:gridCol w:w="2400"/>
        <w:gridCol w:w="1800"/>
        <w:gridCol w:w="5160"/>
      </w:tblGrid>
      <w:tr>
        <w:trPr/>
        <w:tc>
          <w:tcPr>
            <w:tcW w:type="dxa" w:w="24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Phase</w:t>
            </w:r>
          </w:p>
        </w:tc>
        <w:tc>
          <w:tcPr>
            <w:tcW w:type="dxa" w:w="18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When</w:t>
            </w:r>
          </w:p>
        </w:tc>
        <w:tc>
          <w:tcPr>
            <w:tcW w:type="dxa" w:w="516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Outcome</w:t>
            </w:r>
          </w:p>
        </w:tc>
      </w:tr>
      <w:tr>
        <w:trPr/>
        <w:tc>
          <w:tcPr>
            <w:tcW w:type="dxa" w:w="24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0 — Align</w:t>
            </w:r>
          </w:p>
        </w:tc>
        <w:tc>
          <w:tcPr>
            <w:tcW w:type="dxa" w:w="1800"/>
            <w:tcMar>
              <w:top w:w="80" w:type="dxa"/>
              <w:bottom w:w="80" w:type="dxa"/>
              <w:start w:w="120" w:type="dxa"/>
              <w:end w:w="120" w:type="dxa"/>
            </w:tcMar>
            <w:vAlign w:val="center"/>
          </w:tcPr>
          <w:p>
            <w:pPr>
              <w:spacing w:before="0" w:after="0" w:lineRule="auto" w:line="264"/>
              <w:jc w:val="center"/>
            </w:pPr>
            <w:r/>
            <w:r>
              <w:rPr>
                <w:rFonts w:ascii="Calibri" w:hAnsi="Calibri" w:eastAsia="Calibri" w:cs="Calibri"/>
                <w:b w:val="0"/>
                <w:sz w:val="20"/>
              </w:rPr>
              <w:t>Week 1–2</w:t>
            </w:r>
          </w:p>
        </w:tc>
        <w:tc>
          <w:tcPr>
            <w:tcW w:type="dxa" w:w="51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Confirm scope, content owners, success metrics and pilot mosques</w:t>
            </w:r>
          </w:p>
        </w:tc>
      </w:tr>
      <w:tr>
        <w:trPr/>
        <w:tc>
          <w:tcPr>
            <w:tcW w:type="dxa" w:w="24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1 — Assessment MVP</w:t>
            </w:r>
          </w:p>
        </w:tc>
        <w:tc>
          <w:tcPr>
            <w:tcW w:type="dxa" w:w="1800"/>
            <w:tcMar>
              <w:top w:w="80" w:type="dxa"/>
              <w:bottom w:w="80" w:type="dxa"/>
              <w:start w:w="120" w:type="dxa"/>
              <w:end w:w="120" w:type="dxa"/>
            </w:tcMar>
            <w:vAlign w:val="center"/>
          </w:tcPr>
          <w:p>
            <w:pPr>
              <w:spacing w:before="0" w:after="0" w:lineRule="auto" w:line="264"/>
              <w:jc w:val="center"/>
            </w:pPr>
            <w:r/>
            <w:r>
              <w:rPr>
                <w:rFonts w:ascii="Calibri" w:hAnsi="Calibri" w:eastAsia="Calibri" w:cs="Calibri"/>
                <w:b w:val="0"/>
                <w:sz w:val="20"/>
              </w:rPr>
              <w:t>Week 3–8</w:t>
            </w:r>
          </w:p>
        </w:tc>
        <w:tc>
          <w:tcPr>
            <w:tcW w:type="dxa" w:w="51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Packs, domains, RAG, actions, admin list live for pilots</w:t>
            </w:r>
          </w:p>
        </w:tc>
      </w:tr>
      <w:tr>
        <w:trPr/>
        <w:tc>
          <w:tcPr>
            <w:tcW w:type="dxa" w:w="24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2 — Training MVP</w:t>
            </w:r>
          </w:p>
        </w:tc>
        <w:tc>
          <w:tcPr>
            <w:tcW w:type="dxa" w:w="1800"/>
            <w:tcMar>
              <w:top w:w="80" w:type="dxa"/>
              <w:bottom w:w="80" w:type="dxa"/>
              <w:start w:w="120" w:type="dxa"/>
              <w:end w:w="120" w:type="dxa"/>
            </w:tcMar>
            <w:vAlign w:val="center"/>
          </w:tcPr>
          <w:p>
            <w:pPr>
              <w:spacing w:before="0" w:after="0" w:lineRule="auto" w:line="264"/>
              <w:jc w:val="center"/>
            </w:pPr>
            <w:r/>
            <w:r>
              <w:rPr>
                <w:rFonts w:ascii="Calibri" w:hAnsi="Calibri" w:eastAsia="Calibri" w:cs="Calibri"/>
                <w:b w:val="0"/>
                <w:sz w:val="20"/>
              </w:rPr>
              <w:t>Week 9–14</w:t>
            </w:r>
          </w:p>
        </w:tc>
        <w:tc>
          <w:tcPr>
            <w:tcW w:type="dxa" w:w="51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Core modules, assignment by role, completion tracking</w:t>
            </w:r>
          </w:p>
        </w:tc>
      </w:tr>
      <w:tr>
        <w:trPr/>
        <w:tc>
          <w:tcPr>
            <w:tcW w:type="dxa" w:w="24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3 — Link &amp; report</w:t>
            </w:r>
          </w:p>
        </w:tc>
        <w:tc>
          <w:tcPr>
            <w:tcW w:type="dxa" w:w="1800"/>
            <w:tcMar>
              <w:top w:w="80" w:type="dxa"/>
              <w:bottom w:w="80" w:type="dxa"/>
              <w:start w:w="120" w:type="dxa"/>
              <w:end w:w="120" w:type="dxa"/>
            </w:tcMar>
            <w:vAlign w:val="center"/>
          </w:tcPr>
          <w:p>
            <w:pPr>
              <w:spacing w:before="0" w:after="0" w:lineRule="auto" w:line="264"/>
              <w:jc w:val="center"/>
            </w:pPr>
            <w:r/>
            <w:r>
              <w:rPr>
                <w:rFonts w:ascii="Calibri" w:hAnsi="Calibri" w:eastAsia="Calibri" w:cs="Calibri"/>
                <w:b w:val="0"/>
                <w:sz w:val="20"/>
              </w:rPr>
              <w:t>Week 15–18</w:t>
            </w:r>
          </w:p>
        </w:tc>
        <w:tc>
          <w:tcPr>
            <w:tcW w:type="dxa" w:w="51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Assessment→training recommendations; trustee summary export</w:t>
            </w:r>
          </w:p>
        </w:tc>
      </w:tr>
      <w:tr>
        <w:trPr/>
        <w:tc>
          <w:tcPr>
            <w:tcW w:type="dxa" w:w="24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4 — Scale</w:t>
            </w:r>
          </w:p>
        </w:tc>
        <w:tc>
          <w:tcPr>
            <w:tcW w:type="dxa" w:w="1800"/>
            <w:tcMar>
              <w:top w:w="80" w:type="dxa"/>
              <w:bottom w:w="80" w:type="dxa"/>
              <w:start w:w="120" w:type="dxa"/>
              <w:end w:w="120" w:type="dxa"/>
            </w:tcMar>
            <w:vAlign w:val="center"/>
          </w:tcPr>
          <w:p>
            <w:pPr>
              <w:spacing w:before="0" w:after="0" w:lineRule="auto" w:line="264"/>
              <w:jc w:val="center"/>
            </w:pPr>
            <w:r/>
            <w:r>
              <w:rPr>
                <w:rFonts w:ascii="Calibri" w:hAnsi="Calibri" w:eastAsia="Calibri" w:cs="Calibri"/>
                <w:b w:val="0"/>
                <w:sz w:val="20"/>
              </w:rPr>
              <w:t>Week 19+</w:t>
            </w:r>
          </w:p>
        </w:tc>
        <w:tc>
          <w:tcPr>
            <w:tcW w:type="dxa" w:w="51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Content expansion, refreshers, multi-language, broader rollout</w:t>
            </w:r>
          </w:p>
        </w:tc>
      </w:tr>
    </w:tbl>
    <w:p>
      <w:pPr>
        <w:spacing w:before="80" w:after="40" w:lineRule="auto" w:line="240"/>
      </w:pPr>
    </w:p>
    <w:p>
      <w:pPr>
        <w:pStyle w:val="Heading2"/>
      </w:pPr>
      <w:r>
        <w:t>9.1 Pilot success criteria</w:t>
      </w:r>
    </w:p>
    <w:p>
      <w:pPr>
        <w:spacing w:before="0" w:after="160" w:lineRule="auto" w:line="280"/>
        <w:numPr>
          <w:ilvl w:val="0"/>
          <w:numId w:val="10"/>
        </w:numPr>
      </w:pPr>
      <w:r>
        <w:rPr>
          <w:rFonts w:ascii="Calibri" w:hAnsi="Calibri" w:eastAsia="Calibri" w:cs="Calibri"/>
          <w:sz w:val="22"/>
        </w:rPr>
        <w:t>At least 5 pilot mosques complete a full safeguarding lead assessment.</w:t>
      </w:r>
    </w:p>
    <w:p>
      <w:pPr>
        <w:spacing w:before="0" w:after="160" w:lineRule="auto" w:line="280"/>
        <w:numPr>
          <w:ilvl w:val="0"/>
          <w:numId w:val="10"/>
        </w:numPr>
      </w:pPr>
      <w:r>
        <w:rPr>
          <w:rFonts w:ascii="Calibri" w:hAnsi="Calibri" w:eastAsia="Calibri" w:cs="Calibri"/>
          <w:sz w:val="22"/>
        </w:rPr>
        <w:t>Each pilot has fewer than 3 unset domains after facilitated walkthrough.</w:t>
      </w:r>
    </w:p>
    <w:p>
      <w:pPr>
        <w:spacing w:before="0" w:after="160" w:lineRule="auto" w:line="280"/>
        <w:numPr>
          <w:ilvl w:val="0"/>
          <w:numId w:val="10"/>
        </w:numPr>
      </w:pPr>
      <w:r>
        <w:rPr>
          <w:rFonts w:ascii="Calibri" w:hAnsi="Calibri" w:eastAsia="Calibri" w:cs="Calibri"/>
          <w:sz w:val="22"/>
        </w:rPr>
        <w:t>80% of assigned safeguarding leads finish foundations training within 4 weeks.</w:t>
      </w:r>
    </w:p>
    <w:p>
      <w:pPr>
        <w:spacing w:before="0" w:after="160" w:lineRule="auto" w:line="280"/>
        <w:numPr>
          <w:ilvl w:val="0"/>
          <w:numId w:val="10"/>
        </w:numPr>
      </w:pPr>
      <w:r>
        <w:rPr>
          <w:rFonts w:ascii="Calibri" w:hAnsi="Calibri" w:eastAsia="Calibri" w:cs="Calibri"/>
          <w:sz w:val="22"/>
        </w:rPr>
        <w:t>Trustees at pilot sites can explain their top 3 red/amber risks from the portal summary.</w:t>
      </w:r>
    </w:p>
    <w:p>
      <w:pPr>
        <w:pStyle w:val="Heading1"/>
      </w:pPr>
      <w:r>
        <w:t>10. Data, privacy and safeguarding boundaries</w:t>
      </w:r>
    </w:p>
    <w:p>
      <w:pPr>
        <w:spacing w:before="0" w:after="160" w:lineRule="auto" w:line="280"/>
        <w:numPr>
          <w:ilvl w:val="0"/>
          <w:numId w:val="10"/>
        </w:numPr>
      </w:pPr>
      <w:r>
        <w:rPr>
          <w:rFonts w:ascii="Calibri" w:hAnsi="Calibri" w:eastAsia="Calibri" w:cs="Calibri"/>
          <w:sz w:val="22"/>
        </w:rPr>
        <w:t>Store mosque contact details, assessment answers, action logs and training completions only.</w:t>
      </w:r>
    </w:p>
    <w:p>
      <w:pPr>
        <w:spacing w:before="0" w:after="160" w:lineRule="auto" w:line="280"/>
        <w:numPr>
          <w:ilvl w:val="0"/>
          <w:numId w:val="10"/>
        </w:numPr>
      </w:pPr>
      <w:r>
        <w:rPr>
          <w:rFonts w:ascii="Calibri" w:hAnsi="Calibri" w:eastAsia="Calibri" w:cs="Calibri"/>
          <w:sz w:val="22"/>
        </w:rPr>
        <w:t>Do not store detailed disclosures about individuals or case files in this portal.</w:t>
      </w:r>
    </w:p>
    <w:p>
      <w:pPr>
        <w:spacing w:before="0" w:after="160" w:lineRule="auto" w:line="280"/>
        <w:numPr>
          <w:ilvl w:val="0"/>
          <w:numId w:val="10"/>
        </w:numPr>
      </w:pPr>
      <w:r>
        <w:rPr>
          <w:rFonts w:ascii="Calibri" w:hAnsi="Calibri" w:eastAsia="Calibri" w:cs="Calibri"/>
          <w:sz w:val="22"/>
        </w:rPr>
        <w:t>Use secure pack tokens / authenticated access; avoid public listing of mosque scores.</w:t>
      </w:r>
    </w:p>
    <w:p>
      <w:pPr>
        <w:spacing w:before="0" w:after="160" w:lineRule="auto" w:line="280"/>
        <w:numPr>
          <w:ilvl w:val="0"/>
          <w:numId w:val="10"/>
        </w:numPr>
      </w:pPr>
      <w:r>
        <w:rPr>
          <w:rFonts w:ascii="Calibri" w:hAnsi="Calibri" w:eastAsia="Calibri" w:cs="Calibri"/>
          <w:sz w:val="22"/>
        </w:rPr>
        <w:t>Define retention periods for packs, evidence notes and training records.</w:t>
      </w:r>
    </w:p>
    <w:p>
      <w:pPr>
        <w:spacing w:before="0" w:after="160" w:lineRule="auto" w:line="280"/>
        <w:numPr>
          <w:ilvl w:val="0"/>
          <w:numId w:val="10"/>
        </w:numPr>
      </w:pPr>
      <w:r>
        <w:rPr>
          <w:rFonts w:ascii="Calibri" w:hAnsi="Calibri" w:eastAsia="Calibri" w:cs="Calibri"/>
          <w:sz w:val="22"/>
        </w:rPr>
        <w:t>Provide clear privacy notice for mosque users and programme administrators.</w:t>
      </w:r>
    </w:p>
    <w:p>
      <w:pPr>
        <w:spacing w:before="0" w:after="160" w:lineRule="auto" w:line="280"/>
        <w:numPr>
          <w:ilvl w:val="0"/>
          <w:numId w:val="10"/>
        </w:numPr>
      </w:pPr>
      <w:r>
        <w:rPr>
          <w:rFonts w:ascii="Calibri" w:hAnsi="Calibri" w:eastAsia="Calibri" w:cs="Calibri"/>
          <w:sz w:val="22"/>
        </w:rPr>
        <w:t>Align wording with UK charity safeguarding expectations and local referral practice.</w:t>
      </w:r>
    </w:p>
    <w:p>
      <w:pPr>
        <w:pStyle w:val="Heading1"/>
      </w:pPr>
      <w:r>
        <w:t>11. Risks and mitigations</w:t>
      </w:r>
    </w:p>
    <w:tbl>
      <w:tblPr>
        <w:tblW w:type="dxa" w:w="9360"/>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120"/>
      </w:tblPr>
      <w:tblGrid>
        <w:gridCol w:w="3600"/>
        <w:gridCol w:w="5760"/>
      </w:tblGrid>
      <w:tr>
        <w:trPr/>
        <w:tc>
          <w:tcPr>
            <w:tcW w:type="dxa" w:w="36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Risk</w:t>
            </w:r>
          </w:p>
        </w:tc>
        <w:tc>
          <w:tcPr>
            <w:tcW w:type="dxa" w:w="576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Mitigation</w:t>
            </w:r>
          </w:p>
        </w:tc>
      </w:tr>
      <w:tr>
        <w:trPr/>
        <w:tc>
          <w:tcPr>
            <w:tcW w:type="dxa" w:w="3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Portal mistaken for case management</w:t>
            </w:r>
          </w:p>
        </w:tc>
        <w:tc>
          <w:tcPr>
            <w:tcW w:type="dxa" w:w="57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Clear onboarding copy; no individual case fields</w:t>
            </w:r>
          </w:p>
        </w:tc>
      </w:tr>
      <w:tr>
        <w:trPr/>
        <w:tc>
          <w:tcPr>
            <w:tcW w:type="dxa" w:w="3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Low completion by busy volunteers</w:t>
            </w:r>
          </w:p>
        </w:tc>
        <w:tc>
          <w:tcPr>
            <w:tcW w:type="dxa" w:w="57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Short modules; mobile-friendly UI; facilitator support</w:t>
            </w:r>
          </w:p>
        </w:tc>
      </w:tr>
      <w:tr>
        <w:trPr/>
        <w:tc>
          <w:tcPr>
            <w:tcW w:type="dxa" w:w="3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Inconsistent RAG judgements</w:t>
            </w:r>
          </w:p>
        </w:tc>
        <w:tc>
          <w:tcPr>
            <w:tcW w:type="dxa" w:w="57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Guidance text per domain; example evidence prompts</w:t>
            </w:r>
          </w:p>
        </w:tc>
      </w:tr>
      <w:tr>
        <w:trPr/>
        <w:tc>
          <w:tcPr>
            <w:tcW w:type="dxa" w:w="3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Content drifts from current law/practice</w:t>
            </w:r>
          </w:p>
        </w:tc>
        <w:tc>
          <w:tcPr>
            <w:tcW w:type="dxa" w:w="57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Named content owner; annual review calendar</w:t>
            </w:r>
          </w:p>
        </w:tc>
      </w:tr>
      <w:tr>
        <w:trPr/>
        <w:tc>
          <w:tcPr>
            <w:tcW w:type="dxa" w:w="3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Access link sharing too widely</w:t>
            </w:r>
          </w:p>
        </w:tc>
        <w:tc>
          <w:tcPr>
            <w:tcW w:type="dxa" w:w="57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Token rotation; contact verification; audit of updates</w:t>
            </w:r>
          </w:p>
        </w:tc>
      </w:tr>
    </w:tbl>
    <w:p>
      <w:pPr>
        <w:pStyle w:val="Heading1"/>
      </w:pPr>
      <w:r>
        <w:t>12. Open decisions</w:t>
      </w:r>
    </w:p>
    <w:tbl>
      <w:tblPr>
        <w:tblW w:type="dxa" w:w="9360"/>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120"/>
      </w:tblPr>
      <w:tblGrid>
        <w:gridCol w:w="2800"/>
        <w:gridCol w:w="6560"/>
      </w:tblGrid>
      <w:tr>
        <w:trPr/>
        <w:tc>
          <w:tcPr>
            <w:tcW w:type="dxa" w:w="28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Decision</w:t>
            </w:r>
          </w:p>
        </w:tc>
        <w:tc>
          <w:tcPr>
            <w:tcW w:type="dxa" w:w="656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Options / notes</w:t>
            </w:r>
          </w:p>
        </w:tc>
      </w:tr>
      <w:tr>
        <w:trPr/>
        <w:tc>
          <w:tcPr>
            <w:tcW w:type="dxa" w:w="28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Identity model</w:t>
            </w:r>
          </w:p>
        </w:tc>
        <w:tc>
          <w:tcPr>
            <w:tcW w:type="dxa" w:w="65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Magic-link packs vs full user accounts for every learner</w:t>
            </w:r>
          </w:p>
        </w:tc>
      </w:tr>
      <w:tr>
        <w:trPr/>
        <w:tc>
          <w:tcPr>
            <w:tcW w:type="dxa" w:w="28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Evidence uploads</w:t>
            </w:r>
          </w:p>
        </w:tc>
        <w:tc>
          <w:tcPr>
            <w:tcW w:type="dxa" w:w="65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Notes only in MVP vs file uploads (policy PDFs, certificates)</w:t>
            </w:r>
          </w:p>
        </w:tc>
      </w:tr>
      <w:tr>
        <w:trPr/>
        <w:tc>
          <w:tcPr>
            <w:tcW w:type="dxa" w:w="28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Training media</w:t>
            </w:r>
          </w:p>
        </w:tc>
        <w:tc>
          <w:tcPr>
            <w:tcW w:type="dxa" w:w="65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Text + checklist first vs video/audio from launch</w:t>
            </w:r>
          </w:p>
        </w:tc>
      </w:tr>
      <w:tr>
        <w:trPr/>
        <w:tc>
          <w:tcPr>
            <w:tcW w:type="dxa" w:w="28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Scoring model</w:t>
            </w:r>
          </w:p>
        </w:tc>
        <w:tc>
          <w:tcPr>
            <w:tcW w:type="dxa" w:w="65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Manual RAG only vs weighted checklist scoring</w:t>
            </w:r>
          </w:p>
        </w:tc>
      </w:tr>
      <w:tr>
        <w:trPr/>
        <w:tc>
          <w:tcPr>
            <w:tcW w:type="dxa" w:w="28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Certification</w:t>
            </w:r>
          </w:p>
        </w:tc>
        <w:tc>
          <w:tcPr>
            <w:tcW w:type="dxa" w:w="65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Simple completion statement vs branded certificate</w:t>
            </w:r>
          </w:p>
        </w:tc>
      </w:tr>
      <w:tr>
        <w:trPr/>
        <w:tc>
          <w:tcPr>
            <w:tcW w:type="dxa" w:w="28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Language plan</w:t>
            </w:r>
          </w:p>
        </w:tc>
        <w:tc>
          <w:tcPr>
            <w:tcW w:type="dxa" w:w="65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English-only MVP vs priority community languages in phase 2</w:t>
            </w:r>
          </w:p>
        </w:tc>
      </w:tr>
    </w:tbl>
    <w:p>
      <w:pPr>
        <w:pStyle w:val="Heading1"/>
      </w:pPr>
      <w:r>
        <w:t>13. Workstreams and owners</w:t>
      </w:r>
    </w:p>
    <w:tbl>
      <w:tblPr>
        <w:tblW w:type="dxa" w:w="9360"/>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120"/>
      </w:tblPr>
      <w:tblGrid>
        <w:gridCol w:w="2400"/>
        <w:gridCol w:w="1600"/>
        <w:gridCol w:w="5360"/>
      </w:tblGrid>
      <w:tr>
        <w:trPr/>
        <w:tc>
          <w:tcPr>
            <w:tcW w:type="dxa" w:w="24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Workstream</w:t>
            </w:r>
          </w:p>
        </w:tc>
        <w:tc>
          <w:tcPr>
            <w:tcW w:type="dxa" w:w="16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Owner</w:t>
            </w:r>
          </w:p>
        </w:tc>
        <w:tc>
          <w:tcPr>
            <w:tcW w:type="dxa" w:w="536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Key deliverables</w:t>
            </w:r>
          </w:p>
        </w:tc>
      </w:tr>
      <w:tr>
        <w:trPr/>
        <w:tc>
          <w:tcPr>
            <w:tcW w:type="dxa" w:w="24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Product / UX</w:t>
            </w:r>
          </w:p>
        </w:tc>
        <w:tc>
          <w:tcPr>
            <w:tcW w:type="dxa" w:w="1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TBC</w:t>
            </w:r>
          </w:p>
        </w:tc>
        <w:tc>
          <w:tcPr>
            <w:tcW w:type="dxa" w:w="53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Pack journey, domain pages, training learner view</w:t>
            </w:r>
          </w:p>
        </w:tc>
      </w:tr>
      <w:tr>
        <w:trPr/>
        <w:tc>
          <w:tcPr>
            <w:tcW w:type="dxa" w:w="24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Assessment content</w:t>
            </w:r>
          </w:p>
        </w:tc>
        <w:tc>
          <w:tcPr>
            <w:tcW w:type="dxa" w:w="1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TBC</w:t>
            </w:r>
          </w:p>
        </w:tc>
        <w:tc>
          <w:tcPr>
            <w:tcW w:type="dxa" w:w="53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Checklist wording, RAG guidance, evidence prompts</w:t>
            </w:r>
          </w:p>
        </w:tc>
      </w:tr>
      <w:tr>
        <w:trPr/>
        <w:tc>
          <w:tcPr>
            <w:tcW w:type="dxa" w:w="24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Training content</w:t>
            </w:r>
          </w:p>
        </w:tc>
        <w:tc>
          <w:tcPr>
            <w:tcW w:type="dxa" w:w="1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TBC</w:t>
            </w:r>
          </w:p>
        </w:tc>
        <w:tc>
          <w:tcPr>
            <w:tcW w:type="dxa" w:w="53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Module scripts, quizzes, refresher schedule</w:t>
            </w:r>
          </w:p>
        </w:tc>
      </w:tr>
      <w:tr>
        <w:trPr/>
        <w:tc>
          <w:tcPr>
            <w:tcW w:type="dxa" w:w="24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Engineering</w:t>
            </w:r>
          </w:p>
        </w:tc>
        <w:tc>
          <w:tcPr>
            <w:tcW w:type="dxa" w:w="1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TBC</w:t>
            </w:r>
          </w:p>
        </w:tc>
        <w:tc>
          <w:tcPr>
            <w:tcW w:type="dxa" w:w="53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Packs API, auth, admin, completions storage</w:t>
            </w:r>
          </w:p>
        </w:tc>
      </w:tr>
      <w:tr>
        <w:trPr/>
        <w:tc>
          <w:tcPr>
            <w:tcW w:type="dxa" w:w="24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Pilot support</w:t>
            </w:r>
          </w:p>
        </w:tc>
        <w:tc>
          <w:tcPr>
            <w:tcW w:type="dxa" w:w="1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TBC</w:t>
            </w:r>
          </w:p>
        </w:tc>
        <w:tc>
          <w:tcPr>
            <w:tcW w:type="dxa" w:w="53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Mosque onboarding, walkthroughs, feedback loop</w:t>
            </w:r>
          </w:p>
        </w:tc>
      </w:tr>
      <w:tr>
        <w:trPr/>
        <w:tc>
          <w:tcPr>
            <w:tcW w:type="dxa" w:w="24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Governance</w:t>
            </w:r>
          </w:p>
        </w:tc>
        <w:tc>
          <w:tcPr>
            <w:tcW w:type="dxa" w:w="16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TBC</w:t>
            </w:r>
          </w:p>
        </w:tc>
        <w:tc>
          <w:tcPr>
            <w:tcW w:type="dxa" w:w="53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Privacy, retention, trustee reporting approach</w:t>
            </w:r>
          </w:p>
        </w:tc>
      </w:tr>
    </w:tbl>
    <w:p>
      <w:pPr>
        <w:pStyle w:val="Heading1"/>
      </w:pPr>
      <w:r>
        <w:t>14. Immediate next steps</w:t>
      </w:r>
    </w:p>
    <w:p>
      <w:pPr>
        <w:spacing w:before="0" w:after="120" w:lineRule="auto" w:line="280"/>
        <w:numPr>
          <w:ilvl w:val="0"/>
          <w:numId w:val="11"/>
        </w:numPr>
      </w:pPr>
      <w:r>
        <w:rPr>
          <w:rFonts w:ascii="Calibri" w:hAnsi="Calibri" w:eastAsia="Calibri" w:cs="Calibri"/>
          <w:sz w:val="22"/>
        </w:rPr>
        <w:t>Confirm pilot mosques and named safeguarding contacts.</w:t>
      </w:r>
    </w:p>
    <w:p>
      <w:pPr>
        <w:spacing w:before="0" w:after="120" w:lineRule="auto" w:line="280"/>
        <w:numPr>
          <w:ilvl w:val="0"/>
          <w:numId w:val="11"/>
        </w:numPr>
      </w:pPr>
      <w:r>
        <w:rPr>
          <w:rFonts w:ascii="Calibri" w:hAnsi="Calibri" w:eastAsia="Calibri" w:cs="Calibri"/>
          <w:sz w:val="22"/>
        </w:rPr>
        <w:t>Approve the core safeguarding checklist wording for phase 1.</w:t>
      </w:r>
    </w:p>
    <w:p>
      <w:pPr>
        <w:spacing w:before="0" w:after="120" w:lineRule="auto" w:line="280"/>
        <w:numPr>
          <w:ilvl w:val="0"/>
          <w:numId w:val="11"/>
        </w:numPr>
      </w:pPr>
      <w:r>
        <w:rPr>
          <w:rFonts w:ascii="Calibri" w:hAnsi="Calibri" w:eastAsia="Calibri" w:cs="Calibri"/>
          <w:sz w:val="22"/>
        </w:rPr>
        <w:t>Choose identity model (pack link vs accounts) for learners.</w:t>
      </w:r>
    </w:p>
    <w:p>
      <w:pPr>
        <w:spacing w:before="0" w:after="120" w:lineRule="auto" w:line="280"/>
        <w:numPr>
          <w:ilvl w:val="0"/>
          <w:numId w:val="11"/>
        </w:numPr>
      </w:pPr>
      <w:r>
        <w:rPr>
          <w:rFonts w:ascii="Calibri" w:hAnsi="Calibri" w:eastAsia="Calibri" w:cs="Calibri"/>
          <w:sz w:val="22"/>
        </w:rPr>
        <w:t>Commission foundations + DSL + trustee modules as training MVP.</w:t>
      </w:r>
    </w:p>
    <w:p>
      <w:pPr>
        <w:spacing w:before="0" w:after="120" w:lineRule="auto" w:line="280"/>
        <w:numPr>
          <w:ilvl w:val="0"/>
          <w:numId w:val="11"/>
        </w:numPr>
      </w:pPr>
      <w:r>
        <w:rPr>
          <w:rFonts w:ascii="Calibri" w:hAnsi="Calibri" w:eastAsia="Calibri" w:cs="Calibri"/>
          <w:sz w:val="22"/>
        </w:rPr>
        <w:t>Define admin metrics dashboard (packs created, % green domains, training completion).</w:t>
      </w:r>
    </w:p>
    <w:p>
      <w:pPr>
        <w:spacing w:before="0" w:after="120" w:lineRule="auto" w:line="280"/>
        <w:numPr>
          <w:ilvl w:val="0"/>
          <w:numId w:val="11"/>
        </w:numPr>
      </w:pPr>
      <w:r>
        <w:rPr>
          <w:rFonts w:ascii="Calibri" w:hAnsi="Calibri" w:eastAsia="Calibri" w:cs="Calibri"/>
          <w:sz w:val="22"/>
        </w:rPr>
        <w:t>Schedule fortnightly steering check-ins through phase 2.</w:t>
      </w:r>
    </w:p>
    <w:p>
      <w:pPr>
        <w:pStyle w:val="Heading1"/>
      </w:pPr>
      <w:r>
        <w:t>15. Document control</w:t>
      </w:r>
    </w:p>
    <w:tbl>
      <w:tblPr>
        <w:tblW w:type="dxa" w:w="9360"/>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120"/>
      </w:tblPr>
      <w:tblGrid>
        <w:gridCol w:w="1800"/>
        <w:gridCol w:w="2200"/>
        <w:gridCol w:w="5360"/>
      </w:tblGrid>
      <w:tr>
        <w:trPr/>
        <w:tc>
          <w:tcPr>
            <w:tcW w:type="dxa" w:w="18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Version</w:t>
            </w:r>
          </w:p>
        </w:tc>
        <w:tc>
          <w:tcPr>
            <w:tcW w:type="dxa" w:w="220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Date</w:t>
            </w:r>
          </w:p>
        </w:tc>
        <w:tc>
          <w:tcPr>
            <w:tcW w:type="dxa" w:w="5360"/>
            <w:tcMar>
              <w:top w:w="80" w:type="dxa"/>
              <w:bottom w:w="80" w:type="dxa"/>
              <w:start w:w="120" w:type="dxa"/>
              <w:end w:w="120" w:type="dxa"/>
            </w:tcMar>
            <w:vAlign w:val="center"/>
            <w:shd w:val="clear" w:color="auto" w:fill="F2F4F7"/>
          </w:tcPr>
          <w:p>
            <w:pPr>
              <w:spacing w:before="0" w:after="0" w:lineRule="auto" w:line="264"/>
            </w:pPr>
            <w:r/>
            <w:r>
              <w:rPr>
                <w:rFonts w:ascii="Calibri" w:hAnsi="Calibri" w:eastAsia="Calibri" w:cs="Calibri"/>
                <w:b/>
                <w:color w:val="0B2545"/>
                <w:sz w:val="20"/>
              </w:rPr>
              <w:t>Notes</w:t>
            </w:r>
          </w:p>
        </w:tc>
      </w:tr>
      <w:tr>
        <w:trPr/>
        <w:tc>
          <w:tcPr>
            <w:tcW w:type="dxa" w:w="180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0.1</w:t>
            </w:r>
          </w:p>
        </w:tc>
        <w:tc>
          <w:tcPr>
            <w:tcW w:type="dxa" w:w="2200"/>
            <w:tcMar>
              <w:top w:w="80" w:type="dxa"/>
              <w:bottom w:w="80" w:type="dxa"/>
              <w:start w:w="120" w:type="dxa"/>
              <w:end w:w="120" w:type="dxa"/>
            </w:tcMar>
            <w:vAlign w:val="center"/>
          </w:tcPr>
          <w:p>
            <w:pPr>
              <w:spacing w:before="0" w:after="0" w:lineRule="auto" w:line="264"/>
              <w:jc w:val="center"/>
            </w:pPr>
            <w:r/>
            <w:r>
              <w:rPr>
                <w:rFonts w:ascii="Calibri" w:hAnsi="Calibri" w:eastAsia="Calibri" w:cs="Calibri"/>
                <w:b w:val="0"/>
                <w:sz w:val="20"/>
              </w:rPr>
              <w:t>31 July 2026</w:t>
            </w:r>
          </w:p>
        </w:tc>
        <w:tc>
          <w:tcPr>
            <w:tcW w:type="dxa" w:w="5360"/>
            <w:tcMar>
              <w:top w:w="80" w:type="dxa"/>
              <w:bottom w:w="80" w:type="dxa"/>
              <w:start w:w="120" w:type="dxa"/>
              <w:end w:w="120" w:type="dxa"/>
            </w:tcMar>
            <w:vAlign w:val="center"/>
          </w:tcPr>
          <w:p>
            <w:pPr>
              <w:spacing w:before="0" w:after="0" w:lineRule="auto" w:line="264"/>
            </w:pPr>
            <w:r/>
            <w:r>
              <w:rPr>
                <w:rFonts w:ascii="Calibri" w:hAnsi="Calibri" w:eastAsia="Calibri" w:cs="Calibri"/>
                <w:b w:val="0"/>
                <w:sz w:val="20"/>
              </w:rPr>
              <w:t>Initial planning brief for review</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right"/>
    </w:pPr>
    <w:r/>
    <w:r>
      <w:rPr>
        <w:rFonts w:ascii="Calibri" w:hAnsi="Calibri" w:eastAsia="Calibri" w:cs="Calibri"/>
        <w:color w:val="555555"/>
        <w:sz w:val="18"/>
      </w:rPr>
      <w:fldChar w:fldCharType="begin"/>
    </w:r>
    <w:r>
      <w:rPr>
        <w:rFonts w:ascii="Calibri" w:hAnsi="Calibri" w:eastAsia="Calibri" w:cs="Calibri"/>
        <w:color w:val="555555"/>
        <w:sz w:val="18"/>
      </w:rPr>
      <w:instrText xml:space="preserve"> PAGE </w:instrText>
    </w:r>
    <w:r>
      <w:rPr>
        <w:rFonts w:ascii="Calibri" w:hAnsi="Calibri" w:eastAsia="Calibri" w:cs="Calibri"/>
        <w:color w:val="555555"/>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lineRule="auto" w:line="240"/>
      <w:pBdr>
        <w:bottom w:val="single" w:sz="6" w:space="8" w:color="BFBFBF"/>
      </w:pBdr>
    </w:pPr>
    <w:r/>
    <w:r>
      <w:rPr>
        <w:rFonts w:ascii="Calibri" w:hAnsi="Calibri" w:eastAsia="Calibri" w:cs="Calibri"/>
        <w:color w:val="555555"/>
        <w:sz w:val="18"/>
      </w:rPr>
      <w:t>Beacon Mosque  ·  Safeguarding Portal Planning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
    <w:multiLevelType w:val="hybridMultilevel"/>
    <w:lvl w:ilvl="0">
      <w:start w:val="1"/>
      <w:numFmt w:val="bullet"/>
      <w:lvlText w:val="•"/>
      <w:lvlJc w:val="left"/>
      <w:pPr>
        <w:ind w:left="720" w:hanging="360"/>
      </w:pPr>
      <w:rPr>
        <w:rFonts w:ascii="Symbol" w:hAnsi="Symbol" w:hint="default"/>
      </w:rPr>
    </w:lvl>
  </w:abstractNum>
  <w:abstractNum w:abstractNumId="11">
    <w:multiLevelType w:val="hybridMultilevel"/>
    <w:lvl w:ilvl="0">
      <w:start w:val="1"/>
      <w:numFmt w:val="decimal"/>
      <w:lvlText w:val="%1."/>
      <w:lvlJc w:val="left"/>
      <w:pPr>
        <w:ind w:left="720" w:hanging="360"/>
      </w:pPr>
    </w:lvl>
  </w:abstract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Rule="auto" w:line="264"/>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264"/>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Rule="auto" w:line="264"/>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