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Service Page Mockup and WordPress Content Comparison</w:t>
      </w:r>
    </w:p>
    <w:p>
      <w:r>
        <w:rPr>
          <w:rFonts w:ascii="Calibri" w:hAnsi="Calibri"/>
          <w:color w:val="555555"/>
          <w:sz w:val="20"/>
        </w:rPr>
        <w:t>Prepared for Faith Associates approval review | 17 August 2026</w:t>
      </w:r>
    </w:p>
    <w:p>
      <w:r>
        <w:rPr>
          <w:rFonts w:ascii="Calibri" w:hAnsi="Calibri"/>
          <w:b/>
        </w:rPr>
        <w:t xml:space="preserve">Purpose. </w:t>
      </w:r>
      <w:r>
        <w:rPr>
          <w:rFonts w:ascii="Calibri" w:hAnsi="Calibri"/>
        </w:rPr>
        <w:t>This document converts the stakeholder feedback into an approval-ready service-page mockup direction and compares the React content against the legacy WordPress content. The goal is to approve the design and ensure important legacy content is not lost during the React rebuild.</w:t>
      </w:r>
    </w:p>
    <w:tbl>
      <w:tblPr>
        <w:tblW w:type="auto" w:w="0"/>
        <w:jc w:val="center"/>
        <w:tblLook w:firstColumn="1" w:firstRow="1" w:lastColumn="0" w:lastRow="0" w:noHBand="0" w:noVBand="1" w:val="04A0"/>
      </w:tblPr>
      <w:tblGrid>
        <w:gridCol w:w="9360"/>
      </w:tblGrid>
      <w:tr>
        <w:tc>
          <w:tcPr>
            <w:tcW w:type="dxa" w:w="9360"/>
            <w:shd w:fill="E8EEF5"/>
            <w:vAlign w:val="top"/>
            <w:tcMar>
              <w:top w:w="80" w:type="dxa"/>
              <w:bottom w:w="80" w:type="dxa"/>
              <w:start w:w="120" w:type="dxa"/>
              <w:end w:w="120" w:type="dxa"/>
            </w:tcMar>
          </w:tcPr>
          <w:p>
            <w:pPr>
              <w:spacing w:after="40"/>
            </w:pPr>
            <w:r/>
            <w:r>
              <w:rPr>
                <w:b w:val="0"/>
                <w:sz w:val="18"/>
              </w:rPr>
              <w:t>Recommendation: approve the new compact service-page structure, but carry forward the detailed WordPress content lists into each relevant page before final sign-off. The mockup should become the standard template for training/service detail pages after content approval.</w:t>
            </w:r>
          </w:p>
        </w:tc>
      </w:tr>
    </w:tbl>
    <w:p>
      <w:pPr>
        <w:pStyle w:val="Heading1"/>
      </w:pPr>
      <w:r>
        <w:rPr>
          <w:rFonts w:ascii="Calibri" w:hAnsi="Calibri"/>
        </w:rPr>
        <w:t>1. Approval Mockup Direction</w:t>
      </w:r>
    </w:p>
    <w:p>
      <w:r>
        <w:rPr>
          <w:rFonts w:ascii="Calibri" w:hAnsi="Calibri"/>
        </w:rPr>
        <w:t xml:space="preserve">Live mockup for review: </w:t>
      </w:r>
      <w:hyperlink r:id="rId10">
        <w:r>
          <w:rPr>
            <w:color w:val="0563C1"/>
            <w:u w:val="single"/>
          </w:rPr>
          <w:t>https://faith-associates.vercel.app/mockups/service-page</w:t>
        </w:r>
      </w:hyperlink>
    </w:p>
    <w:tbl>
      <w:tblPr>
        <w:tblW w:type="auto" w:w="0"/>
        <w:jc w:val="center"/>
        <w:tblLook w:firstColumn="1" w:firstRow="1" w:lastColumn="0" w:lastRow="0" w:noHBand="0" w:noVBand="1" w:val="04A0"/>
      </w:tblPr>
      <w:tblGrid>
        <w:gridCol w:w="4680"/>
        <w:gridCol w:w="4680"/>
      </w:tblGrid>
      <w:tr>
        <w:tc>
          <w:tcPr>
            <w:tcW w:type="dxa" w:w="4680"/>
            <w:shd w:fill="F2F4F7"/>
            <w:vAlign w:val="top"/>
            <w:tcMar>
              <w:top w:w="80" w:type="dxa"/>
              <w:bottom w:w="80" w:type="dxa"/>
              <w:start w:w="120" w:type="dxa"/>
              <w:end w:w="120" w:type="dxa"/>
            </w:tcMar>
          </w:tcPr>
          <w:p>
            <w:pPr>
              <w:spacing w:after="40"/>
            </w:pPr>
            <w:r/>
            <w:r>
              <w:rPr>
                <w:b/>
                <w:color w:val="0B2545"/>
                <w:sz w:val="18"/>
              </w:rPr>
              <w:t>Mockup section</w:t>
            </w:r>
          </w:p>
        </w:tc>
        <w:tc>
          <w:tcPr>
            <w:tcW w:type="dxa" w:w="4680"/>
            <w:shd w:fill="F2F4F7"/>
            <w:vAlign w:val="top"/>
            <w:tcMar>
              <w:top w:w="80" w:type="dxa"/>
              <w:bottom w:w="80" w:type="dxa"/>
              <w:start w:w="120" w:type="dxa"/>
              <w:end w:w="120" w:type="dxa"/>
            </w:tcMar>
          </w:tcPr>
          <w:p>
            <w:pPr>
              <w:spacing w:after="40"/>
            </w:pPr>
            <w:r/>
            <w:r>
              <w:rPr>
                <w:b/>
                <w:color w:val="0B2545"/>
                <w:sz w:val="18"/>
              </w:rPr>
              <w:t>What it solves</w:t>
            </w:r>
          </w:p>
        </w:tc>
      </w:tr>
      <w:tr>
        <w:tc>
          <w:tcPr>
            <w:tcW w:type="dxa" w:w="4680"/>
            <w:vAlign w:val="top"/>
            <w:tcMar>
              <w:top w:w="80" w:type="dxa"/>
              <w:bottom w:w="80" w:type="dxa"/>
              <w:start w:w="120" w:type="dxa"/>
              <w:end w:w="120" w:type="dxa"/>
            </w:tcMar>
          </w:tcPr>
          <w:p>
            <w:pPr>
              <w:spacing w:after="40"/>
            </w:pPr>
            <w:r/>
            <w:r>
              <w:rPr>
                <w:b/>
                <w:color w:val="1F4D78"/>
                <w:sz w:val="18"/>
              </w:rPr>
              <w:t>Hero</w:t>
            </w:r>
          </w:p>
        </w:tc>
        <w:tc>
          <w:tcPr>
            <w:tcW w:type="dxa" w:w="4680"/>
            <w:vAlign w:val="top"/>
            <w:tcMar>
              <w:top w:w="80" w:type="dxa"/>
              <w:bottom w:w="80" w:type="dxa"/>
              <w:start w:w="120" w:type="dxa"/>
              <w:end w:w="120" w:type="dxa"/>
            </w:tcMar>
          </w:tcPr>
          <w:p>
            <w:pPr>
              <w:spacing w:after="40"/>
            </w:pPr>
            <w:r/>
            <w:r>
              <w:rPr>
                <w:b w:val="0"/>
                <w:sz w:val="18"/>
              </w:rPr>
              <w:t>High-impact title, clear summary, service image, Book / enquire CTA and Browse services CTA.</w:t>
            </w:r>
          </w:p>
        </w:tc>
      </w:tr>
      <w:tr>
        <w:tc>
          <w:tcPr>
            <w:tcW w:type="dxa" w:w="4680"/>
            <w:vAlign w:val="top"/>
            <w:tcMar>
              <w:top w:w="80" w:type="dxa"/>
              <w:bottom w:w="80" w:type="dxa"/>
              <w:start w:w="120" w:type="dxa"/>
              <w:end w:w="120" w:type="dxa"/>
            </w:tcMar>
          </w:tcPr>
          <w:p>
            <w:pPr>
              <w:spacing w:after="40"/>
            </w:pPr>
            <w:r/>
            <w:r>
              <w:rPr>
                <w:b/>
                <w:color w:val="1F4D78"/>
                <w:sz w:val="18"/>
              </w:rPr>
              <w:t>Quick facts</w:t>
            </w:r>
          </w:p>
        </w:tc>
        <w:tc>
          <w:tcPr>
            <w:tcW w:type="dxa" w:w="4680"/>
            <w:vAlign w:val="top"/>
            <w:tcMar>
              <w:top w:w="80" w:type="dxa"/>
              <w:bottom w:w="80" w:type="dxa"/>
              <w:start w:w="120" w:type="dxa"/>
              <w:end w:w="120" w:type="dxa"/>
            </w:tcMar>
          </w:tcPr>
          <w:p>
            <w:pPr>
              <w:spacing w:after="40"/>
            </w:pPr>
            <w:r/>
            <w:r>
              <w:rPr>
                <w:b w:val="0"/>
                <w:sz w:val="18"/>
              </w:rPr>
              <w:t>Format, audience, outcome and next step shown above the fold.</w:t>
            </w:r>
          </w:p>
        </w:tc>
      </w:tr>
      <w:tr>
        <w:tc>
          <w:tcPr>
            <w:tcW w:type="dxa" w:w="4680"/>
            <w:vAlign w:val="top"/>
            <w:tcMar>
              <w:top w:w="80" w:type="dxa"/>
              <w:bottom w:w="80" w:type="dxa"/>
              <w:start w:w="120" w:type="dxa"/>
              <w:end w:w="120" w:type="dxa"/>
            </w:tcMar>
          </w:tcPr>
          <w:p>
            <w:pPr>
              <w:spacing w:after="40"/>
            </w:pPr>
            <w:r/>
            <w:r>
              <w:rPr>
                <w:b/>
                <w:color w:val="1F4D78"/>
                <w:sz w:val="18"/>
              </w:rPr>
              <w:t>Direct service links</w:t>
            </w:r>
          </w:p>
        </w:tc>
        <w:tc>
          <w:tcPr>
            <w:tcW w:type="dxa" w:w="4680"/>
            <w:vAlign w:val="top"/>
            <w:tcMar>
              <w:top w:w="80" w:type="dxa"/>
              <w:bottom w:w="80" w:type="dxa"/>
              <w:start w:w="120" w:type="dxa"/>
              <w:end w:w="120" w:type="dxa"/>
            </w:tcMar>
          </w:tcPr>
          <w:p>
            <w:pPr>
              <w:spacing w:after="40"/>
            </w:pPr>
            <w:r/>
            <w:r>
              <w:rPr>
                <w:b w:val="0"/>
                <w:sz w:val="18"/>
              </w:rPr>
              <w:t>Related service cards route users directly to the page rather than an email capture step.</w:t>
            </w:r>
          </w:p>
        </w:tc>
      </w:tr>
      <w:tr>
        <w:tc>
          <w:tcPr>
            <w:tcW w:type="dxa" w:w="4680"/>
            <w:vAlign w:val="top"/>
            <w:tcMar>
              <w:top w:w="80" w:type="dxa"/>
              <w:bottom w:w="80" w:type="dxa"/>
              <w:start w:w="120" w:type="dxa"/>
              <w:end w:w="120" w:type="dxa"/>
            </w:tcMar>
          </w:tcPr>
          <w:p>
            <w:pPr>
              <w:spacing w:after="40"/>
            </w:pPr>
            <w:r/>
            <w:r>
              <w:rPr>
                <w:b/>
                <w:color w:val="1F4D78"/>
                <w:sz w:val="18"/>
              </w:rPr>
              <w:t>Opportunity</w:t>
            </w:r>
          </w:p>
        </w:tc>
        <w:tc>
          <w:tcPr>
            <w:tcW w:type="dxa" w:w="4680"/>
            <w:vAlign w:val="top"/>
            <w:tcMar>
              <w:top w:w="80" w:type="dxa"/>
              <w:bottom w:w="80" w:type="dxa"/>
              <w:start w:w="120" w:type="dxa"/>
              <w:end w:w="120" w:type="dxa"/>
            </w:tcMar>
          </w:tcPr>
          <w:p>
            <w:pPr>
              <w:spacing w:after="40"/>
            </w:pPr>
            <w:r/>
            <w:r>
              <w:rPr>
                <w:b w:val="0"/>
                <w:sz w:val="18"/>
              </w:rPr>
              <w:t>Short explanation of why the service matters, using the old WordPress page intent.</w:t>
            </w:r>
          </w:p>
        </w:tc>
      </w:tr>
      <w:tr>
        <w:tc>
          <w:tcPr>
            <w:tcW w:type="dxa" w:w="4680"/>
            <w:vAlign w:val="top"/>
            <w:tcMar>
              <w:top w:w="80" w:type="dxa"/>
              <w:bottom w:w="80" w:type="dxa"/>
              <w:start w:w="120" w:type="dxa"/>
              <w:end w:w="120" w:type="dxa"/>
            </w:tcMar>
          </w:tcPr>
          <w:p>
            <w:pPr>
              <w:spacing w:after="40"/>
            </w:pPr>
            <w:r/>
            <w:r>
              <w:rPr>
                <w:b/>
                <w:color w:val="1F4D78"/>
                <w:sz w:val="18"/>
              </w:rPr>
              <w:t>What this covers</w:t>
            </w:r>
          </w:p>
        </w:tc>
        <w:tc>
          <w:tcPr>
            <w:tcW w:type="dxa" w:w="4680"/>
            <w:vAlign w:val="top"/>
            <w:tcMar>
              <w:top w:w="80" w:type="dxa"/>
              <w:bottom w:w="80" w:type="dxa"/>
              <w:start w:w="120" w:type="dxa"/>
              <w:end w:w="120" w:type="dxa"/>
            </w:tcMar>
          </w:tcPr>
          <w:p>
            <w:pPr>
              <w:spacing w:after="40"/>
            </w:pPr>
            <w:r/>
            <w:r>
              <w:rPr>
                <w:b w:val="0"/>
                <w:sz w:val="18"/>
              </w:rPr>
              <w:t>Four to six content modules, expanded from the old WordPress training/service lists.</w:t>
            </w:r>
          </w:p>
        </w:tc>
      </w:tr>
      <w:tr>
        <w:tc>
          <w:tcPr>
            <w:tcW w:type="dxa" w:w="4680"/>
            <w:vAlign w:val="top"/>
            <w:tcMar>
              <w:top w:w="80" w:type="dxa"/>
              <w:bottom w:w="80" w:type="dxa"/>
              <w:start w:w="120" w:type="dxa"/>
              <w:end w:w="120" w:type="dxa"/>
            </w:tcMar>
          </w:tcPr>
          <w:p>
            <w:pPr>
              <w:spacing w:after="40"/>
            </w:pPr>
            <w:r/>
            <w:r>
              <w:rPr>
                <w:b/>
                <w:color w:val="1F4D78"/>
                <w:sz w:val="18"/>
              </w:rPr>
              <w:t>Who it is for</w:t>
            </w:r>
          </w:p>
        </w:tc>
        <w:tc>
          <w:tcPr>
            <w:tcW w:type="dxa" w:w="4680"/>
            <w:vAlign w:val="top"/>
            <w:tcMar>
              <w:top w:w="80" w:type="dxa"/>
              <w:bottom w:w="80" w:type="dxa"/>
              <w:start w:w="120" w:type="dxa"/>
              <w:end w:w="120" w:type="dxa"/>
            </w:tcMar>
          </w:tcPr>
          <w:p>
            <w:pPr>
              <w:spacing w:after="40"/>
            </w:pPr>
            <w:r/>
            <w:r>
              <w:rPr>
                <w:b w:val="0"/>
                <w:sz w:val="18"/>
              </w:rPr>
              <w:t>Audience block so the page answers the stakeholder “who” concern.</w:t>
            </w:r>
          </w:p>
        </w:tc>
      </w:tr>
      <w:tr>
        <w:tc>
          <w:tcPr>
            <w:tcW w:type="dxa" w:w="4680"/>
            <w:vAlign w:val="top"/>
            <w:tcMar>
              <w:top w:w="80" w:type="dxa"/>
              <w:bottom w:w="80" w:type="dxa"/>
              <w:start w:w="120" w:type="dxa"/>
              <w:end w:w="120" w:type="dxa"/>
            </w:tcMar>
          </w:tcPr>
          <w:p>
            <w:pPr>
              <w:spacing w:after="40"/>
            </w:pPr>
            <w:r/>
            <w:r>
              <w:rPr>
                <w:b/>
                <w:color w:val="1F4D78"/>
                <w:sz w:val="18"/>
              </w:rPr>
              <w:t>What you leave with</w:t>
            </w:r>
          </w:p>
        </w:tc>
        <w:tc>
          <w:tcPr>
            <w:tcW w:type="dxa" w:w="4680"/>
            <w:vAlign w:val="top"/>
            <w:tcMar>
              <w:top w:w="80" w:type="dxa"/>
              <w:bottom w:w="80" w:type="dxa"/>
              <w:start w:w="120" w:type="dxa"/>
              <w:end w:w="120" w:type="dxa"/>
            </w:tcMar>
          </w:tcPr>
          <w:p>
            <w:pPr>
              <w:spacing w:after="40"/>
            </w:pPr>
            <w:r/>
            <w:r>
              <w:rPr>
                <w:b w:val="0"/>
                <w:sz w:val="18"/>
              </w:rPr>
              <w:t>Outcome block translating old content into practical value.</w:t>
            </w:r>
          </w:p>
        </w:tc>
      </w:tr>
      <w:tr>
        <w:tc>
          <w:tcPr>
            <w:tcW w:type="dxa" w:w="4680"/>
            <w:vAlign w:val="top"/>
            <w:tcMar>
              <w:top w:w="80" w:type="dxa"/>
              <w:bottom w:w="80" w:type="dxa"/>
              <w:start w:w="120" w:type="dxa"/>
              <w:end w:w="120" w:type="dxa"/>
            </w:tcMar>
          </w:tcPr>
          <w:p>
            <w:pPr>
              <w:spacing w:after="40"/>
            </w:pPr>
            <w:r/>
            <w:r>
              <w:rPr>
                <w:b/>
                <w:color w:val="1F4D78"/>
                <w:sz w:val="18"/>
              </w:rPr>
              <w:t>Booking/enquiry</w:t>
            </w:r>
          </w:p>
        </w:tc>
        <w:tc>
          <w:tcPr>
            <w:tcW w:type="dxa" w:w="4680"/>
            <w:vAlign w:val="top"/>
            <w:tcMar>
              <w:top w:w="80" w:type="dxa"/>
              <w:bottom w:w="80" w:type="dxa"/>
              <w:start w:w="120" w:type="dxa"/>
              <w:end w:w="120" w:type="dxa"/>
            </w:tcMar>
          </w:tcPr>
          <w:p>
            <w:pPr>
              <w:spacing w:after="40"/>
            </w:pPr>
            <w:r/>
            <w:r>
              <w:rPr>
                <w:b w:val="0"/>
                <w:sz w:val="18"/>
              </w:rPr>
              <w:t>Strong final CTA with the form or contact path, not buried below large empty space.</w:t>
            </w:r>
          </w:p>
        </w:tc>
      </w:tr>
    </w:tbl>
    <w:p>
      <w:r>
        <w:rPr>
          <w:rFonts w:ascii="Calibri" w:hAnsi="Calibri"/>
          <w:b/>
        </w:rPr>
        <w:t xml:space="preserve">Design response to stakeholder notes. </w:t>
      </w:r>
      <w:r>
        <w:rPr>
          <w:rFonts w:ascii="Calibri" w:hAnsi="Calibri"/>
        </w:rPr>
        <w:t>The mockup removes large empty bands, makes the CTA visible, adds direct service routing, introduces clearer “who it is for” and “what this covers” sections, and keeps service users inside the services journey rather than sending them to publications/media.</w:t>
      </w:r>
    </w:p>
    <w:p>
      <w:pPr>
        <w:pStyle w:val="Heading1"/>
      </w:pPr>
      <w:r>
        <w:rPr>
          <w:rFonts w:ascii="Calibri" w:hAnsi="Calibri"/>
        </w:rPr>
        <w:t>2. Site-Level Fixes Already Applied</w:t>
      </w:r>
    </w:p>
    <w:p>
      <w:pPr>
        <w:pStyle w:val="ListBullet"/>
      </w:pPr>
      <w:r>
        <w:rPr>
          <w:rFonts w:ascii="Calibri" w:hAnsi="Calibri"/>
        </w:rPr>
        <w:t>Guided support box selection now routes directly to the selected service page rather than asking for email first.</w:t>
      </w:r>
    </w:p>
    <w:p>
      <w:pPr>
        <w:pStyle w:val="ListBullet"/>
      </w:pPr>
      <w:r>
        <w:rPr>
          <w:rFonts w:ascii="Calibri" w:hAnsi="Calibri"/>
        </w:rPr>
        <w:t>Header utility link changed from “Media centre” to “Services”.</w:t>
      </w:r>
    </w:p>
    <w:p>
      <w:pPr>
        <w:pStyle w:val="ListBullet"/>
      </w:pPr>
      <w:r>
        <w:rPr>
          <w:rFonts w:ascii="Calibri" w:hAnsi="Calibri"/>
        </w:rPr>
        <w:t>Homepage “What we do” cards/icons were enlarged and given stronger visual treatment.</w:t>
      </w:r>
    </w:p>
    <w:p>
      <w:pPr>
        <w:pStyle w:val="ListBullet"/>
      </w:pPr>
      <w:r>
        <w:rPr>
          <w:rFonts w:ascii="Calibri" w:hAnsi="Calibri"/>
        </w:rPr>
        <w:t>Service detail secondary CTA changed from “View publications” to “View services”.</w:t>
      </w:r>
    </w:p>
    <w:p>
      <w:pPr>
        <w:pStyle w:val="ListBullet"/>
      </w:pPr>
      <w:r>
        <w:rPr>
          <w:rFonts w:ascii="Calibri" w:hAnsi="Calibri"/>
        </w:rPr>
        <w:t>Mosque Election Management now includes an external Beacon Mosque CTA as requested.</w:t>
      </w:r>
    </w:p>
    <w:p>
      <w:pPr>
        <w:pStyle w:val="Heading1"/>
      </w:pPr>
      <w:r>
        <w:rPr>
          <w:rFonts w:ascii="Calibri" w:hAnsi="Calibri"/>
        </w:rPr>
        <w:t>3. Service-by-Service Content Comparison</w:t>
      </w:r>
    </w:p>
    <w:p>
      <w:r>
        <w:rPr>
          <w:rFonts w:ascii="Calibri" w:hAnsi="Calibri"/>
          <w:b/>
        </w:rPr>
        <w:t xml:space="preserve">How to read this section. </w:t>
      </w:r>
      <w:r>
        <w:rPr>
          <w:rFonts w:ascii="Calibri" w:hAnsi="Calibri"/>
        </w:rPr>
        <w:t>“Legacy WordPress content to retain” lists the old website content elements that should be represented in the React page. “Current React status” records what is already present or partially present. “Recommended page update” explains how it should appear in the approved mockup structure.</w:t>
      </w:r>
    </w:p>
    <w:p>
      <w:pPr>
        <w:pStyle w:val="Heading2"/>
      </w:pPr>
      <w:r>
        <w:rPr>
          <w:rFonts w:ascii="Calibri" w:hAnsi="Calibri"/>
        </w:rPr>
        <w:t>3.1 1 Day Mosque Management &amp; Governance Master Class Training</w:t>
      </w:r>
    </w:p>
    <w:p>
      <w:r>
        <w:rPr>
          <w:rFonts w:ascii="Calibri" w:hAnsi="Calibri"/>
        </w:rPr>
        <w:t xml:space="preserve">Old WordPress source: </w:t>
      </w:r>
      <w:hyperlink r:id="rId11">
        <w:r>
          <w:rPr>
            <w:color w:val="0563C1"/>
            <w:u w:val="single"/>
          </w:rPr>
          <w:t>https://faithassociates.co.uk/services/1-day-mosque-management-governance-master-class-training/</w:t>
        </w:r>
      </w:hyperlink>
    </w:p>
    <w:p>
      <w:r>
        <w:rPr>
          <w:rFonts w:ascii="Calibri" w:hAnsi="Calibri"/>
          <w:b/>
        </w:rPr>
        <w:t xml:space="preserve">Current React status. </w:t>
      </w:r>
      <w:r>
        <w:rPr>
          <w:rFonts w:ascii="Calibri" w:hAnsi="Calibri"/>
        </w:rPr>
        <w:t>Current React page has a strong summary, two intro paragraphs, four high-level highlights and outcomes. It previously missed several detailed training-content items from WordPress.</w:t>
      </w:r>
    </w:p>
    <w:p>
      <w:pPr>
        <w:pStyle w:val="Heading3"/>
      </w:pPr>
      <w:r>
        <w:rPr>
          <w:rFonts w:ascii="Calibri" w:hAnsi="Calibri"/>
        </w:rPr>
        <w:t>Legacy WordPress content to retain</w:t>
      </w:r>
    </w:p>
    <w:p>
      <w:pPr>
        <w:pStyle w:val="ListBullet"/>
      </w:pPr>
      <w:r>
        <w:rPr>
          <w:rFonts w:ascii="Calibri" w:hAnsi="Calibri"/>
        </w:rPr>
        <w:t>Core framing: essential management and leadership techniques for mosque or Islamic centre leadership within legal, civic and Islamically effective frameworks.</w:t>
      </w:r>
    </w:p>
    <w:p>
      <w:pPr>
        <w:pStyle w:val="ListBullet"/>
      </w:pPr>
      <w:r>
        <w:rPr>
          <w:rFonts w:ascii="Calibri" w:hAnsi="Calibri"/>
        </w:rPr>
        <w:t>Topics: Beacon Mosque standards, trustee rights and responsibilities, risk assessment, safe fundraising, strategic vision, policies, procedures and safeguarding.</w:t>
      </w:r>
    </w:p>
    <w:p>
      <w:pPr>
        <w:pStyle w:val="ListBullet"/>
      </w:pPr>
      <w:r>
        <w:rPr>
          <w:rFonts w:ascii="Calibri" w:hAnsi="Calibri"/>
        </w:rPr>
        <w:t>Training content: management committee roles booklet, Imam job advert workshop, Mosque and Madrassah Quarterly, Building Islamic Faith Leaders workshop, 9 Core Critical Success Indicators, mosque hierarchy worksheet, recruitment policy booklet, complaints and grievances procedure booklet, volunteer policy guidelines, National Association of Madrassahs brochure, Imams Online brochure and Safe Giving Zakat infographic.</w:t>
      </w:r>
    </w:p>
    <w:p>
      <w:pPr>
        <w:pStyle w:val="ListBullet"/>
      </w:pPr>
      <w:r>
        <w:rPr>
          <w:rFonts w:ascii="Calibri" w:hAnsi="Calibri"/>
        </w:rPr>
        <w:t>Aims: foster better governance, increase service quality and encourage best practice in British and international mosques.</w:t>
      </w:r>
    </w:p>
    <w:p>
      <w:pPr>
        <w:pStyle w:val="ListBullet"/>
      </w:pPr>
      <w:r>
        <w:rPr>
          <w:rFonts w:ascii="Calibri" w:hAnsi="Calibri"/>
        </w:rPr>
        <w:t>Includes: access to Mosque Management materials, example policy templates, documentation on management/security/safeguarding, Charity Commission compliance and a specialist trainer.</w:t>
      </w:r>
    </w:p>
    <w:p>
      <w:pPr>
        <w:pStyle w:val="ListBullet"/>
      </w:pPr>
      <w:r>
        <w:rPr>
          <w:rFonts w:ascii="Calibri" w:hAnsi="Calibri"/>
        </w:rPr>
        <w:t>CTA: Book Training plus Beacon Mosque / 5 Star Rating messaging.</w:t>
      </w:r>
    </w:p>
    <w:p>
      <w:pPr>
        <w:pStyle w:val="Heading3"/>
      </w:pPr>
      <w:r>
        <w:rPr>
          <w:rFonts w:ascii="Calibri" w:hAnsi="Calibri"/>
        </w:rPr>
        <w:t>Recommended page update</w:t>
      </w:r>
    </w:p>
    <w:p>
      <w:pPr>
        <w:pStyle w:val="ListBullet"/>
      </w:pPr>
      <w:r>
        <w:rPr>
          <w:rFonts w:ascii="Calibri" w:hAnsi="Calibri"/>
        </w:rPr>
        <w:t>Use the new mockup layout but add a “Training content” section with the detailed WordPress material list.</w:t>
      </w:r>
    </w:p>
    <w:p>
      <w:pPr>
        <w:pStyle w:val="ListBullet"/>
      </w:pPr>
      <w:r>
        <w:rPr>
          <w:rFonts w:ascii="Calibri" w:hAnsi="Calibri"/>
        </w:rPr>
        <w:t>Keep the concise React hero and outcomes, but add Beacon Mosque standards and 5-star compliance messaging in the first half of the page.</w:t>
      </w:r>
    </w:p>
    <w:p>
      <w:pPr>
        <w:pStyle w:val="ListBullet"/>
      </w:pPr>
      <w:r>
        <w:rPr>
          <w:rFonts w:ascii="Calibri" w:hAnsi="Calibri"/>
        </w:rPr>
        <w:t>Move “What it includes” above the booking form so the value is visible before users commit.</w:t>
      </w:r>
    </w:p>
    <w:p>
      <w:pPr>
        <w:pStyle w:val="Heading2"/>
      </w:pPr>
      <w:r>
        <w:rPr>
          <w:rFonts w:ascii="Calibri" w:hAnsi="Calibri"/>
        </w:rPr>
        <w:t>3.2 2 Day Mosque Management &amp; Governance Master Class Training</w:t>
      </w:r>
    </w:p>
    <w:p>
      <w:r>
        <w:rPr>
          <w:rFonts w:ascii="Calibri" w:hAnsi="Calibri"/>
        </w:rPr>
        <w:t xml:space="preserve">Old WordPress source: </w:t>
      </w:r>
      <w:hyperlink r:id="rId12">
        <w:r>
          <w:rPr>
            <w:color w:val="0563C1"/>
            <w:u w:val="single"/>
          </w:rPr>
          <w:t>https://faithassociates.co.uk/services/2-day-mosque-management-governance-master-class-training/</w:t>
        </w:r>
      </w:hyperlink>
    </w:p>
    <w:p>
      <w:r>
        <w:rPr>
          <w:rFonts w:ascii="Calibri" w:hAnsi="Calibri"/>
          <w:b/>
        </w:rPr>
        <w:t xml:space="preserve">Current React status. </w:t>
      </w:r>
      <w:r>
        <w:rPr>
          <w:rFonts w:ascii="Calibri" w:hAnsi="Calibri"/>
        </w:rPr>
        <w:t>Current React page describes the programme as advanced and includes high-level topics. It needs the old WordPress training-content list restored in a more complete way.</w:t>
      </w:r>
    </w:p>
    <w:p>
      <w:pPr>
        <w:pStyle w:val="Heading3"/>
      </w:pPr>
      <w:r>
        <w:rPr>
          <w:rFonts w:ascii="Calibri" w:hAnsi="Calibri"/>
        </w:rPr>
        <w:t>Legacy WordPress content to retain</w:t>
      </w:r>
    </w:p>
    <w:p>
      <w:pPr>
        <w:pStyle w:val="ListBullet"/>
      </w:pPr>
      <w:r>
        <w:rPr>
          <w:rFonts w:ascii="Calibri" w:hAnsi="Calibri"/>
        </w:rPr>
        <w:t>Core framing: an advanced version of the 1-day masterclass covering essential management and leadership techniques in greater depth.</w:t>
      </w:r>
    </w:p>
    <w:p>
      <w:pPr>
        <w:pStyle w:val="ListBullet"/>
      </w:pPr>
      <w:r>
        <w:rPr>
          <w:rFonts w:ascii="Calibri" w:hAnsi="Calibri"/>
        </w:rPr>
        <w:t>Training content: 21st-century Mosque / Beacon Mosque standards, trustee rights and responsibilities, risk assessment, safe fundraising, strategic vision, policies and procedures, financial management, madrassah management, safeguarding, community development and legal structures/frameworks.</w:t>
      </w:r>
    </w:p>
    <w:p>
      <w:pPr>
        <w:pStyle w:val="ListBullet"/>
      </w:pPr>
      <w:r>
        <w:rPr>
          <w:rFonts w:ascii="Calibri" w:hAnsi="Calibri"/>
        </w:rPr>
        <w:t>Aims: foster better governance, increase service quality and encourage best practice in British and international mosques.</w:t>
      </w:r>
    </w:p>
    <w:p>
      <w:pPr>
        <w:pStyle w:val="ListBullet"/>
      </w:pPr>
      <w:r>
        <w:rPr>
          <w:rFonts w:ascii="Calibri" w:hAnsi="Calibri"/>
        </w:rPr>
        <w:t>Includes: access to Mosque Management materials, example policy templates, documentation on management/security/safeguarding, Charity Commission compliance and specialist trainer advice.</w:t>
      </w:r>
    </w:p>
    <w:p>
      <w:pPr>
        <w:pStyle w:val="ListBullet"/>
      </w:pPr>
      <w:r>
        <w:rPr>
          <w:rFonts w:ascii="Calibri" w:hAnsi="Calibri"/>
        </w:rPr>
        <w:t>CTA: Book Training plus Beacon Mosque / 5 Star Rating messaging.</w:t>
      </w:r>
    </w:p>
    <w:p>
      <w:pPr>
        <w:pStyle w:val="Heading3"/>
      </w:pPr>
      <w:r>
        <w:rPr>
          <w:rFonts w:ascii="Calibri" w:hAnsi="Calibri"/>
        </w:rPr>
        <w:t>Recommended page update</w:t>
      </w:r>
    </w:p>
    <w:p>
      <w:pPr>
        <w:pStyle w:val="ListBullet"/>
      </w:pPr>
      <w:r>
        <w:rPr>
          <w:rFonts w:ascii="Calibri" w:hAnsi="Calibri"/>
        </w:rPr>
        <w:t>Mirror the approved 1-day page design but label this as the advanced/deeper programme.</w:t>
      </w:r>
    </w:p>
    <w:p>
      <w:pPr>
        <w:pStyle w:val="ListBullet"/>
      </w:pPr>
      <w:r>
        <w:rPr>
          <w:rFonts w:ascii="Calibri" w:hAnsi="Calibri"/>
        </w:rPr>
        <w:t>Add a “Programme at a glance” block that separates governance, finance, madrassah management, safeguarding and legal frameworks.</w:t>
      </w:r>
    </w:p>
    <w:p>
      <w:pPr>
        <w:pStyle w:val="ListBullet"/>
      </w:pPr>
      <w:r>
        <w:rPr>
          <w:rFonts w:ascii="Calibri" w:hAnsi="Calibri"/>
        </w:rPr>
        <w:t>Keep direct “Book / enquire” action visible at top and near the content section.</w:t>
      </w:r>
    </w:p>
    <w:p>
      <w:pPr>
        <w:pStyle w:val="Heading2"/>
      </w:pPr>
      <w:r>
        <w:rPr>
          <w:rFonts w:ascii="Calibri" w:hAnsi="Calibri"/>
        </w:rPr>
        <w:t>3.3 Safer Recruitment Training</w:t>
      </w:r>
    </w:p>
    <w:p>
      <w:r>
        <w:rPr>
          <w:rFonts w:ascii="Calibri" w:hAnsi="Calibri"/>
        </w:rPr>
        <w:t xml:space="preserve">Old WordPress source: </w:t>
      </w:r>
      <w:hyperlink r:id="rId13">
        <w:r>
          <w:rPr>
            <w:color w:val="0563C1"/>
            <w:u w:val="single"/>
          </w:rPr>
          <w:t>https://faithassociates.co.uk/services/safer-recruitment-training/</w:t>
        </w:r>
      </w:hyperlink>
    </w:p>
    <w:p>
      <w:r>
        <w:rPr>
          <w:rFonts w:ascii="Calibri" w:hAnsi="Calibri"/>
          <w:b/>
        </w:rPr>
        <w:t xml:space="preserve">Current React status. </w:t>
      </w:r>
      <w:r>
        <w:rPr>
          <w:rFonts w:ascii="Calibri" w:hAnsi="Calibri"/>
        </w:rPr>
        <w:t>Current React page had a basic summary and four highlights. It now has more detail, but should still carry several WordPress specifics that were missing.</w:t>
      </w:r>
    </w:p>
    <w:p>
      <w:pPr>
        <w:pStyle w:val="Heading3"/>
      </w:pPr>
      <w:r>
        <w:rPr>
          <w:rFonts w:ascii="Calibri" w:hAnsi="Calibri"/>
        </w:rPr>
        <w:t>Legacy WordPress content to retain</w:t>
      </w:r>
    </w:p>
    <w:p>
      <w:pPr>
        <w:pStyle w:val="ListBullet"/>
      </w:pPr>
      <w:r>
        <w:rPr>
          <w:rFonts w:ascii="Calibri" w:hAnsi="Calibri"/>
        </w:rPr>
        <w:t>Purpose: help institutions recruit managers, teachers, administrators and volunteers while keeping student and staff safety central.</w:t>
      </w:r>
    </w:p>
    <w:p>
      <w:pPr>
        <w:pStyle w:val="ListBullet"/>
      </w:pPr>
      <w:r>
        <w:rPr>
          <w:rFonts w:ascii="Calibri" w:hAnsi="Calibri"/>
        </w:rPr>
        <w:t>Safeguarding requirement: at least two members, including one board member, should take this training every five years under current safeguarding guidance.</w:t>
      </w:r>
    </w:p>
    <w:p>
      <w:pPr>
        <w:pStyle w:val="ListBullet"/>
      </w:pPr>
      <w:r>
        <w:rPr>
          <w:rFonts w:ascii="Calibri" w:hAnsi="Calibri"/>
        </w:rPr>
        <w:t>Training content: recruitment overview, risk factors and legislation, job descriptions, advertising and application forms, shortlisting and interviews, pre-employment checks, references and DBS, induction and monitoring of new staff.</w:t>
      </w:r>
    </w:p>
    <w:p>
      <w:pPr>
        <w:pStyle w:val="ListBullet"/>
      </w:pPr>
      <w:r>
        <w:rPr>
          <w:rFonts w:ascii="Calibri" w:hAnsi="Calibri"/>
        </w:rPr>
        <w:t>Course details: attendees receive a certificate after full participation. Duration: one day. Cost shown on old site: GBP 595 + VAT for up to 20 delegates.</w:t>
      </w:r>
    </w:p>
    <w:p>
      <w:pPr>
        <w:pStyle w:val="ListBullet"/>
      </w:pPr>
      <w:r>
        <w:rPr>
          <w:rFonts w:ascii="Calibri" w:hAnsi="Calibri"/>
        </w:rPr>
        <w:t>Expected outcomes: understand safer recruitment principles, support safeguarding at a madrassah, understand recruitment regulations, assess candidates, supervise staff and improve madrassah standards.</w:t>
      </w:r>
    </w:p>
    <w:p>
      <w:pPr>
        <w:pStyle w:val="Heading3"/>
      </w:pPr>
      <w:r>
        <w:rPr>
          <w:rFonts w:ascii="Calibri" w:hAnsi="Calibri"/>
        </w:rPr>
        <w:t>Recommended page update</w:t>
      </w:r>
    </w:p>
    <w:p>
      <w:pPr>
        <w:pStyle w:val="ListBullet"/>
      </w:pPr>
      <w:r>
        <w:rPr>
          <w:rFonts w:ascii="Calibri" w:hAnsi="Calibri"/>
        </w:rPr>
        <w:t>Add a “Course facts” block with duration, certificate, delegate count and cost, if pricing is still valid.</w:t>
      </w:r>
    </w:p>
    <w:p>
      <w:pPr>
        <w:pStyle w:val="ListBullet"/>
      </w:pPr>
      <w:r>
        <w:rPr>
          <w:rFonts w:ascii="Calibri" w:hAnsi="Calibri"/>
        </w:rPr>
        <w:t>Add the full training-content list from WordPress under “What this covers”.</w:t>
      </w:r>
    </w:p>
    <w:p>
      <w:pPr>
        <w:pStyle w:val="ListBullet"/>
      </w:pPr>
      <w:r>
        <w:rPr>
          <w:rFonts w:ascii="Calibri" w:hAnsi="Calibri"/>
        </w:rPr>
        <w:t>Add the two-members / five-year requirement as a compliance note, but confirm wording before production if the guidance has changed.</w:t>
      </w:r>
    </w:p>
    <w:p>
      <w:pPr>
        <w:pStyle w:val="Heading2"/>
      </w:pPr>
      <w:r>
        <w:rPr>
          <w:rFonts w:ascii="Calibri" w:hAnsi="Calibri"/>
        </w:rPr>
        <w:t>3.4 Women in Mosque Leadership</w:t>
      </w:r>
    </w:p>
    <w:p>
      <w:r>
        <w:rPr>
          <w:rFonts w:ascii="Calibri" w:hAnsi="Calibri"/>
        </w:rPr>
        <w:t xml:space="preserve">Old WordPress source: </w:t>
      </w:r>
      <w:hyperlink r:id="rId14">
        <w:r>
          <w:rPr>
            <w:color w:val="0563C1"/>
            <w:u w:val="single"/>
          </w:rPr>
          <w:t>https://faithassociates.co.uk/services/women-in-mosque-leadership/</w:t>
        </w:r>
      </w:hyperlink>
    </w:p>
    <w:p>
      <w:r>
        <w:rPr>
          <w:rFonts w:ascii="Calibri" w:hAnsi="Calibri"/>
          <w:b/>
        </w:rPr>
        <w:t xml:space="preserve">Current React status. </w:t>
      </w:r>
      <w:r>
        <w:rPr>
          <w:rFonts w:ascii="Calibri" w:hAnsi="Calibri"/>
        </w:rPr>
        <w:t>Current React page has a clearer summary and now references the guide, but it still needs the full “who/what” content from WordPress to feel complete.</w:t>
      </w:r>
    </w:p>
    <w:p>
      <w:pPr>
        <w:pStyle w:val="Heading3"/>
      </w:pPr>
      <w:r>
        <w:rPr>
          <w:rFonts w:ascii="Calibri" w:hAnsi="Calibri"/>
        </w:rPr>
        <w:t>Legacy WordPress content to retain</w:t>
      </w:r>
    </w:p>
    <w:p>
      <w:pPr>
        <w:pStyle w:val="ListBullet"/>
      </w:pPr>
      <w:r>
        <w:rPr>
          <w:rFonts w:ascii="Calibri" w:hAnsi="Calibri"/>
        </w:rPr>
        <w:t>Purpose: programmes exclusively for women, designed to provide knowledge, understanding and tools for mosque and Islamic centre environments.</w:t>
      </w:r>
    </w:p>
    <w:p>
      <w:pPr>
        <w:pStyle w:val="ListBullet"/>
      </w:pPr>
      <w:r>
        <w:rPr>
          <w:rFonts w:ascii="Calibri" w:hAnsi="Calibri"/>
        </w:rPr>
        <w:t>Guide: Muslim Women, Mosque Governance, Management and Service Delivery Guide, with contributions from women academics, scholars and community activists.</w:t>
      </w:r>
    </w:p>
    <w:p>
      <w:pPr>
        <w:pStyle w:val="ListBullet"/>
      </w:pPr>
      <w:r>
        <w:rPr>
          <w:rFonts w:ascii="Calibri" w:hAnsi="Calibri"/>
        </w:rPr>
        <w:t>Aim of guide: develop women leadership in mosque governance, organisation and structure; encourage participation and excellent service leadership so the mosque becomes a transformative space.</w:t>
      </w:r>
    </w:p>
    <w:p>
      <w:pPr>
        <w:pStyle w:val="ListBullet"/>
      </w:pPr>
      <w:r>
        <w:rPr>
          <w:rFonts w:ascii="Calibri" w:hAnsi="Calibri"/>
        </w:rPr>
        <w:t>Expert training structure: Historical Reference, Solutions and Sustainability.</w:t>
      </w:r>
    </w:p>
    <w:p>
      <w:pPr>
        <w:pStyle w:val="ListBullet"/>
      </w:pPr>
      <w:r>
        <w:rPr>
          <w:rFonts w:ascii="Calibri" w:hAnsi="Calibri"/>
        </w:rPr>
        <w:t>Historical Reference: examples of women as pillars of mosques at the time of the Prophet and their important roles.</w:t>
      </w:r>
    </w:p>
    <w:p>
      <w:pPr>
        <w:pStyle w:val="ListBullet"/>
      </w:pPr>
      <w:r>
        <w:rPr>
          <w:rFonts w:ascii="Calibri" w:hAnsi="Calibri"/>
        </w:rPr>
        <w:t>Solutions: examples of roles in mosque operations, including convert care, counselling services, chaplaincy and staff recruitment.</w:t>
      </w:r>
    </w:p>
    <w:p>
      <w:pPr>
        <w:pStyle w:val="ListBullet"/>
      </w:pPr>
      <w:r>
        <w:rPr>
          <w:rFonts w:ascii="Calibri" w:hAnsi="Calibri"/>
        </w:rPr>
        <w:t>Sustainability: how different community members can manage mosque roles successfully over the long term.</w:t>
      </w:r>
    </w:p>
    <w:p>
      <w:pPr>
        <w:pStyle w:val="Heading3"/>
      </w:pPr>
      <w:r>
        <w:rPr>
          <w:rFonts w:ascii="Calibri" w:hAnsi="Calibri"/>
        </w:rPr>
        <w:t>Recommended page update</w:t>
      </w:r>
    </w:p>
    <w:p>
      <w:pPr>
        <w:pStyle w:val="ListBullet"/>
      </w:pPr>
      <w:r>
        <w:rPr>
          <w:rFonts w:ascii="Calibri" w:hAnsi="Calibri"/>
        </w:rPr>
        <w:t>Add a dedicated “Who this is for” section for women contributors, mosque leaders and institutions widening participation.</w:t>
      </w:r>
    </w:p>
    <w:p>
      <w:pPr>
        <w:pStyle w:val="ListBullet"/>
      </w:pPr>
      <w:r>
        <w:rPr>
          <w:rFonts w:ascii="Calibri" w:hAnsi="Calibri"/>
        </w:rPr>
        <w:t>Add a “Training structure” section with the three WordPress pillars: Historical Reference, Solutions and Sustainability.</w:t>
      </w:r>
    </w:p>
    <w:p>
      <w:pPr>
        <w:pStyle w:val="ListBullet"/>
      </w:pPr>
      <w:r>
        <w:rPr>
          <w:rFonts w:ascii="Calibri" w:hAnsi="Calibri"/>
        </w:rPr>
        <w:t>Include a guide download CTA if the file/link is available in the publications data.</w:t>
      </w:r>
    </w:p>
    <w:p>
      <w:pPr>
        <w:pStyle w:val="Heading2"/>
      </w:pPr>
      <w:r>
        <w:rPr>
          <w:rFonts w:ascii="Calibri" w:hAnsi="Calibri"/>
        </w:rPr>
        <w:t>3.5 Mosque Election Management</w:t>
      </w:r>
    </w:p>
    <w:p>
      <w:r>
        <w:rPr>
          <w:rFonts w:ascii="Calibri" w:hAnsi="Calibri"/>
        </w:rPr>
        <w:t xml:space="preserve">Old WordPress source: </w:t>
      </w:r>
      <w:hyperlink r:id="rId15">
        <w:r>
          <w:rPr>
            <w:color w:val="0563C1"/>
            <w:u w:val="single"/>
          </w:rPr>
          <w:t>https://faithassociates.co.uk/mosque-election-management/</w:t>
        </w:r>
      </w:hyperlink>
    </w:p>
    <w:p>
      <w:r>
        <w:rPr>
          <w:rFonts w:ascii="Calibri" w:hAnsi="Calibri"/>
          <w:b/>
        </w:rPr>
        <w:t xml:space="preserve">Current React status. </w:t>
      </w:r>
      <w:r>
        <w:rPr>
          <w:rFonts w:ascii="Calibri" w:hAnsi="Calibri"/>
        </w:rPr>
        <w:t>Current React page is close to the old content and now has the Beacon Mosque external CTA requested by the stakeholder. It should retain the benefits section more explicitly.</w:t>
      </w:r>
    </w:p>
    <w:p>
      <w:pPr>
        <w:pStyle w:val="Heading3"/>
      </w:pPr>
      <w:r>
        <w:rPr>
          <w:rFonts w:ascii="Calibri" w:hAnsi="Calibri"/>
        </w:rPr>
        <w:t>Legacy WordPress content to retain</w:t>
      </w:r>
    </w:p>
    <w:p>
      <w:pPr>
        <w:pStyle w:val="ListBullet"/>
      </w:pPr>
      <w:r>
        <w:rPr>
          <w:rFonts w:ascii="Calibri" w:hAnsi="Calibri"/>
        </w:rPr>
        <w:t>Purpose: professional mosque election management covering transparent, fair and efficient handling from voter registration to final result declaration.</w:t>
      </w:r>
    </w:p>
    <w:p>
      <w:pPr>
        <w:pStyle w:val="ListBullet"/>
      </w:pPr>
      <w:r>
        <w:rPr>
          <w:rFonts w:ascii="Calibri" w:hAnsi="Calibri"/>
        </w:rPr>
        <w:t>Positioning: transparent mosque election guidance with “Guide My Election” action.</w:t>
      </w:r>
    </w:p>
    <w:p>
      <w:pPr>
        <w:pStyle w:val="ListBullet"/>
      </w:pPr>
      <w:r>
        <w:rPr>
          <w:rFonts w:ascii="Calibri" w:hAnsi="Calibri"/>
        </w:rPr>
        <w:t>Services: voter registration and management, election planning and strategy, voting system setup and management, monitoring and compliance, post-election support.</w:t>
      </w:r>
    </w:p>
    <w:p>
      <w:pPr>
        <w:pStyle w:val="ListBullet"/>
      </w:pPr>
      <w:r>
        <w:rPr>
          <w:rFonts w:ascii="Calibri" w:hAnsi="Calibri"/>
        </w:rPr>
        <w:t>Benefits: transparency and integrity, efficiency and accessibility, compliance and security.</w:t>
      </w:r>
    </w:p>
    <w:p>
      <w:pPr>
        <w:pStyle w:val="ListBullet"/>
      </w:pPr>
      <w:r>
        <w:rPr>
          <w:rFonts w:ascii="Calibri" w:hAnsi="Calibri"/>
        </w:rPr>
        <w:t>CTA: book a conversation / free consultation. Stakeholder also requested this page be linked to BM / Beacon Mosque.</w:t>
      </w:r>
    </w:p>
    <w:p>
      <w:pPr>
        <w:pStyle w:val="Heading3"/>
      </w:pPr>
      <w:r>
        <w:rPr>
          <w:rFonts w:ascii="Calibri" w:hAnsi="Calibri"/>
        </w:rPr>
        <w:t>Recommended page update</w:t>
      </w:r>
    </w:p>
    <w:p>
      <w:pPr>
        <w:pStyle w:val="ListBullet"/>
      </w:pPr>
      <w:r>
        <w:rPr>
          <w:rFonts w:ascii="Calibri" w:hAnsi="Calibri"/>
        </w:rPr>
        <w:t>Keep the current direct Beacon Mosque CTA, but add an internal “Book a conversation” secondary CTA for users who need Faith Associates support.</w:t>
      </w:r>
    </w:p>
    <w:p>
      <w:pPr>
        <w:pStyle w:val="ListBullet"/>
      </w:pPr>
      <w:r>
        <w:rPr>
          <w:rFonts w:ascii="Calibri" w:hAnsi="Calibri"/>
        </w:rPr>
        <w:t>Add a benefits strip using the three old WordPress benefits.</w:t>
      </w:r>
    </w:p>
    <w:p>
      <w:pPr>
        <w:pStyle w:val="ListBullet"/>
      </w:pPr>
      <w:r>
        <w:rPr>
          <w:rFonts w:ascii="Calibri" w:hAnsi="Calibri"/>
        </w:rPr>
        <w:t>Keep the service cards concise and avoid returning to the dense old layout.</w:t>
      </w:r>
    </w:p>
    <w:p>
      <w:pPr>
        <w:pStyle w:val="Heading2"/>
      </w:pPr>
      <w:r>
        <w:rPr>
          <w:rFonts w:ascii="Calibri" w:hAnsi="Calibri"/>
        </w:rPr>
        <w:t>3.6 Safety</w:t>
      </w:r>
    </w:p>
    <w:p>
      <w:r>
        <w:rPr>
          <w:rFonts w:ascii="Calibri" w:hAnsi="Calibri"/>
        </w:rPr>
        <w:t xml:space="preserve">Old WordPress source: </w:t>
      </w:r>
      <w:hyperlink r:id="rId16">
        <w:r>
          <w:rPr>
            <w:color w:val="0563C1"/>
            <w:u w:val="single"/>
          </w:rPr>
          <w:t>https://faithassociates.co.uk/safety/</w:t>
        </w:r>
      </w:hyperlink>
    </w:p>
    <w:p>
      <w:r>
        <w:rPr>
          <w:rFonts w:ascii="Calibri" w:hAnsi="Calibri"/>
          <w:b/>
        </w:rPr>
        <w:t xml:space="preserve">Current React status. </w:t>
      </w:r>
      <w:r>
        <w:rPr>
          <w:rFonts w:ascii="Calibri" w:hAnsi="Calibri"/>
        </w:rPr>
        <w:t>Current React safety catalogue captures online/offline safety and publications, and now includes a partnership section. It should be expanded to better match the old WordPress narrative.</w:t>
      </w:r>
    </w:p>
    <w:p>
      <w:pPr>
        <w:pStyle w:val="Heading3"/>
      </w:pPr>
      <w:r>
        <w:rPr>
          <w:rFonts w:ascii="Calibri" w:hAnsi="Calibri"/>
        </w:rPr>
        <w:t>Legacy WordPress content to retain</w:t>
      </w:r>
    </w:p>
    <w:p>
      <w:pPr>
        <w:pStyle w:val="ListBullet"/>
      </w:pPr>
      <w:r>
        <w:rPr>
          <w:rFonts w:ascii="Calibri" w:hAnsi="Calibri"/>
        </w:rPr>
        <w:t>Opening: Faith Associates as safety experts working online and offline to improve safeguarding and institutional security, with award-winning training delivered globally for over 15 years.</w:t>
      </w:r>
    </w:p>
    <w:p>
      <w:pPr>
        <w:pStyle w:val="ListBullet"/>
      </w:pPr>
      <w:r>
        <w:rPr>
          <w:rFonts w:ascii="Calibri" w:hAnsi="Calibri"/>
        </w:rPr>
        <w:t>What we stand for: welfare of children and adults online and in Islamic institutions, plus protection of mosques and congregations from a security point of view.</w:t>
      </w:r>
    </w:p>
    <w:p>
      <w:pPr>
        <w:pStyle w:val="ListBullet"/>
      </w:pPr>
      <w:r>
        <w:rPr>
          <w:rFonts w:ascii="Calibri" w:hAnsi="Calibri"/>
        </w:rPr>
        <w:t>Our work for change: 15 years improving quality standards and developing training for mosques and madrassahs.</w:t>
      </w:r>
    </w:p>
    <w:p>
      <w:pPr>
        <w:pStyle w:val="ListBullet"/>
      </w:pPr>
      <w:r>
        <w:rPr>
          <w:rFonts w:ascii="Calibri" w:hAnsi="Calibri"/>
        </w:rPr>
        <w:t>Muslim Digital Safety Ambassadors Programme: free interactive mentoring, technical and peer-led classroom training to challenge hate, react positively and build resilience.</w:t>
      </w:r>
    </w:p>
    <w:p>
      <w:pPr>
        <w:pStyle w:val="ListBullet"/>
      </w:pPr>
      <w:r>
        <w:rPr>
          <w:rFonts w:ascii="Calibri" w:hAnsi="Calibri"/>
        </w:rPr>
        <w:t>Model Digital Citizens: supported by Google and the London Mayor’s Office, with presentation ceremony in London.</w:t>
      </w:r>
    </w:p>
    <w:p>
      <w:pPr>
        <w:pStyle w:val="ListBullet"/>
      </w:pPr>
      <w:r>
        <w:rPr>
          <w:rFonts w:ascii="Calibri" w:hAnsi="Calibri"/>
        </w:rPr>
        <w:t>Online Safety links: Facebook Safety Guide, Keeping Young Muslims Safe Online Workshop, Digital Safety Ambassadors Programme, Muslim Digital Citizens Guide infographic and animation, E-Safety Training.</w:t>
      </w:r>
    </w:p>
    <w:p>
      <w:pPr>
        <w:pStyle w:val="ListBullet"/>
      </w:pPr>
      <w:r>
        <w:rPr>
          <w:rFonts w:ascii="Calibri" w:hAnsi="Calibri"/>
        </w:rPr>
        <w:t>Offline Safety links: Madrassah Safeguarding Guide, Safeguarding Guide for Faith Institutions, Level 1 Safeguarding Training, Mosque Security safety training.</w:t>
      </w:r>
    </w:p>
    <w:p>
      <w:pPr>
        <w:pStyle w:val="ListBullet"/>
      </w:pPr>
      <w:r>
        <w:rPr>
          <w:rFonts w:ascii="Calibri" w:hAnsi="Calibri"/>
        </w:rPr>
        <w:t>Safety Publications: Madrassah Management Safeguarding Guide, Safeguarding guide, Madrassah Teacher Safeguarding Card, Safety Checklist Guide, Facebook Safety Guide and Muslim Digital Citizens Toolkit.</w:t>
      </w:r>
    </w:p>
    <w:p>
      <w:pPr>
        <w:pStyle w:val="ListBullet"/>
      </w:pPr>
      <w:r>
        <w:rPr>
          <w:rFonts w:ascii="Calibri" w:hAnsi="Calibri"/>
        </w:rPr>
        <w:t>Partnership requirement: WordPress explicitly notes that the Safety page needs a partnership section showing organisations Faith Associates have partnered with.</w:t>
      </w:r>
    </w:p>
    <w:p>
      <w:pPr>
        <w:pStyle w:val="Heading3"/>
      </w:pPr>
      <w:r>
        <w:rPr>
          <w:rFonts w:ascii="Calibri" w:hAnsi="Calibri"/>
        </w:rPr>
        <w:t>Recommended page update</w:t>
      </w:r>
    </w:p>
    <w:p>
      <w:pPr>
        <w:pStyle w:val="ListBullet"/>
      </w:pPr>
      <w:r>
        <w:rPr>
          <w:rFonts w:ascii="Calibri" w:hAnsi="Calibri"/>
        </w:rPr>
        <w:t>Use a stronger safety landing-page layout than the generic service catalogue: hero, mission, online/offline split, programme spotlight, publications, partners and CTA.</w:t>
      </w:r>
    </w:p>
    <w:p>
      <w:pPr>
        <w:pStyle w:val="ListBullet"/>
      </w:pPr>
      <w:r>
        <w:rPr>
          <w:rFonts w:ascii="Calibri" w:hAnsi="Calibri"/>
        </w:rPr>
        <w:t>Keep the new partner cards but add London Mayor’s Office if confirmed as an asset/source.</w:t>
      </w:r>
    </w:p>
    <w:p>
      <w:pPr>
        <w:pStyle w:val="ListBullet"/>
      </w:pPr>
      <w:r>
        <w:rPr>
          <w:rFonts w:ascii="Calibri" w:hAnsi="Calibri"/>
        </w:rPr>
        <w:t>Preserve the Prophet Muhammad quote as an optional closing trust/ethos section if approved by stakeholders.</w:t>
      </w:r>
    </w:p>
    <w:p>
      <w:pPr>
        <w:pStyle w:val="Heading1"/>
      </w:pPr>
      <w:r>
        <w:rPr>
          <w:rFonts w:ascii="Calibri" w:hAnsi="Calibri"/>
        </w:rPr>
        <w:t>4. Content Gap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F2F4F7"/>
            <w:vAlign w:val="top"/>
            <w:tcMar>
              <w:top w:w="80" w:type="dxa"/>
              <w:bottom w:w="80" w:type="dxa"/>
              <w:start w:w="120" w:type="dxa"/>
              <w:end w:w="120" w:type="dxa"/>
            </w:tcMar>
          </w:tcPr>
          <w:p>
            <w:pPr>
              <w:spacing w:after="40"/>
            </w:pPr>
            <w:r/>
            <w:r>
              <w:rPr>
                <w:b/>
                <w:color w:val="0B2545"/>
                <w:sz w:val="18"/>
              </w:rPr>
              <w:t>Page</w:t>
            </w:r>
          </w:p>
        </w:tc>
        <w:tc>
          <w:tcPr>
            <w:tcW w:type="dxa" w:w="2340"/>
            <w:shd w:fill="F2F4F7"/>
            <w:vAlign w:val="top"/>
            <w:tcMar>
              <w:top w:w="80" w:type="dxa"/>
              <w:bottom w:w="80" w:type="dxa"/>
              <w:start w:w="120" w:type="dxa"/>
              <w:end w:w="120" w:type="dxa"/>
            </w:tcMar>
          </w:tcPr>
          <w:p>
            <w:pPr>
              <w:spacing w:after="40"/>
            </w:pPr>
            <w:r/>
            <w:r>
              <w:rPr>
                <w:b/>
                <w:color w:val="0B2545"/>
                <w:sz w:val="18"/>
              </w:rPr>
              <w:t>Priority</w:t>
            </w:r>
          </w:p>
        </w:tc>
        <w:tc>
          <w:tcPr>
            <w:tcW w:type="dxa" w:w="2340"/>
            <w:shd w:fill="F2F4F7"/>
            <w:vAlign w:val="top"/>
            <w:tcMar>
              <w:top w:w="80" w:type="dxa"/>
              <w:bottom w:w="80" w:type="dxa"/>
              <w:start w:w="120" w:type="dxa"/>
              <w:end w:w="120" w:type="dxa"/>
            </w:tcMar>
          </w:tcPr>
          <w:p>
            <w:pPr>
              <w:spacing w:after="40"/>
            </w:pPr>
            <w:r/>
            <w:r>
              <w:rPr>
                <w:b/>
                <w:color w:val="0B2545"/>
                <w:sz w:val="18"/>
              </w:rPr>
              <w:t>Main gap</w:t>
            </w:r>
          </w:p>
        </w:tc>
        <w:tc>
          <w:tcPr>
            <w:tcW w:type="dxa" w:w="2340"/>
            <w:shd w:fill="F2F4F7"/>
            <w:vAlign w:val="top"/>
            <w:tcMar>
              <w:top w:w="80" w:type="dxa"/>
              <w:bottom w:w="80" w:type="dxa"/>
              <w:start w:w="120" w:type="dxa"/>
              <w:end w:w="120" w:type="dxa"/>
            </w:tcMar>
          </w:tcPr>
          <w:p>
            <w:pPr>
              <w:spacing w:after="40"/>
            </w:pPr>
            <w:r/>
            <w:r>
              <w:rPr>
                <w:b/>
                <w:color w:val="0B2545"/>
                <w:sz w:val="18"/>
              </w:rPr>
              <w:t>Action before final approval</w:t>
            </w:r>
          </w:p>
        </w:tc>
      </w:tr>
      <w:tr>
        <w:tc>
          <w:tcPr>
            <w:tcW w:type="dxa" w:w="2340"/>
            <w:vAlign w:val="top"/>
            <w:tcMar>
              <w:top w:w="80" w:type="dxa"/>
              <w:bottom w:w="80" w:type="dxa"/>
              <w:start w:w="120" w:type="dxa"/>
              <w:end w:w="120" w:type="dxa"/>
            </w:tcMar>
          </w:tcPr>
          <w:p>
            <w:pPr>
              <w:spacing w:after="40"/>
            </w:pPr>
            <w:r/>
            <w:r>
              <w:rPr>
                <w:b/>
                <w:sz w:val="18"/>
              </w:rPr>
              <w:t>1-day training</w:t>
            </w:r>
          </w:p>
        </w:tc>
        <w:tc>
          <w:tcPr>
            <w:tcW w:type="dxa" w:w="2340"/>
            <w:vAlign w:val="top"/>
            <w:tcMar>
              <w:top w:w="80" w:type="dxa"/>
              <w:bottom w:w="80" w:type="dxa"/>
              <w:start w:w="120" w:type="dxa"/>
              <w:end w:w="120" w:type="dxa"/>
            </w:tcMar>
          </w:tcPr>
          <w:p>
            <w:pPr>
              <w:spacing w:after="40"/>
            </w:pPr>
            <w:r/>
            <w:r>
              <w:rPr>
                <w:b w:val="0"/>
                <w:sz w:val="18"/>
              </w:rPr>
              <w:t>High</w:t>
            </w:r>
          </w:p>
        </w:tc>
        <w:tc>
          <w:tcPr>
            <w:tcW w:type="dxa" w:w="2340"/>
            <w:vAlign w:val="top"/>
            <w:tcMar>
              <w:top w:w="80" w:type="dxa"/>
              <w:bottom w:w="80" w:type="dxa"/>
              <w:start w:w="120" w:type="dxa"/>
              <w:end w:w="120" w:type="dxa"/>
            </w:tcMar>
          </w:tcPr>
          <w:p>
            <w:pPr>
              <w:spacing w:after="40"/>
            </w:pPr>
            <w:r/>
            <w:r>
              <w:rPr>
                <w:b w:val="0"/>
                <w:sz w:val="18"/>
              </w:rPr>
              <w:t>Detailed training-content list and what-is-included list are too compressed.</w:t>
            </w:r>
          </w:p>
        </w:tc>
        <w:tc>
          <w:tcPr>
            <w:tcW w:type="dxa" w:w="2340"/>
            <w:vAlign w:val="top"/>
            <w:tcMar>
              <w:top w:w="80" w:type="dxa"/>
              <w:bottom w:w="80" w:type="dxa"/>
              <w:start w:w="120" w:type="dxa"/>
              <w:end w:w="120" w:type="dxa"/>
            </w:tcMar>
          </w:tcPr>
          <w:p>
            <w:pPr>
              <w:spacing w:after="40"/>
            </w:pPr>
            <w:r/>
            <w:r>
              <w:rPr>
                <w:b w:val="0"/>
                <w:sz w:val="18"/>
              </w:rPr>
              <w:t>Add Training Content and What It Includes blocks.</w:t>
            </w:r>
          </w:p>
        </w:tc>
      </w:tr>
      <w:tr>
        <w:tc>
          <w:tcPr>
            <w:tcW w:type="dxa" w:w="2340"/>
            <w:vAlign w:val="top"/>
            <w:tcMar>
              <w:top w:w="80" w:type="dxa"/>
              <w:bottom w:w="80" w:type="dxa"/>
              <w:start w:w="120" w:type="dxa"/>
              <w:end w:w="120" w:type="dxa"/>
            </w:tcMar>
          </w:tcPr>
          <w:p>
            <w:pPr>
              <w:spacing w:after="40"/>
            </w:pPr>
            <w:r/>
            <w:r>
              <w:rPr>
                <w:b/>
                <w:sz w:val="18"/>
              </w:rPr>
              <w:t>2-day training</w:t>
            </w:r>
          </w:p>
        </w:tc>
        <w:tc>
          <w:tcPr>
            <w:tcW w:type="dxa" w:w="2340"/>
            <w:vAlign w:val="top"/>
            <w:tcMar>
              <w:top w:w="80" w:type="dxa"/>
              <w:bottom w:w="80" w:type="dxa"/>
              <w:start w:w="120" w:type="dxa"/>
              <w:end w:w="120" w:type="dxa"/>
            </w:tcMar>
          </w:tcPr>
          <w:p>
            <w:pPr>
              <w:spacing w:after="40"/>
            </w:pPr>
            <w:r/>
            <w:r>
              <w:rPr>
                <w:b w:val="0"/>
                <w:sz w:val="18"/>
              </w:rPr>
              <w:t>High</w:t>
            </w:r>
          </w:p>
        </w:tc>
        <w:tc>
          <w:tcPr>
            <w:tcW w:type="dxa" w:w="2340"/>
            <w:vAlign w:val="top"/>
            <w:tcMar>
              <w:top w:w="80" w:type="dxa"/>
              <w:bottom w:w="80" w:type="dxa"/>
              <w:start w:w="120" w:type="dxa"/>
              <w:end w:w="120" w:type="dxa"/>
            </w:tcMar>
          </w:tcPr>
          <w:p>
            <w:pPr>
              <w:spacing w:after="40"/>
            </w:pPr>
            <w:r/>
            <w:r>
              <w:rPr>
                <w:b w:val="0"/>
                <w:sz w:val="18"/>
              </w:rPr>
              <w:t>Advanced curriculum topics are not visible enough.</w:t>
            </w:r>
          </w:p>
        </w:tc>
        <w:tc>
          <w:tcPr>
            <w:tcW w:type="dxa" w:w="2340"/>
            <w:vAlign w:val="top"/>
            <w:tcMar>
              <w:top w:w="80" w:type="dxa"/>
              <w:bottom w:w="80" w:type="dxa"/>
              <w:start w:w="120" w:type="dxa"/>
              <w:end w:w="120" w:type="dxa"/>
            </w:tcMar>
          </w:tcPr>
          <w:p>
            <w:pPr>
              <w:spacing w:after="40"/>
            </w:pPr>
            <w:r/>
            <w:r>
              <w:rPr>
                <w:b w:val="0"/>
                <w:sz w:val="18"/>
              </w:rPr>
              <w:t>Add Programme at a Glance with finance, madrassah, safeguarding and legal structures.</w:t>
            </w:r>
          </w:p>
        </w:tc>
      </w:tr>
      <w:tr>
        <w:tc>
          <w:tcPr>
            <w:tcW w:type="dxa" w:w="2340"/>
            <w:vAlign w:val="top"/>
            <w:tcMar>
              <w:top w:w="80" w:type="dxa"/>
              <w:bottom w:w="80" w:type="dxa"/>
              <w:start w:w="120" w:type="dxa"/>
              <w:end w:w="120" w:type="dxa"/>
            </w:tcMar>
          </w:tcPr>
          <w:p>
            <w:pPr>
              <w:spacing w:after="40"/>
            </w:pPr>
            <w:r/>
            <w:r>
              <w:rPr>
                <w:b/>
                <w:sz w:val="18"/>
              </w:rPr>
              <w:t>Safer Recruitment</w:t>
            </w:r>
          </w:p>
        </w:tc>
        <w:tc>
          <w:tcPr>
            <w:tcW w:type="dxa" w:w="2340"/>
            <w:vAlign w:val="top"/>
            <w:tcMar>
              <w:top w:w="80" w:type="dxa"/>
              <w:bottom w:w="80" w:type="dxa"/>
              <w:start w:w="120" w:type="dxa"/>
              <w:end w:w="120" w:type="dxa"/>
            </w:tcMar>
          </w:tcPr>
          <w:p>
            <w:pPr>
              <w:spacing w:after="40"/>
            </w:pPr>
            <w:r/>
            <w:r>
              <w:rPr>
                <w:b w:val="0"/>
                <w:sz w:val="18"/>
              </w:rPr>
              <w:t>High</w:t>
            </w:r>
          </w:p>
        </w:tc>
        <w:tc>
          <w:tcPr>
            <w:tcW w:type="dxa" w:w="2340"/>
            <w:vAlign w:val="top"/>
            <w:tcMar>
              <w:top w:w="80" w:type="dxa"/>
              <w:bottom w:w="80" w:type="dxa"/>
              <w:start w:w="120" w:type="dxa"/>
              <w:end w:w="120" w:type="dxa"/>
            </w:tcMar>
          </w:tcPr>
          <w:p>
            <w:pPr>
              <w:spacing w:after="40"/>
            </w:pPr>
            <w:r/>
            <w:r>
              <w:rPr>
                <w:b w:val="0"/>
                <w:sz w:val="18"/>
              </w:rPr>
              <w:t>Course facts, certificate, cost and outcomes missing/underplayed.</w:t>
            </w:r>
          </w:p>
        </w:tc>
        <w:tc>
          <w:tcPr>
            <w:tcW w:type="dxa" w:w="2340"/>
            <w:vAlign w:val="top"/>
            <w:tcMar>
              <w:top w:w="80" w:type="dxa"/>
              <w:bottom w:w="80" w:type="dxa"/>
              <w:start w:w="120" w:type="dxa"/>
              <w:end w:w="120" w:type="dxa"/>
            </w:tcMar>
          </w:tcPr>
          <w:p>
            <w:pPr>
              <w:spacing w:after="40"/>
            </w:pPr>
            <w:r/>
            <w:r>
              <w:rPr>
                <w:b w:val="0"/>
                <w:sz w:val="18"/>
              </w:rPr>
              <w:t>Add Course Facts, Training Content and Expected Outcomes.</w:t>
            </w:r>
          </w:p>
        </w:tc>
      </w:tr>
      <w:tr>
        <w:tc>
          <w:tcPr>
            <w:tcW w:type="dxa" w:w="2340"/>
            <w:vAlign w:val="top"/>
            <w:tcMar>
              <w:top w:w="80" w:type="dxa"/>
              <w:bottom w:w="80" w:type="dxa"/>
              <w:start w:w="120" w:type="dxa"/>
              <w:end w:w="120" w:type="dxa"/>
            </w:tcMar>
          </w:tcPr>
          <w:p>
            <w:pPr>
              <w:spacing w:after="40"/>
            </w:pPr>
            <w:r/>
            <w:r>
              <w:rPr>
                <w:b/>
                <w:sz w:val="18"/>
              </w:rPr>
              <w:t>Women Leadership</w:t>
            </w:r>
          </w:p>
        </w:tc>
        <w:tc>
          <w:tcPr>
            <w:tcW w:type="dxa" w:w="2340"/>
            <w:vAlign w:val="top"/>
            <w:tcMar>
              <w:top w:w="80" w:type="dxa"/>
              <w:bottom w:w="80" w:type="dxa"/>
              <w:start w:w="120" w:type="dxa"/>
              <w:end w:w="120" w:type="dxa"/>
            </w:tcMar>
          </w:tcPr>
          <w:p>
            <w:pPr>
              <w:spacing w:after="40"/>
            </w:pPr>
            <w:r/>
            <w:r>
              <w:rPr>
                <w:b w:val="0"/>
                <w:sz w:val="18"/>
              </w:rPr>
              <w:t>High</w:t>
            </w:r>
          </w:p>
        </w:tc>
        <w:tc>
          <w:tcPr>
            <w:tcW w:type="dxa" w:w="2340"/>
            <w:vAlign w:val="top"/>
            <w:tcMar>
              <w:top w:w="80" w:type="dxa"/>
              <w:bottom w:w="80" w:type="dxa"/>
              <w:start w:w="120" w:type="dxa"/>
              <w:end w:w="120" w:type="dxa"/>
            </w:tcMar>
          </w:tcPr>
          <w:p>
            <w:pPr>
              <w:spacing w:after="40"/>
            </w:pPr>
            <w:r/>
            <w:r>
              <w:rPr>
                <w:b w:val="0"/>
                <w:sz w:val="18"/>
              </w:rPr>
              <w:t>Who/structure content incomplete.</w:t>
            </w:r>
          </w:p>
        </w:tc>
        <w:tc>
          <w:tcPr>
            <w:tcW w:type="dxa" w:w="2340"/>
            <w:vAlign w:val="top"/>
            <w:tcMar>
              <w:top w:w="80" w:type="dxa"/>
              <w:bottom w:w="80" w:type="dxa"/>
              <w:start w:w="120" w:type="dxa"/>
              <w:end w:w="120" w:type="dxa"/>
            </w:tcMar>
          </w:tcPr>
          <w:p>
            <w:pPr>
              <w:spacing w:after="40"/>
            </w:pPr>
            <w:r/>
            <w:r>
              <w:rPr>
                <w:b w:val="0"/>
                <w:sz w:val="18"/>
              </w:rPr>
              <w:t>Add Who It Is For and three-part Expert Training structure.</w:t>
            </w:r>
          </w:p>
        </w:tc>
      </w:tr>
      <w:tr>
        <w:tc>
          <w:tcPr>
            <w:tcW w:type="dxa" w:w="2340"/>
            <w:vAlign w:val="top"/>
            <w:tcMar>
              <w:top w:w="80" w:type="dxa"/>
              <w:bottom w:w="80" w:type="dxa"/>
              <w:start w:w="120" w:type="dxa"/>
              <w:end w:w="120" w:type="dxa"/>
            </w:tcMar>
          </w:tcPr>
          <w:p>
            <w:pPr>
              <w:spacing w:after="40"/>
            </w:pPr>
            <w:r/>
            <w:r>
              <w:rPr>
                <w:b/>
                <w:sz w:val="18"/>
              </w:rPr>
              <w:t>Mosque Election</w:t>
            </w:r>
          </w:p>
        </w:tc>
        <w:tc>
          <w:tcPr>
            <w:tcW w:type="dxa" w:w="2340"/>
            <w:vAlign w:val="top"/>
            <w:tcMar>
              <w:top w:w="80" w:type="dxa"/>
              <w:bottom w:w="80" w:type="dxa"/>
              <w:start w:w="120" w:type="dxa"/>
              <w:end w:w="120" w:type="dxa"/>
            </w:tcMar>
          </w:tcPr>
          <w:p>
            <w:pPr>
              <w:spacing w:after="40"/>
            </w:pPr>
            <w:r/>
            <w:r>
              <w:rPr>
                <w:b w:val="0"/>
                <w:sz w:val="18"/>
              </w:rPr>
              <w:t>Medium</w:t>
            </w:r>
          </w:p>
        </w:tc>
        <w:tc>
          <w:tcPr>
            <w:tcW w:type="dxa" w:w="2340"/>
            <w:vAlign w:val="top"/>
            <w:tcMar>
              <w:top w:w="80" w:type="dxa"/>
              <w:bottom w:w="80" w:type="dxa"/>
              <w:start w:w="120" w:type="dxa"/>
              <w:end w:w="120" w:type="dxa"/>
            </w:tcMar>
          </w:tcPr>
          <w:p>
            <w:pPr>
              <w:spacing w:after="40"/>
            </w:pPr>
            <w:r/>
            <w:r>
              <w:rPr>
                <w:b w:val="0"/>
                <w:sz w:val="18"/>
              </w:rPr>
              <w:t>Benefits should be explicit; BM link now present.</w:t>
            </w:r>
          </w:p>
        </w:tc>
        <w:tc>
          <w:tcPr>
            <w:tcW w:type="dxa" w:w="2340"/>
            <w:vAlign w:val="top"/>
            <w:tcMar>
              <w:top w:w="80" w:type="dxa"/>
              <w:bottom w:w="80" w:type="dxa"/>
              <w:start w:w="120" w:type="dxa"/>
              <w:end w:w="120" w:type="dxa"/>
            </w:tcMar>
          </w:tcPr>
          <w:p>
            <w:pPr>
              <w:spacing w:after="40"/>
            </w:pPr>
            <w:r/>
            <w:r>
              <w:rPr>
                <w:b w:val="0"/>
                <w:sz w:val="18"/>
              </w:rPr>
              <w:t>Add benefits strip and keep Beacon Mosque CTA.</w:t>
            </w:r>
          </w:p>
        </w:tc>
      </w:tr>
      <w:tr>
        <w:tc>
          <w:tcPr>
            <w:tcW w:type="dxa" w:w="2340"/>
            <w:vAlign w:val="top"/>
            <w:tcMar>
              <w:top w:w="80" w:type="dxa"/>
              <w:bottom w:w="80" w:type="dxa"/>
              <w:start w:w="120" w:type="dxa"/>
              <w:end w:w="120" w:type="dxa"/>
            </w:tcMar>
          </w:tcPr>
          <w:p>
            <w:pPr>
              <w:spacing w:after="40"/>
            </w:pPr>
            <w:r/>
            <w:r>
              <w:rPr>
                <w:b/>
                <w:sz w:val="18"/>
              </w:rPr>
              <w:t>Safety</w:t>
            </w:r>
          </w:p>
        </w:tc>
        <w:tc>
          <w:tcPr>
            <w:tcW w:type="dxa" w:w="2340"/>
            <w:vAlign w:val="top"/>
            <w:tcMar>
              <w:top w:w="80" w:type="dxa"/>
              <w:bottom w:w="80" w:type="dxa"/>
              <w:start w:w="120" w:type="dxa"/>
              <w:end w:w="120" w:type="dxa"/>
            </w:tcMar>
          </w:tcPr>
          <w:p>
            <w:pPr>
              <w:spacing w:after="40"/>
            </w:pPr>
            <w:r/>
            <w:r>
              <w:rPr>
                <w:b w:val="0"/>
                <w:sz w:val="18"/>
              </w:rPr>
              <w:t>High</w:t>
            </w:r>
          </w:p>
        </w:tc>
        <w:tc>
          <w:tcPr>
            <w:tcW w:type="dxa" w:w="2340"/>
            <w:vAlign w:val="top"/>
            <w:tcMar>
              <w:top w:w="80" w:type="dxa"/>
              <w:bottom w:w="80" w:type="dxa"/>
              <w:start w:w="120" w:type="dxa"/>
              <w:end w:w="120" w:type="dxa"/>
            </w:tcMar>
          </w:tcPr>
          <w:p>
            <w:pPr>
              <w:spacing w:after="40"/>
            </w:pPr>
            <w:r/>
            <w:r>
              <w:rPr>
                <w:b w:val="0"/>
                <w:sz w:val="18"/>
              </w:rPr>
              <w:t>Old page is a full safety landing page, not a simple service list.</w:t>
            </w:r>
          </w:p>
        </w:tc>
        <w:tc>
          <w:tcPr>
            <w:tcW w:type="dxa" w:w="2340"/>
            <w:vAlign w:val="top"/>
            <w:tcMar>
              <w:top w:w="80" w:type="dxa"/>
              <w:bottom w:w="80" w:type="dxa"/>
              <w:start w:w="120" w:type="dxa"/>
              <w:end w:w="120" w:type="dxa"/>
            </w:tcMar>
          </w:tcPr>
          <w:p>
            <w:pPr>
              <w:spacing w:after="40"/>
            </w:pPr>
            <w:r/>
            <w:r>
              <w:rPr>
                <w:b w:val="0"/>
                <w:sz w:val="18"/>
              </w:rPr>
              <w:t>Rework as mission + online/offline + programme + publications + partners.</w:t>
            </w:r>
          </w:p>
        </w:tc>
      </w:tr>
    </w:tbl>
    <w:p>
      <w:pPr>
        <w:pStyle w:val="Heading1"/>
      </w:pPr>
      <w:r>
        <w:rPr>
          <w:rFonts w:ascii="Calibri" w:hAnsi="Calibri"/>
        </w:rPr>
        <w:t>5. Source URLs</w:t>
      </w:r>
    </w:p>
    <w:p>
      <w:r>
        <w:rPr>
          <w:rFonts w:ascii="Calibri" w:hAnsi="Calibri"/>
          <w:b/>
        </w:rPr>
        <w:t xml:space="preserve">1-day WordPress page: </w:t>
      </w:r>
      <w:hyperlink r:id="rId11">
        <w:r>
          <w:rPr>
            <w:color w:val="0563C1"/>
            <w:u w:val="single"/>
          </w:rPr>
          <w:t>https://faithassociates.co.uk/services/1-day-mosque-management-governance-master-class-training/</w:t>
        </w:r>
      </w:hyperlink>
    </w:p>
    <w:p>
      <w:r>
        <w:rPr>
          <w:rFonts w:ascii="Calibri" w:hAnsi="Calibri"/>
          <w:b/>
        </w:rPr>
        <w:t xml:space="preserve">2-day WordPress page: </w:t>
      </w:r>
      <w:hyperlink r:id="rId12">
        <w:r>
          <w:rPr>
            <w:color w:val="0563C1"/>
            <w:u w:val="single"/>
          </w:rPr>
          <w:t>https://faithassociates.co.uk/services/2-day-mosque-management-governance-master-class-training/</w:t>
        </w:r>
      </w:hyperlink>
    </w:p>
    <w:p>
      <w:r>
        <w:rPr>
          <w:rFonts w:ascii="Calibri" w:hAnsi="Calibri"/>
          <w:b/>
        </w:rPr>
        <w:t xml:space="preserve">Safer Recruitment WordPress page: </w:t>
      </w:r>
      <w:hyperlink r:id="rId13">
        <w:r>
          <w:rPr>
            <w:color w:val="0563C1"/>
            <w:u w:val="single"/>
          </w:rPr>
          <w:t>https://faithassociates.co.uk/services/safer-recruitment-training/</w:t>
        </w:r>
      </w:hyperlink>
    </w:p>
    <w:p>
      <w:r>
        <w:rPr>
          <w:rFonts w:ascii="Calibri" w:hAnsi="Calibri"/>
          <w:b/>
        </w:rPr>
        <w:t xml:space="preserve">Women in Mosque Leadership WordPress page: </w:t>
      </w:r>
      <w:hyperlink r:id="rId14">
        <w:r>
          <w:rPr>
            <w:color w:val="0563C1"/>
            <w:u w:val="single"/>
          </w:rPr>
          <w:t>https://faithassociates.co.uk/services/women-in-mosque-leadership/</w:t>
        </w:r>
      </w:hyperlink>
    </w:p>
    <w:p>
      <w:r>
        <w:rPr>
          <w:rFonts w:ascii="Calibri" w:hAnsi="Calibri"/>
          <w:b/>
        </w:rPr>
        <w:t xml:space="preserve">Mosque Election Management WordPress page: </w:t>
      </w:r>
      <w:hyperlink r:id="rId15">
        <w:r>
          <w:rPr>
            <w:color w:val="0563C1"/>
            <w:u w:val="single"/>
          </w:rPr>
          <w:t>https://faithassociates.co.uk/mosque-election-management/</w:t>
        </w:r>
      </w:hyperlink>
    </w:p>
    <w:p>
      <w:r>
        <w:rPr>
          <w:rFonts w:ascii="Calibri" w:hAnsi="Calibri"/>
          <w:b/>
        </w:rPr>
        <w:t xml:space="preserve">Safety WordPress page: </w:t>
      </w:r>
      <w:hyperlink r:id="rId16">
        <w:r>
          <w:rPr>
            <w:color w:val="0563C1"/>
            <w:u w:val="single"/>
          </w:rPr>
          <w:t>https://faithassociates.co.uk/safety/</w:t>
        </w:r>
      </w:hyperlink>
    </w:p>
    <w:p>
      <w:r>
        <w:rPr>
          <w:rFonts w:ascii="Calibri" w:hAnsi="Calibri"/>
          <w:b/>
        </w:rPr>
        <w:t xml:space="preserve">React mockup: </w:t>
      </w:r>
      <w:hyperlink r:id="rId10">
        <w:r>
          <w:rPr>
            <w:color w:val="0563C1"/>
            <w:u w:val="single"/>
          </w:rPr>
          <w:t>https://faith-associates.vercel.app/mockups/service-page</w:t>
        </w:r>
      </w:hyperlink>
    </w:p>
    <w:p>
      <w:pPr>
        <w:pStyle w:val="Heading1"/>
      </w:pPr>
      <w:r>
        <w:rPr>
          <w:rFonts w:ascii="Calibri" w:hAnsi="Calibri"/>
        </w:rPr>
        <w:t>6. Approval Questions</w:t>
      </w:r>
    </w:p>
    <w:p>
      <w:pPr>
        <w:pStyle w:val="ListNumber"/>
      </w:pPr>
      <w:r>
        <w:rPr>
          <w:rFonts w:ascii="Calibri" w:hAnsi="Calibri"/>
        </w:rPr>
        <w:t>Confirm whether Safer Recruitment pricing should still show GBP 595 + VAT for up to 20 delegates.</w:t>
      </w:r>
    </w:p>
    <w:p>
      <w:pPr>
        <w:pStyle w:val="ListNumber"/>
      </w:pPr>
      <w:r>
        <w:rPr>
          <w:rFonts w:ascii="Calibri" w:hAnsi="Calibri"/>
        </w:rPr>
        <w:t>Confirm the current download URL for the Women in Mosque Leadership guide.</w:t>
      </w:r>
    </w:p>
    <w:p>
      <w:pPr>
        <w:pStyle w:val="ListNumber"/>
      </w:pPr>
      <w:r>
        <w:rPr>
          <w:rFonts w:ascii="Calibri" w:hAnsi="Calibri"/>
        </w:rPr>
        <w:t>Confirm whether London Mayor’s Office should appear in the Safety partner section and provide the approved logo asset if required.</w:t>
      </w:r>
    </w:p>
    <w:p>
      <w:pPr>
        <w:pStyle w:val="ListNumber"/>
      </w:pPr>
      <w:r>
        <w:rPr>
          <w:rFonts w:ascii="Calibri" w:hAnsi="Calibri"/>
        </w:rPr>
        <w:t>Confirm whether the Prophet Muhammad quote from the old Safety page should remain on the React page.</w:t>
      </w:r>
    </w:p>
    <w:p>
      <w:pPr>
        <w:pStyle w:val="ListNumber"/>
      </w:pPr>
      <w:r>
        <w:rPr>
          <w:rFonts w:ascii="Calibri" w:hAnsi="Calibri"/>
        </w:rPr>
        <w:t>Confirm whether Beacon Mosque should be the primary CTA or secondary CTA on Mosque Election Management.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Faith Associates service content comparison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aith-associates.vercel.app/mockups/service-page" TargetMode="External"/><Relationship Id="rId11" Type="http://schemas.openxmlformats.org/officeDocument/2006/relationships/hyperlink" Target="https://faithassociates.co.uk/services/1-day-mosque-management-governance-master-class-training/" TargetMode="External"/><Relationship Id="rId12" Type="http://schemas.openxmlformats.org/officeDocument/2006/relationships/hyperlink" Target="https://faithassociates.co.uk/services/2-day-mosque-management-governance-master-class-training/" TargetMode="External"/><Relationship Id="rId13" Type="http://schemas.openxmlformats.org/officeDocument/2006/relationships/hyperlink" Target="https://faithassociates.co.uk/services/safer-recruitment-training/" TargetMode="External"/><Relationship Id="rId14" Type="http://schemas.openxmlformats.org/officeDocument/2006/relationships/hyperlink" Target="https://faithassociates.co.uk/services/women-in-mosque-leadership/" TargetMode="External"/><Relationship Id="rId15" Type="http://schemas.openxmlformats.org/officeDocument/2006/relationships/hyperlink" Target="https://faithassociates.co.uk/mosque-election-management/" TargetMode="External"/><Relationship Id="rId16" Type="http://schemas.openxmlformats.org/officeDocument/2006/relationships/hyperlink" Target="https://faithassociates.co.uk/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