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88F2A">
      <w:pPr>
        <w:spacing w:line="360" w:lineRule="auto"/>
        <w:ind w:firstLine="2037" w:firstLineChars="634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</w:rPr>
        <w:t>Project Design Phase</w:t>
      </w:r>
    </w:p>
    <w:p w14:paraId="12D4C7B4">
      <w:pPr>
        <w:spacing w:line="360" w:lineRule="auto"/>
        <w:ind w:firstLine="2197" w:firstLineChars="684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Proposed Solution​</w:t>
      </w:r>
    </w:p>
    <w:tbl>
      <w:tblPr>
        <w:tblStyle w:val="4"/>
        <w:tblpPr w:leftFromText="180" w:rightFromText="180" w:vertAnchor="text" w:horzAnchor="page" w:tblpX="1411" w:tblpY="232"/>
        <w:tblOverlap w:val="never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70"/>
      </w:tblGrid>
      <w:tr w14:paraId="6042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00052E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770" w:type="dxa"/>
          </w:tcPr>
          <w:p w14:paraId="5F6C03A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28 September 2026</w:t>
            </w:r>
          </w:p>
        </w:tc>
      </w:tr>
      <w:tr w14:paraId="52A1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28085E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770" w:type="dxa"/>
          </w:tcPr>
          <w:p w14:paraId="132971D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1C46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4770" w:type="dxa"/>
          </w:tcPr>
          <w:p w14:paraId="3EA7F6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770" w:type="dxa"/>
          </w:tcPr>
          <w:p w14:paraId="0A21D29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Import Data Using Transform Maps</w:t>
            </w:r>
          </w:p>
        </w:tc>
      </w:tr>
      <w:tr w14:paraId="3BA4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770" w:type="dxa"/>
          </w:tcPr>
          <w:p w14:paraId="36B100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770" w:type="dxa"/>
          </w:tcPr>
          <w:p w14:paraId="4E4F1F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 Marks</w:t>
            </w:r>
          </w:p>
        </w:tc>
      </w:tr>
    </w:tbl>
    <w:p w14:paraId="331E2C05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AC90EF3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4"/>
        <w:tblW w:w="8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25"/>
        <w:gridCol w:w="4898"/>
      </w:tblGrid>
      <w:tr w14:paraId="1911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096" w:type="dxa"/>
          </w:tcPr>
          <w:p w14:paraId="4B048F1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  <w:t>S.No.</w:t>
            </w:r>
          </w:p>
        </w:tc>
        <w:tc>
          <w:tcPr>
            <w:tcW w:w="2825" w:type="dxa"/>
          </w:tcPr>
          <w:p w14:paraId="5C20520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  <w:t>Parameter</w:t>
            </w:r>
          </w:p>
        </w:tc>
        <w:tc>
          <w:tcPr>
            <w:tcW w:w="4898" w:type="dxa"/>
          </w:tcPr>
          <w:p w14:paraId="5D160D1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IN"/>
              </w:rPr>
              <w:t>Description</w:t>
            </w:r>
          </w:p>
        </w:tc>
      </w:tr>
      <w:tr w14:paraId="2005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6" w:type="dxa"/>
          </w:tcPr>
          <w:p w14:paraId="02981B5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1.</w:t>
            </w:r>
          </w:p>
        </w:tc>
        <w:tc>
          <w:tcPr>
            <w:tcW w:w="2825" w:type="dxa"/>
          </w:tcPr>
          <w:p w14:paraId="4BE9D14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Problem Statement (Problem to be solved)</w:t>
            </w:r>
          </w:p>
        </w:tc>
        <w:tc>
          <w:tcPr>
            <w:tcW w:w="4898" w:type="dxa"/>
          </w:tcPr>
          <w:p w14:paraId="0AD8ED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Organisations face data errors, manual overhead, and duplicate entries when bulk importing employee records from spreadsheets into ServiceNow without proper automated mapping and unique field checks.</w:t>
            </w:r>
          </w:p>
        </w:tc>
      </w:tr>
      <w:tr w14:paraId="374E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6" w:type="dxa"/>
          </w:tcPr>
          <w:p w14:paraId="15A7150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2.</w:t>
            </w:r>
          </w:p>
        </w:tc>
        <w:tc>
          <w:tcPr>
            <w:tcW w:w="2825" w:type="dxa"/>
          </w:tcPr>
          <w:p w14:paraId="6B566EC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Idea / Solution description</w:t>
            </w:r>
          </w:p>
        </w:tc>
        <w:tc>
          <w:tcPr>
            <w:tcW w:w="4898" w:type="dxa"/>
          </w:tcPr>
          <w:p w14:paraId="6008E8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An automated data ingestion and analytics pipeline using ServiceNow Import Sets and Transform Maps. By setting Coalesce = True on Employee ID, incoming records are matched so existing entries are updated while new entries are inserted without duplicates. The process concludes with three visual reports integrated into a unified Employee Analytics Dashboard.</w:t>
            </w:r>
          </w:p>
        </w:tc>
      </w:tr>
      <w:tr w14:paraId="42B6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6" w:type="dxa"/>
          </w:tcPr>
          <w:p w14:paraId="2E4C230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3.</w:t>
            </w:r>
          </w:p>
        </w:tc>
        <w:tc>
          <w:tcPr>
            <w:tcW w:w="2825" w:type="dxa"/>
          </w:tcPr>
          <w:p w14:paraId="20C98A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Novelty / Uniqueness</w:t>
            </w:r>
          </w:p>
        </w:tc>
        <w:tc>
          <w:tcPr>
            <w:tcW w:w="4898" w:type="dxa"/>
          </w:tcPr>
          <w:p w14:paraId="19BAD10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Combines automated data transformation with built-in duplicate prevention via Coalesce logic, paired with backend ACL configuration (Admin Overrides) to seamlessly build real-time visual analytics dashboards.</w:t>
            </w:r>
          </w:p>
        </w:tc>
      </w:tr>
      <w:tr w14:paraId="1B81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6" w:type="dxa"/>
          </w:tcPr>
          <w:p w14:paraId="0F97F32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4.</w:t>
            </w:r>
          </w:p>
        </w:tc>
        <w:tc>
          <w:tcPr>
            <w:tcW w:w="2825" w:type="dxa"/>
          </w:tcPr>
          <w:p w14:paraId="3C9608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Social Impact / Customer Satisfaction</w:t>
            </w:r>
          </w:p>
        </w:tc>
        <w:tc>
          <w:tcPr>
            <w:tcW w:w="4898" w:type="dxa"/>
          </w:tcPr>
          <w:p w14:paraId="70426D7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Eliminates tedious manual data entry for HR and IT teams, drastically reducing data entry errors and delivering immediate visual clarity on workforce demographics and distribution.</w:t>
            </w:r>
          </w:p>
        </w:tc>
      </w:tr>
      <w:tr w14:paraId="0D68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6" w:type="dxa"/>
          </w:tcPr>
          <w:p w14:paraId="682A49C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5.</w:t>
            </w:r>
          </w:p>
        </w:tc>
        <w:tc>
          <w:tcPr>
            <w:tcW w:w="2825" w:type="dxa"/>
          </w:tcPr>
          <w:p w14:paraId="584DC5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Business Model (Revenue Model)</w:t>
            </w:r>
          </w:p>
        </w:tc>
        <w:tc>
          <w:tcPr>
            <w:tcW w:w="4898" w:type="dxa"/>
          </w:tcPr>
          <w:p w14:paraId="5FA26DE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Internal Enterprise Solution / Platform Efficiency Model: Reduces operational labor costs, saves working hours, and prevents costly data cleanup projects in ServiceNow ITSM and HRSD environments.</w:t>
            </w:r>
          </w:p>
        </w:tc>
      </w:tr>
      <w:tr w14:paraId="773A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1096" w:type="dxa"/>
          </w:tcPr>
          <w:p w14:paraId="7B8304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IN"/>
              </w:rPr>
              <w:t>6.</w:t>
            </w:r>
          </w:p>
        </w:tc>
        <w:tc>
          <w:tcPr>
            <w:tcW w:w="2825" w:type="dxa"/>
          </w:tcPr>
          <w:p w14:paraId="4C67200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Scalability of the Solution</w:t>
            </w:r>
          </w:p>
        </w:tc>
        <w:tc>
          <w:tcPr>
            <w:tcW w:w="4898" w:type="dxa"/>
          </w:tcPr>
          <w:p w14:paraId="5C6AED5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  <w:t>Highly scalable across any enterprise department or dataset (e.g., Asset Management, User Rosters, Vendor Lists) by simply creating target table mappings and applying unique coalesce keys.</w:t>
            </w:r>
          </w:p>
        </w:tc>
      </w:tr>
    </w:tbl>
    <w:p w14:paraId="4FC4DCD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33697"/>
    <w:rsid w:val="1DC97914"/>
    <w:rsid w:val="6B833697"/>
    <w:rsid w:val="718B5C70"/>
    <w:rsid w:val="750F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1484</Characters>
  <Lines>0</Lines>
  <Paragraphs>0</Paragraphs>
  <TotalTime>0</TotalTime>
  <ScaleCrop>false</ScaleCrop>
  <LinksUpToDate>false</LinksUpToDate>
  <CharactersWithSpaces>1691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2026-09-28T08:38:00Z</dcterms:created>
  <dc:creator>ELCOT</dc:creator>
  <cp:lastModifiedBy>WPS_1781879298</cp:lastModifiedBy>
  <dcterms:modified xsi:type="dcterms:W3CDTF">2026-09-28T15:33:48Z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092C7FFAC5854B48B8CA0C5BCB19D763_11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